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charts/chart34.xml" ContentType="application/vnd.openxmlformats-officedocument.drawingml.chart+xml"/>
  <Override PartName="/word/drawings/drawing1.xml" ContentType="application/vnd.openxmlformats-officedocument.drawingml.chartshapes+xml"/>
  <Override PartName="/word/charts/chart35.xml" ContentType="application/vnd.openxmlformats-officedocument.drawingml.chart+xml"/>
  <Override PartName="/word/theme/themeOverride1.xml" ContentType="application/vnd.openxmlformats-officedocument.themeOverride+xml"/>
  <Override PartName="/word/charts/chart36.xml" ContentType="application/vnd.openxmlformats-officedocument.drawingml.chart+xml"/>
  <Override PartName="/word/charts/chart37.xml" ContentType="application/vnd.openxmlformats-officedocument.drawingml.chart+xml"/>
  <Override PartName="/word/charts/chart38.xml" ContentType="application/vnd.openxmlformats-officedocument.drawingml.chart+xml"/>
  <Override PartName="/word/charts/chart39.xml" ContentType="application/vnd.openxmlformats-officedocument.drawingml.chart+xml"/>
  <Override PartName="/word/charts/chart40.xml" ContentType="application/vnd.openxmlformats-officedocument.drawingml.chart+xml"/>
  <Override PartName="/word/charts/chart41.xml" ContentType="application/vnd.openxmlformats-officedocument.drawingml.chart+xml"/>
  <Override PartName="/word/charts/chart42.xml" ContentType="application/vnd.openxmlformats-officedocument.drawingml.chart+xml"/>
  <Override PartName="/word/charts/chart43.xml" ContentType="application/vnd.openxmlformats-officedocument.drawingml.chart+xml"/>
  <Override PartName="/word/theme/themeOverride2.xml" ContentType="application/vnd.openxmlformats-officedocument.themeOverride+xml"/>
  <Override PartName="/word/charts/chart44.xml" ContentType="application/vnd.openxmlformats-officedocument.drawingml.chart+xml"/>
  <Override PartName="/word/theme/themeOverride3.xml" ContentType="application/vnd.openxmlformats-officedocument.themeOverride+xml"/>
  <Override PartName="/word/charts/chart45.xml" ContentType="application/vnd.openxmlformats-officedocument.drawingml.chart+xml"/>
  <Override PartName="/word/theme/themeOverride4.xml" ContentType="application/vnd.openxmlformats-officedocument.themeOverride+xml"/>
  <Override PartName="/word/charts/chart46.xml" ContentType="application/vnd.openxmlformats-officedocument.drawingml.chart+xml"/>
  <Override PartName="/word/charts/chart47.xml" ContentType="application/vnd.openxmlformats-officedocument.drawingml.chart+xml"/>
  <Override PartName="/word/theme/themeOverride5.xml" ContentType="application/vnd.openxmlformats-officedocument.themeOverride+xml"/>
  <Override PartName="/word/charts/chart48.xml" ContentType="application/vnd.openxmlformats-officedocument.drawingml.chart+xml"/>
  <Override PartName="/word/charts/chart49.xml" ContentType="application/vnd.openxmlformats-officedocument.drawingml.chart+xml"/>
  <Override PartName="/word/charts/chart50.xml" ContentType="application/vnd.openxmlformats-officedocument.drawingml.chart+xml"/>
  <Override PartName="/word/charts/chart51.xml" ContentType="application/vnd.openxmlformats-officedocument.drawingml.chart+xml"/>
  <Override PartName="/word/charts/chart52.xml" ContentType="application/vnd.openxmlformats-officedocument.drawingml.chart+xml"/>
  <Override PartName="/word/charts/chart53.xml" ContentType="application/vnd.openxmlformats-officedocument.drawingml.chart+xml"/>
  <Override PartName="/word/charts/chart54.xml" ContentType="application/vnd.openxmlformats-officedocument.drawingml.chart+xml"/>
  <Override PartName="/word/charts/chart55.xml" ContentType="application/vnd.openxmlformats-officedocument.drawingml.chart+xml"/>
  <Override PartName="/word/charts/chart56.xml" ContentType="application/vnd.openxmlformats-officedocument.drawingml.chart+xml"/>
  <Override PartName="/word/charts/chart57.xml" ContentType="application/vnd.openxmlformats-officedocument.drawingml.chart+xml"/>
  <Override PartName="/word/charts/chart58.xml" ContentType="application/vnd.openxmlformats-officedocument.drawingml.chart+xml"/>
  <Override PartName="/word/charts/chart59.xml" ContentType="application/vnd.openxmlformats-officedocument.drawingml.chart+xml"/>
  <Override PartName="/word/charts/chart60.xml" ContentType="application/vnd.openxmlformats-officedocument.drawingml.chart+xml"/>
  <Override PartName="/word/charts/chart61.xml" ContentType="application/vnd.openxmlformats-officedocument.drawingml.chart+xml"/>
  <Override PartName="/word/charts/chart62.xml" ContentType="application/vnd.openxmlformats-officedocument.drawingml.chart+xml"/>
  <Override PartName="/word/charts/chart63.xml" ContentType="application/vnd.openxmlformats-officedocument.drawingml.chart+xml"/>
  <Override PartName="/word/theme/themeOverride6.xml" ContentType="application/vnd.openxmlformats-officedocument.themeOverride+xml"/>
  <Override PartName="/word/charts/chart64.xml" ContentType="application/vnd.openxmlformats-officedocument.drawingml.chart+xml"/>
  <Override PartName="/word/charts/chart65.xml" ContentType="application/vnd.openxmlformats-officedocument.drawingml.chart+xml"/>
  <Override PartName="/word/theme/themeOverride7.xml" ContentType="application/vnd.openxmlformats-officedocument.themeOverride+xml"/>
  <Override PartName="/word/charts/chart66.xml" ContentType="application/vnd.openxmlformats-officedocument.drawingml.chart+xml"/>
  <Override PartName="/word/theme/themeOverride8.xml" ContentType="application/vnd.openxmlformats-officedocument.themeOverride+xml"/>
  <Override PartName="/word/charts/chart67.xml" ContentType="application/vnd.openxmlformats-officedocument.drawingml.chart+xml"/>
  <Override PartName="/word/charts/chart68.xml" ContentType="application/vnd.openxmlformats-officedocument.drawingml.chart+xml"/>
  <Override PartName="/word/charts/chart69.xml" ContentType="application/vnd.openxmlformats-officedocument.drawingml.chart+xml"/>
  <Override PartName="/word/charts/chart70.xml" ContentType="application/vnd.openxmlformats-officedocument.drawingml.chart+xml"/>
  <Override PartName="/word/charts/chart71.xml" ContentType="application/vnd.openxmlformats-officedocument.drawingml.chart+xml"/>
  <Override PartName="/word/charts/chart72.xml" ContentType="application/vnd.openxmlformats-officedocument.drawingml.chart+xml"/>
  <Override PartName="/word/charts/chart73.xml" ContentType="application/vnd.openxmlformats-officedocument.drawingml.chart+xml"/>
  <Override PartName="/word/charts/chart74.xml" ContentType="application/vnd.openxmlformats-officedocument.drawingml.chart+xml"/>
  <Override PartName="/word/charts/chart75.xml" ContentType="application/vnd.openxmlformats-officedocument.drawingml.chart+xml"/>
  <Override PartName="/word/charts/chart76.xml" ContentType="application/vnd.openxmlformats-officedocument.drawingml.chart+xml"/>
  <Override PartName="/word/charts/chart77.xml" ContentType="application/vnd.openxmlformats-officedocument.drawingml.chart+xml"/>
  <Override PartName="/word/charts/chart78.xml" ContentType="application/vnd.openxmlformats-officedocument.drawingml.chart+xml"/>
  <Override PartName="/word/charts/chart79.xml" ContentType="application/vnd.openxmlformats-officedocument.drawingml.chart+xml"/>
  <Override PartName="/word/charts/chart80.xml" ContentType="application/vnd.openxmlformats-officedocument.drawingml.chart+xml"/>
  <Override PartName="/word/charts/chart81.xml" ContentType="application/vnd.openxmlformats-officedocument.drawingml.chart+xml"/>
  <Override PartName="/word/charts/chart82.xml" ContentType="application/vnd.openxmlformats-officedocument.drawingml.chart+xml"/>
  <Override PartName="/word/charts/chart83.xml" ContentType="application/vnd.openxmlformats-officedocument.drawingml.chart+xml"/>
  <Override PartName="/word/charts/chart84.xml" ContentType="application/vnd.openxmlformats-officedocument.drawingml.chart+xml"/>
  <Override PartName="/word/charts/chart85.xml" ContentType="application/vnd.openxmlformats-officedocument.drawingml.chart+xml"/>
  <Override PartName="/word/charts/chart86.xml" ContentType="application/vnd.openxmlformats-officedocument.drawingml.chart+xml"/>
  <Override PartName="/word/charts/chart87.xml" ContentType="application/vnd.openxmlformats-officedocument.drawingml.chart+xml"/>
  <Override PartName="/word/charts/chart88.xml" ContentType="application/vnd.openxmlformats-officedocument.drawingml.chart+xml"/>
  <Override PartName="/word/charts/chart89.xml" ContentType="application/vnd.openxmlformats-officedocument.drawingml.chart+xml"/>
  <Override PartName="/word/charts/chart90.xml" ContentType="application/vnd.openxmlformats-officedocument.drawingml.chart+xml"/>
  <Override PartName="/word/charts/chart91.xml" ContentType="application/vnd.openxmlformats-officedocument.drawingml.chart+xml"/>
  <Override PartName="/word/charts/chart92.xml" ContentType="application/vnd.openxmlformats-officedocument.drawingml.chart+xml"/>
  <Override PartName="/word/charts/chart93.xml" ContentType="application/vnd.openxmlformats-officedocument.drawingml.chart+xml"/>
  <Override PartName="/word/charts/chart94.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131AD" w:rsidRPr="00155F80" w:rsidRDefault="00DF3062" w:rsidP="00737E06">
      <w:pPr>
        <w:spacing w:line="276" w:lineRule="auto"/>
        <w:ind w:firstLine="708"/>
        <w:rPr>
          <w:rFonts w:ascii="Times New Roman" w:hAnsi="Times New Roman"/>
          <w:lang w:val="bs-Latn-BA"/>
        </w:rPr>
      </w:pPr>
      <w:r>
        <w:rPr>
          <w:rFonts w:ascii="Times New Roman" w:hAnsi="Times New Roman"/>
          <w:lang w:val="bs-Latn-BA"/>
        </w:rPr>
        <w:t>-</w:t>
      </w:r>
    </w:p>
    <w:p w:rsidR="00A131AD" w:rsidRPr="00155F80" w:rsidRDefault="00A131AD" w:rsidP="000C0138">
      <w:pPr>
        <w:spacing w:line="276" w:lineRule="auto"/>
        <w:jc w:val="center"/>
        <w:rPr>
          <w:rFonts w:ascii="Times New Roman" w:hAnsi="Times New Roman"/>
          <w:lang w:val="bs-Latn-BA"/>
        </w:rPr>
      </w:pPr>
      <w:r w:rsidRPr="00155F80">
        <w:rPr>
          <w:rFonts w:ascii="Times New Roman" w:hAnsi="Times New Roman"/>
          <w:noProof/>
          <w:lang w:val="bs-Latn-BA" w:eastAsia="bs-Latn-BA"/>
        </w:rPr>
        <w:drawing>
          <wp:inline distT="0" distB="0" distL="0" distR="0" wp14:anchorId="0BB8746F" wp14:editId="3E577EE5">
            <wp:extent cx="2971800" cy="295275"/>
            <wp:effectExtent l="0" t="0" r="0" b="9525"/>
            <wp:docPr id="1" name="Picture 1" descr="Logo Zavo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Zavoda"/>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971800" cy="295275"/>
                    </a:xfrm>
                    <a:prstGeom prst="rect">
                      <a:avLst/>
                    </a:prstGeom>
                    <a:noFill/>
                    <a:ln>
                      <a:noFill/>
                    </a:ln>
                  </pic:spPr>
                </pic:pic>
              </a:graphicData>
            </a:graphic>
          </wp:inline>
        </w:drawing>
      </w:r>
    </w:p>
    <w:p w:rsidR="00A131AD" w:rsidRPr="00155F80" w:rsidRDefault="00A131AD" w:rsidP="000C0138">
      <w:pPr>
        <w:spacing w:line="276" w:lineRule="auto"/>
        <w:rPr>
          <w:rFonts w:ascii="Times New Roman" w:hAnsi="Times New Roman"/>
          <w:lang w:val="bs-Latn-BA"/>
        </w:rPr>
      </w:pPr>
    </w:p>
    <w:p w:rsidR="00A131AD" w:rsidRPr="00155F80" w:rsidRDefault="00A131AD" w:rsidP="000C0138">
      <w:pPr>
        <w:spacing w:line="276" w:lineRule="auto"/>
        <w:rPr>
          <w:rFonts w:ascii="Times New Roman" w:hAnsi="Times New Roman"/>
          <w:lang w:val="bs-Latn-BA"/>
        </w:rPr>
      </w:pPr>
    </w:p>
    <w:p w:rsidR="00A131AD" w:rsidRPr="00155F80" w:rsidRDefault="00A131AD" w:rsidP="000C0138">
      <w:pPr>
        <w:spacing w:line="276" w:lineRule="auto"/>
        <w:rPr>
          <w:rFonts w:ascii="Times New Roman" w:hAnsi="Times New Roman"/>
          <w:lang w:val="bs-Latn-BA"/>
        </w:rPr>
      </w:pPr>
    </w:p>
    <w:p w:rsidR="00A131AD" w:rsidRPr="00155F80" w:rsidRDefault="00A131AD" w:rsidP="000C0138">
      <w:pPr>
        <w:spacing w:line="276" w:lineRule="auto"/>
        <w:rPr>
          <w:rFonts w:ascii="Times New Roman" w:hAnsi="Times New Roman"/>
          <w:lang w:val="bs-Latn-BA"/>
        </w:rPr>
      </w:pPr>
    </w:p>
    <w:p w:rsidR="00A131AD" w:rsidRPr="00155F80" w:rsidRDefault="00A131AD" w:rsidP="000C0138">
      <w:pPr>
        <w:spacing w:line="276" w:lineRule="auto"/>
        <w:rPr>
          <w:rFonts w:ascii="Times New Roman" w:hAnsi="Times New Roman"/>
          <w:lang w:val="bs-Latn-BA"/>
        </w:rPr>
      </w:pPr>
    </w:p>
    <w:p w:rsidR="00A131AD" w:rsidRPr="00155F80" w:rsidRDefault="00A131AD" w:rsidP="000C0138">
      <w:pPr>
        <w:spacing w:line="276" w:lineRule="auto"/>
        <w:rPr>
          <w:rFonts w:ascii="Times New Roman" w:hAnsi="Times New Roman"/>
          <w:lang w:val="bs-Latn-BA"/>
        </w:rPr>
      </w:pPr>
    </w:p>
    <w:p w:rsidR="00A131AD" w:rsidRPr="00155F80" w:rsidRDefault="00A131AD" w:rsidP="000C0138">
      <w:pPr>
        <w:spacing w:line="276" w:lineRule="auto"/>
        <w:rPr>
          <w:rFonts w:ascii="Times New Roman" w:hAnsi="Times New Roman"/>
          <w:lang w:val="bs-Latn-BA"/>
        </w:rPr>
      </w:pPr>
    </w:p>
    <w:p w:rsidR="00A131AD" w:rsidRPr="00155F80" w:rsidRDefault="00A131AD" w:rsidP="000C0138">
      <w:pPr>
        <w:spacing w:line="276" w:lineRule="auto"/>
        <w:rPr>
          <w:rFonts w:ascii="Times New Roman" w:hAnsi="Times New Roman"/>
          <w:lang w:val="bs-Latn-BA"/>
        </w:rPr>
      </w:pPr>
    </w:p>
    <w:p w:rsidR="00A131AD" w:rsidRPr="00155F80" w:rsidRDefault="00A131AD" w:rsidP="000C0138">
      <w:pPr>
        <w:tabs>
          <w:tab w:val="left" w:pos="3285"/>
        </w:tabs>
        <w:spacing w:line="276" w:lineRule="auto"/>
        <w:rPr>
          <w:rFonts w:ascii="Times New Roman" w:hAnsi="Times New Roman"/>
          <w:lang w:val="bs-Latn-BA"/>
        </w:rPr>
      </w:pPr>
      <w:r w:rsidRPr="00155F80">
        <w:rPr>
          <w:rFonts w:ascii="Times New Roman" w:hAnsi="Times New Roman"/>
          <w:lang w:val="bs-Latn-BA"/>
        </w:rPr>
        <w:tab/>
      </w:r>
    </w:p>
    <w:p w:rsidR="00A131AD" w:rsidRPr="00155F80" w:rsidRDefault="00A131AD" w:rsidP="000C0138">
      <w:pPr>
        <w:spacing w:line="276" w:lineRule="auto"/>
        <w:rPr>
          <w:rFonts w:ascii="Times New Roman" w:hAnsi="Times New Roman"/>
          <w:lang w:val="bs-Latn-BA"/>
        </w:rPr>
      </w:pPr>
    </w:p>
    <w:p w:rsidR="00A131AD" w:rsidRPr="00155F80" w:rsidRDefault="00A131AD" w:rsidP="000C0138">
      <w:pPr>
        <w:spacing w:line="276" w:lineRule="auto"/>
        <w:rPr>
          <w:rFonts w:ascii="Times New Roman" w:hAnsi="Times New Roman"/>
          <w:lang w:val="bs-Latn-BA"/>
        </w:rPr>
      </w:pPr>
    </w:p>
    <w:p w:rsidR="00A131AD" w:rsidRPr="00155F80" w:rsidRDefault="00A131AD" w:rsidP="000C0138">
      <w:pPr>
        <w:spacing w:line="276" w:lineRule="auto"/>
        <w:rPr>
          <w:rFonts w:ascii="Times New Roman" w:hAnsi="Times New Roman"/>
          <w:lang w:val="bs-Latn-BA"/>
        </w:rPr>
      </w:pPr>
    </w:p>
    <w:p w:rsidR="00A131AD" w:rsidRPr="00155F80" w:rsidRDefault="00A131AD" w:rsidP="000C0138">
      <w:pPr>
        <w:spacing w:line="276" w:lineRule="auto"/>
        <w:rPr>
          <w:rFonts w:ascii="Times New Roman" w:hAnsi="Times New Roman"/>
          <w:lang w:val="bs-Latn-BA"/>
        </w:rPr>
      </w:pPr>
    </w:p>
    <w:p w:rsidR="00A131AD" w:rsidRPr="00155F80" w:rsidRDefault="00A131AD" w:rsidP="000C0138">
      <w:pPr>
        <w:spacing w:line="276" w:lineRule="auto"/>
        <w:rPr>
          <w:rFonts w:ascii="Times New Roman" w:hAnsi="Times New Roman"/>
          <w:lang w:val="bs-Latn-BA"/>
        </w:rPr>
      </w:pPr>
    </w:p>
    <w:p w:rsidR="00A131AD" w:rsidRPr="00155F80" w:rsidRDefault="00A131AD" w:rsidP="000C0138">
      <w:pPr>
        <w:spacing w:line="276" w:lineRule="auto"/>
        <w:rPr>
          <w:rFonts w:ascii="Times New Roman" w:hAnsi="Times New Roman"/>
          <w:lang w:val="bs-Latn-BA"/>
        </w:rPr>
      </w:pPr>
    </w:p>
    <w:p w:rsidR="00A131AD" w:rsidRPr="00155F80" w:rsidRDefault="00A131AD" w:rsidP="000C0138">
      <w:pPr>
        <w:spacing w:line="276" w:lineRule="auto"/>
        <w:rPr>
          <w:rFonts w:ascii="Times New Roman" w:hAnsi="Times New Roman"/>
          <w:lang w:val="bs-Latn-BA"/>
        </w:rPr>
      </w:pPr>
    </w:p>
    <w:p w:rsidR="00A131AD" w:rsidRPr="00155F80" w:rsidRDefault="00A131AD" w:rsidP="000C0138">
      <w:pPr>
        <w:spacing w:line="276" w:lineRule="auto"/>
        <w:rPr>
          <w:rFonts w:ascii="Times New Roman" w:hAnsi="Times New Roman"/>
          <w:lang w:val="bs-Latn-BA"/>
        </w:rPr>
      </w:pPr>
    </w:p>
    <w:p w:rsidR="00A131AD" w:rsidRPr="00155F80" w:rsidRDefault="00A131AD" w:rsidP="000C0138">
      <w:pPr>
        <w:spacing w:line="276" w:lineRule="auto"/>
        <w:rPr>
          <w:rFonts w:ascii="Times New Roman" w:hAnsi="Times New Roman"/>
          <w:lang w:val="bs-Latn-BA"/>
        </w:rPr>
      </w:pPr>
    </w:p>
    <w:p w:rsidR="00A131AD" w:rsidRPr="00155F80" w:rsidRDefault="00A131AD" w:rsidP="000C0138">
      <w:pPr>
        <w:spacing w:line="276" w:lineRule="auto"/>
        <w:jc w:val="center"/>
        <w:rPr>
          <w:rFonts w:ascii="Times New Roman" w:hAnsi="Times New Roman"/>
          <w:b/>
          <w:lang w:val="bs-Latn-BA"/>
        </w:rPr>
      </w:pPr>
      <w:r w:rsidRPr="00155F80">
        <w:rPr>
          <w:rFonts w:ascii="Times New Roman" w:hAnsi="Times New Roman"/>
          <w:b/>
          <w:lang w:val="bs-Latn-BA"/>
        </w:rPr>
        <w:t xml:space="preserve">ZDRAVSTVENO STANJE STANOVNIŠTVA </w:t>
      </w:r>
      <w:r w:rsidRPr="00155F80">
        <w:rPr>
          <w:rFonts w:ascii="Times New Roman" w:hAnsi="Times New Roman"/>
          <w:b/>
          <w:lang w:val="bs-Latn-BA"/>
        </w:rPr>
        <w:br/>
        <w:t xml:space="preserve">I ZDRAVSTVENA ZAŠTITA </w:t>
      </w:r>
      <w:r w:rsidRPr="00155F80">
        <w:rPr>
          <w:rFonts w:ascii="Times New Roman" w:hAnsi="Times New Roman"/>
          <w:b/>
          <w:lang w:val="bs-Latn-BA"/>
        </w:rPr>
        <w:br/>
        <w:t xml:space="preserve">U FEDERACIJI BOSNE I HERCEGOVINE </w:t>
      </w:r>
    </w:p>
    <w:p w:rsidR="00A131AD" w:rsidRPr="00155F80" w:rsidRDefault="00A131AD" w:rsidP="000C0138">
      <w:pPr>
        <w:spacing w:line="276" w:lineRule="auto"/>
        <w:jc w:val="center"/>
        <w:rPr>
          <w:rFonts w:ascii="Times New Roman" w:hAnsi="Times New Roman"/>
          <w:b/>
          <w:lang w:val="bs-Latn-BA"/>
        </w:rPr>
      </w:pPr>
      <w:r w:rsidRPr="00155F80">
        <w:rPr>
          <w:rFonts w:ascii="Times New Roman" w:hAnsi="Times New Roman"/>
          <w:b/>
          <w:lang w:val="bs-Latn-BA"/>
        </w:rPr>
        <w:t>2015. godina</w:t>
      </w:r>
    </w:p>
    <w:p w:rsidR="00A131AD" w:rsidRPr="00155F80" w:rsidRDefault="00A131AD" w:rsidP="000C0138">
      <w:pPr>
        <w:spacing w:line="276" w:lineRule="auto"/>
        <w:jc w:val="center"/>
        <w:rPr>
          <w:rFonts w:ascii="Times New Roman" w:hAnsi="Times New Roman"/>
          <w:b/>
          <w:lang w:val="bs-Latn-BA"/>
        </w:rPr>
      </w:pPr>
    </w:p>
    <w:p w:rsidR="00A131AD" w:rsidRPr="00155F80" w:rsidRDefault="00A131AD" w:rsidP="000C0138">
      <w:pPr>
        <w:spacing w:line="276" w:lineRule="auto"/>
        <w:jc w:val="center"/>
        <w:rPr>
          <w:rFonts w:ascii="Times New Roman" w:hAnsi="Times New Roman"/>
          <w:b/>
          <w:lang w:val="bs-Latn-BA"/>
        </w:rPr>
      </w:pPr>
    </w:p>
    <w:p w:rsidR="00A131AD" w:rsidRPr="00155F80" w:rsidRDefault="00A131AD" w:rsidP="000C0138">
      <w:pPr>
        <w:spacing w:line="276" w:lineRule="auto"/>
        <w:jc w:val="center"/>
        <w:rPr>
          <w:rFonts w:ascii="Times New Roman" w:hAnsi="Times New Roman"/>
          <w:b/>
          <w:lang w:val="bs-Latn-BA"/>
        </w:rPr>
      </w:pPr>
    </w:p>
    <w:p w:rsidR="00A131AD" w:rsidRPr="00155F80" w:rsidRDefault="00A131AD" w:rsidP="000C0138">
      <w:pPr>
        <w:spacing w:line="276" w:lineRule="auto"/>
        <w:jc w:val="center"/>
        <w:rPr>
          <w:rFonts w:ascii="Times New Roman" w:hAnsi="Times New Roman"/>
          <w:b/>
          <w:lang w:val="bs-Latn-BA"/>
        </w:rPr>
      </w:pPr>
    </w:p>
    <w:p w:rsidR="00A131AD" w:rsidRPr="00155F80" w:rsidRDefault="00A131AD" w:rsidP="000C0138">
      <w:pPr>
        <w:spacing w:line="276" w:lineRule="auto"/>
        <w:jc w:val="center"/>
        <w:rPr>
          <w:rFonts w:ascii="Times New Roman" w:hAnsi="Times New Roman"/>
          <w:b/>
          <w:lang w:val="bs-Latn-BA"/>
        </w:rPr>
      </w:pPr>
    </w:p>
    <w:p w:rsidR="00A131AD" w:rsidRPr="00155F80" w:rsidRDefault="00A131AD" w:rsidP="000C0138">
      <w:pPr>
        <w:spacing w:line="276" w:lineRule="auto"/>
        <w:jc w:val="center"/>
        <w:rPr>
          <w:rFonts w:ascii="Times New Roman" w:hAnsi="Times New Roman"/>
          <w:b/>
          <w:lang w:val="bs-Latn-BA"/>
        </w:rPr>
      </w:pPr>
    </w:p>
    <w:p w:rsidR="00A131AD" w:rsidRPr="00155F80" w:rsidRDefault="00A131AD" w:rsidP="000C0138">
      <w:pPr>
        <w:spacing w:line="276" w:lineRule="auto"/>
        <w:jc w:val="center"/>
        <w:rPr>
          <w:rFonts w:ascii="Times New Roman" w:hAnsi="Times New Roman"/>
          <w:b/>
          <w:lang w:val="bs-Latn-BA"/>
        </w:rPr>
      </w:pPr>
    </w:p>
    <w:p w:rsidR="00A131AD" w:rsidRPr="00155F80" w:rsidRDefault="00A131AD" w:rsidP="000C0138">
      <w:pPr>
        <w:spacing w:line="276" w:lineRule="auto"/>
        <w:jc w:val="center"/>
        <w:rPr>
          <w:rFonts w:ascii="Times New Roman" w:hAnsi="Times New Roman"/>
          <w:b/>
          <w:lang w:val="bs-Latn-BA"/>
        </w:rPr>
      </w:pPr>
    </w:p>
    <w:p w:rsidR="00A131AD" w:rsidRPr="00155F80" w:rsidRDefault="00A131AD" w:rsidP="000C0138">
      <w:pPr>
        <w:spacing w:line="276" w:lineRule="auto"/>
        <w:jc w:val="center"/>
        <w:rPr>
          <w:rFonts w:ascii="Times New Roman" w:hAnsi="Times New Roman"/>
          <w:b/>
          <w:lang w:val="bs-Latn-BA"/>
        </w:rPr>
      </w:pPr>
    </w:p>
    <w:p w:rsidR="00A131AD" w:rsidRPr="00155F80" w:rsidRDefault="00A131AD" w:rsidP="000C0138">
      <w:pPr>
        <w:spacing w:line="276" w:lineRule="auto"/>
        <w:jc w:val="center"/>
        <w:rPr>
          <w:rFonts w:ascii="Times New Roman" w:hAnsi="Times New Roman"/>
          <w:b/>
          <w:lang w:val="bs-Latn-BA"/>
        </w:rPr>
      </w:pPr>
    </w:p>
    <w:p w:rsidR="00A131AD" w:rsidRPr="00155F80" w:rsidRDefault="00A131AD" w:rsidP="000C0138">
      <w:pPr>
        <w:spacing w:line="276" w:lineRule="auto"/>
        <w:jc w:val="center"/>
        <w:rPr>
          <w:rFonts w:ascii="Times New Roman" w:hAnsi="Times New Roman"/>
          <w:b/>
          <w:lang w:val="bs-Latn-BA"/>
        </w:rPr>
      </w:pPr>
    </w:p>
    <w:p w:rsidR="00A131AD" w:rsidRPr="00155F80" w:rsidRDefault="00A131AD" w:rsidP="000C0138">
      <w:pPr>
        <w:spacing w:line="276" w:lineRule="auto"/>
        <w:jc w:val="center"/>
        <w:rPr>
          <w:rFonts w:ascii="Times New Roman" w:hAnsi="Times New Roman"/>
          <w:b/>
          <w:lang w:val="bs-Latn-BA"/>
        </w:rPr>
      </w:pPr>
    </w:p>
    <w:p w:rsidR="00A131AD" w:rsidRPr="00155F80" w:rsidRDefault="00A131AD" w:rsidP="000C0138">
      <w:pPr>
        <w:spacing w:line="276" w:lineRule="auto"/>
        <w:jc w:val="center"/>
        <w:rPr>
          <w:rFonts w:ascii="Times New Roman" w:hAnsi="Times New Roman"/>
          <w:b/>
          <w:lang w:val="bs-Latn-BA"/>
        </w:rPr>
      </w:pPr>
    </w:p>
    <w:p w:rsidR="00A131AD" w:rsidRPr="00155F80" w:rsidRDefault="00A131AD" w:rsidP="000C0138">
      <w:pPr>
        <w:spacing w:line="276" w:lineRule="auto"/>
        <w:jc w:val="center"/>
        <w:rPr>
          <w:rFonts w:ascii="Times New Roman" w:hAnsi="Times New Roman"/>
          <w:b/>
          <w:lang w:val="bs-Latn-BA"/>
        </w:rPr>
      </w:pPr>
    </w:p>
    <w:p w:rsidR="00A131AD" w:rsidRPr="00155F80" w:rsidRDefault="00A131AD" w:rsidP="000C0138">
      <w:pPr>
        <w:spacing w:line="276" w:lineRule="auto"/>
        <w:jc w:val="center"/>
        <w:rPr>
          <w:rFonts w:ascii="Times New Roman" w:hAnsi="Times New Roman"/>
          <w:b/>
          <w:lang w:val="bs-Latn-BA"/>
        </w:rPr>
      </w:pPr>
    </w:p>
    <w:p w:rsidR="00A131AD" w:rsidRPr="00155F80" w:rsidRDefault="00A131AD" w:rsidP="000C0138">
      <w:pPr>
        <w:spacing w:line="276" w:lineRule="auto"/>
        <w:jc w:val="center"/>
        <w:rPr>
          <w:rFonts w:ascii="Times New Roman" w:hAnsi="Times New Roman"/>
          <w:b/>
          <w:lang w:val="bs-Latn-BA"/>
        </w:rPr>
      </w:pPr>
    </w:p>
    <w:p w:rsidR="00A131AD" w:rsidRPr="00155F80" w:rsidRDefault="00A131AD" w:rsidP="000C0138">
      <w:pPr>
        <w:spacing w:line="276" w:lineRule="auto"/>
        <w:jc w:val="center"/>
        <w:rPr>
          <w:rFonts w:ascii="Times New Roman" w:hAnsi="Times New Roman"/>
          <w:b/>
          <w:lang w:val="bs-Latn-BA"/>
        </w:rPr>
      </w:pPr>
    </w:p>
    <w:p w:rsidR="00A131AD" w:rsidRPr="00155F80" w:rsidRDefault="00A131AD" w:rsidP="000C0138">
      <w:pPr>
        <w:spacing w:line="276" w:lineRule="auto"/>
        <w:jc w:val="center"/>
        <w:rPr>
          <w:rFonts w:ascii="Times New Roman" w:hAnsi="Times New Roman"/>
          <w:b/>
          <w:lang w:val="bs-Latn-BA"/>
        </w:rPr>
      </w:pPr>
    </w:p>
    <w:p w:rsidR="00A131AD" w:rsidRPr="00155F80" w:rsidRDefault="00A131AD" w:rsidP="000C0138">
      <w:pPr>
        <w:spacing w:line="276" w:lineRule="auto"/>
        <w:jc w:val="center"/>
        <w:rPr>
          <w:rFonts w:ascii="Times New Roman" w:hAnsi="Times New Roman"/>
          <w:b/>
          <w:lang w:val="bs-Latn-BA"/>
        </w:rPr>
      </w:pPr>
    </w:p>
    <w:p w:rsidR="00A131AD" w:rsidRPr="00155F80" w:rsidRDefault="00A131AD" w:rsidP="000C0138">
      <w:pPr>
        <w:spacing w:line="276" w:lineRule="auto"/>
        <w:jc w:val="center"/>
        <w:rPr>
          <w:rFonts w:ascii="Times New Roman" w:hAnsi="Times New Roman"/>
          <w:b/>
          <w:lang w:val="bs-Latn-BA"/>
        </w:rPr>
      </w:pPr>
    </w:p>
    <w:p w:rsidR="00A131AD" w:rsidRPr="00155F80" w:rsidRDefault="00A131AD" w:rsidP="000C0138">
      <w:pPr>
        <w:spacing w:line="276" w:lineRule="auto"/>
        <w:jc w:val="center"/>
        <w:rPr>
          <w:rFonts w:ascii="Times New Roman" w:hAnsi="Times New Roman"/>
          <w:b/>
          <w:lang w:val="bs-Latn-BA"/>
        </w:rPr>
      </w:pPr>
    </w:p>
    <w:p w:rsidR="00A131AD" w:rsidRPr="00155F80" w:rsidRDefault="00A131AD" w:rsidP="000C0138">
      <w:pPr>
        <w:spacing w:line="276" w:lineRule="auto"/>
        <w:jc w:val="center"/>
        <w:rPr>
          <w:rFonts w:ascii="Times New Roman" w:hAnsi="Times New Roman"/>
          <w:lang w:val="bs-Latn-BA"/>
        </w:rPr>
      </w:pPr>
      <w:r w:rsidRPr="00155F80">
        <w:rPr>
          <w:rFonts w:ascii="Times New Roman" w:hAnsi="Times New Roman"/>
          <w:lang w:val="bs-Latn-BA"/>
        </w:rPr>
        <w:t xml:space="preserve">Sarajevo, </w:t>
      </w:r>
      <w:r w:rsidR="00537374">
        <w:rPr>
          <w:rFonts w:ascii="Times New Roman" w:hAnsi="Times New Roman"/>
          <w:lang w:val="bs-Latn-BA"/>
        </w:rPr>
        <w:t>lipanj</w:t>
      </w:r>
      <w:r w:rsidRPr="00155F80">
        <w:rPr>
          <w:rFonts w:ascii="Times New Roman" w:hAnsi="Times New Roman"/>
          <w:lang w:val="bs-Latn-BA"/>
        </w:rPr>
        <w:t xml:space="preserve"> 2016. godine</w:t>
      </w:r>
    </w:p>
    <w:p w:rsidR="00A131AD" w:rsidRPr="00155F80" w:rsidRDefault="00A131AD" w:rsidP="000C0138">
      <w:pPr>
        <w:spacing w:line="276" w:lineRule="auto"/>
        <w:jc w:val="left"/>
        <w:rPr>
          <w:rFonts w:ascii="Times New Roman" w:hAnsi="Times New Roman"/>
          <w:b/>
          <w:lang w:val="bs-Latn-BA"/>
        </w:rPr>
      </w:pPr>
      <w:r w:rsidRPr="00155F80">
        <w:rPr>
          <w:rFonts w:ascii="Times New Roman" w:hAnsi="Times New Roman"/>
          <w:lang w:val="bs-Latn-BA"/>
        </w:rPr>
        <w:br w:type="page"/>
      </w:r>
    </w:p>
    <w:p w:rsidR="00993848" w:rsidRDefault="00A131AD" w:rsidP="000C0138">
      <w:pPr>
        <w:pStyle w:val="TOCHeading"/>
        <w:spacing w:line="276" w:lineRule="auto"/>
        <w:rPr>
          <w:rFonts w:ascii="Times New Roman" w:hAnsi="Times New Roman"/>
        </w:rPr>
      </w:pPr>
      <w:r w:rsidRPr="00155F80">
        <w:rPr>
          <w:rFonts w:ascii="Times New Roman" w:hAnsi="Times New Roman"/>
          <w:lang w:val="bs-Latn-BA"/>
        </w:rPr>
        <w:lastRenderedPageBreak/>
        <w:br w:type="page"/>
      </w:r>
      <w:r w:rsidRPr="00155F80">
        <w:rPr>
          <w:rFonts w:ascii="Times New Roman" w:hAnsi="Times New Roman"/>
        </w:rPr>
        <w:lastRenderedPageBreak/>
        <w:t>Sadržaj</w:t>
      </w:r>
      <w:r w:rsidR="00EA088E" w:rsidRPr="00155F80">
        <w:rPr>
          <w:rFonts w:ascii="Times New Roman" w:hAnsi="Times New Roman"/>
        </w:rPr>
        <w:t xml:space="preserve"> </w:t>
      </w:r>
      <w:r w:rsidR="004622C8">
        <w:rPr>
          <w:rFonts w:ascii="Times New Roman" w:hAnsi="Times New Roman"/>
        </w:rPr>
        <w:tab/>
      </w:r>
    </w:p>
    <w:sdt>
      <w:sdtPr>
        <w:rPr>
          <w:rFonts w:ascii="Times New Roman" w:hAnsi="Times New Roman"/>
          <w:sz w:val="20"/>
          <w:szCs w:val="20"/>
        </w:rPr>
        <w:id w:val="-936907946"/>
        <w:docPartObj>
          <w:docPartGallery w:val="Table of Contents"/>
          <w:docPartUnique/>
        </w:docPartObj>
      </w:sdtPr>
      <w:sdtEndPr>
        <w:rPr>
          <w:b/>
          <w:bCs/>
          <w:noProof/>
        </w:rPr>
      </w:sdtEndPr>
      <w:sdtContent>
        <w:p w:rsidR="00DE178E" w:rsidRPr="008D72AE" w:rsidRDefault="00DE178E" w:rsidP="00993848">
          <w:pPr>
            <w:spacing w:line="276" w:lineRule="auto"/>
            <w:jc w:val="left"/>
            <w:rPr>
              <w:rFonts w:ascii="Times New Roman" w:hAnsi="Times New Roman"/>
              <w:sz w:val="18"/>
              <w:szCs w:val="18"/>
            </w:rPr>
          </w:pPr>
        </w:p>
        <w:p w:rsidR="008D72AE" w:rsidRPr="008D72AE" w:rsidRDefault="00DE178E">
          <w:pPr>
            <w:pStyle w:val="TOC1"/>
            <w:rPr>
              <w:rFonts w:ascii="Times New Roman" w:eastAsiaTheme="minorEastAsia" w:hAnsi="Times New Roman"/>
              <w:b w:val="0"/>
              <w:bCs w:val="0"/>
              <w:caps w:val="0"/>
              <w:sz w:val="18"/>
              <w:szCs w:val="18"/>
              <w:lang w:eastAsia="en-GB"/>
            </w:rPr>
          </w:pPr>
          <w:r w:rsidRPr="008D72AE">
            <w:rPr>
              <w:rFonts w:ascii="Times New Roman" w:hAnsi="Times New Roman"/>
              <w:sz w:val="18"/>
              <w:szCs w:val="18"/>
            </w:rPr>
            <w:fldChar w:fldCharType="begin"/>
          </w:r>
          <w:r w:rsidRPr="008D72AE">
            <w:rPr>
              <w:rFonts w:ascii="Times New Roman" w:hAnsi="Times New Roman"/>
              <w:sz w:val="18"/>
              <w:szCs w:val="18"/>
            </w:rPr>
            <w:instrText xml:space="preserve"> TOC \o "1-3" \h \z \u </w:instrText>
          </w:r>
          <w:r w:rsidRPr="008D72AE">
            <w:rPr>
              <w:rFonts w:ascii="Times New Roman" w:hAnsi="Times New Roman"/>
              <w:sz w:val="18"/>
              <w:szCs w:val="18"/>
            </w:rPr>
            <w:fldChar w:fldCharType="separate"/>
          </w:r>
          <w:hyperlink w:anchor="_Toc456095894" w:history="1">
            <w:r w:rsidR="008D72AE" w:rsidRPr="008D72AE">
              <w:rPr>
                <w:rStyle w:val="Hyperlink"/>
                <w:rFonts w:ascii="Times New Roman" w:eastAsiaTheme="majorEastAsia" w:hAnsi="Times New Roman"/>
                <w:sz w:val="18"/>
                <w:szCs w:val="18"/>
              </w:rPr>
              <w:t>PREDGOVOR</w:t>
            </w:r>
            <w:r w:rsidR="008D72AE" w:rsidRPr="008D72AE">
              <w:rPr>
                <w:rFonts w:ascii="Times New Roman" w:hAnsi="Times New Roman"/>
                <w:webHidden/>
                <w:sz w:val="18"/>
                <w:szCs w:val="18"/>
              </w:rPr>
              <w:tab/>
            </w:r>
            <w:r w:rsidR="008D72AE" w:rsidRPr="008D72AE">
              <w:rPr>
                <w:rFonts w:ascii="Times New Roman" w:hAnsi="Times New Roman"/>
                <w:webHidden/>
                <w:sz w:val="18"/>
                <w:szCs w:val="18"/>
              </w:rPr>
              <w:fldChar w:fldCharType="begin"/>
            </w:r>
            <w:r w:rsidR="008D72AE" w:rsidRPr="008D72AE">
              <w:rPr>
                <w:rFonts w:ascii="Times New Roman" w:hAnsi="Times New Roman"/>
                <w:webHidden/>
                <w:sz w:val="18"/>
                <w:szCs w:val="18"/>
              </w:rPr>
              <w:instrText xml:space="preserve"> PAGEREF _Toc456095894 \h </w:instrText>
            </w:r>
            <w:r w:rsidR="008D72AE" w:rsidRPr="008D72AE">
              <w:rPr>
                <w:rFonts w:ascii="Times New Roman" w:hAnsi="Times New Roman"/>
                <w:webHidden/>
                <w:sz w:val="18"/>
                <w:szCs w:val="18"/>
              </w:rPr>
            </w:r>
            <w:r w:rsidR="008D72AE" w:rsidRPr="008D72AE">
              <w:rPr>
                <w:rFonts w:ascii="Times New Roman" w:hAnsi="Times New Roman"/>
                <w:webHidden/>
                <w:sz w:val="18"/>
                <w:szCs w:val="18"/>
              </w:rPr>
              <w:fldChar w:fldCharType="separate"/>
            </w:r>
            <w:r w:rsidR="008D72AE" w:rsidRPr="008D72AE">
              <w:rPr>
                <w:rFonts w:ascii="Times New Roman" w:hAnsi="Times New Roman"/>
                <w:webHidden/>
                <w:sz w:val="18"/>
                <w:szCs w:val="18"/>
              </w:rPr>
              <w:t>4</w:t>
            </w:r>
            <w:r w:rsidR="008D72AE" w:rsidRPr="008D72AE">
              <w:rPr>
                <w:rFonts w:ascii="Times New Roman" w:hAnsi="Times New Roman"/>
                <w:webHidden/>
                <w:sz w:val="18"/>
                <w:szCs w:val="18"/>
              </w:rPr>
              <w:fldChar w:fldCharType="end"/>
            </w:r>
          </w:hyperlink>
        </w:p>
        <w:p w:rsidR="008D72AE" w:rsidRPr="008D72AE" w:rsidRDefault="00CC2E5C">
          <w:pPr>
            <w:pStyle w:val="TOC1"/>
            <w:rPr>
              <w:rFonts w:ascii="Times New Roman" w:eastAsiaTheme="minorEastAsia" w:hAnsi="Times New Roman"/>
              <w:b w:val="0"/>
              <w:bCs w:val="0"/>
              <w:caps w:val="0"/>
              <w:sz w:val="18"/>
              <w:szCs w:val="18"/>
              <w:lang w:eastAsia="en-GB"/>
            </w:rPr>
          </w:pPr>
          <w:hyperlink w:anchor="_Toc456095895" w:history="1">
            <w:r w:rsidR="008D72AE" w:rsidRPr="008D72AE">
              <w:rPr>
                <w:rStyle w:val="Hyperlink"/>
                <w:rFonts w:ascii="Times New Roman" w:eastAsiaTheme="minorHAnsi" w:hAnsi="Times New Roman"/>
                <w:sz w:val="18"/>
                <w:szCs w:val="18"/>
              </w:rPr>
              <w:t>SAŽETAK</w:t>
            </w:r>
            <w:r w:rsidR="008D72AE" w:rsidRPr="008D72AE">
              <w:rPr>
                <w:rFonts w:ascii="Times New Roman" w:hAnsi="Times New Roman"/>
                <w:webHidden/>
                <w:sz w:val="18"/>
                <w:szCs w:val="18"/>
              </w:rPr>
              <w:tab/>
            </w:r>
            <w:r w:rsidR="008D72AE" w:rsidRPr="008D72AE">
              <w:rPr>
                <w:rFonts w:ascii="Times New Roman" w:hAnsi="Times New Roman"/>
                <w:webHidden/>
                <w:sz w:val="18"/>
                <w:szCs w:val="18"/>
              </w:rPr>
              <w:fldChar w:fldCharType="begin"/>
            </w:r>
            <w:r w:rsidR="008D72AE" w:rsidRPr="008D72AE">
              <w:rPr>
                <w:rFonts w:ascii="Times New Roman" w:hAnsi="Times New Roman"/>
                <w:webHidden/>
                <w:sz w:val="18"/>
                <w:szCs w:val="18"/>
              </w:rPr>
              <w:instrText xml:space="preserve"> PAGEREF _Toc456095895 \h </w:instrText>
            </w:r>
            <w:r w:rsidR="008D72AE" w:rsidRPr="008D72AE">
              <w:rPr>
                <w:rFonts w:ascii="Times New Roman" w:hAnsi="Times New Roman"/>
                <w:webHidden/>
                <w:sz w:val="18"/>
                <w:szCs w:val="18"/>
              </w:rPr>
            </w:r>
            <w:r w:rsidR="008D72AE" w:rsidRPr="008D72AE">
              <w:rPr>
                <w:rFonts w:ascii="Times New Roman" w:hAnsi="Times New Roman"/>
                <w:webHidden/>
                <w:sz w:val="18"/>
                <w:szCs w:val="18"/>
              </w:rPr>
              <w:fldChar w:fldCharType="separate"/>
            </w:r>
            <w:r w:rsidR="008D72AE" w:rsidRPr="008D72AE">
              <w:rPr>
                <w:rFonts w:ascii="Times New Roman" w:hAnsi="Times New Roman"/>
                <w:webHidden/>
                <w:sz w:val="18"/>
                <w:szCs w:val="18"/>
              </w:rPr>
              <w:t>5</w:t>
            </w:r>
            <w:r w:rsidR="008D72AE" w:rsidRPr="008D72AE">
              <w:rPr>
                <w:rFonts w:ascii="Times New Roman" w:hAnsi="Times New Roman"/>
                <w:webHidden/>
                <w:sz w:val="18"/>
                <w:szCs w:val="18"/>
              </w:rPr>
              <w:fldChar w:fldCharType="end"/>
            </w:r>
          </w:hyperlink>
        </w:p>
        <w:p w:rsidR="008D72AE" w:rsidRPr="008D72AE" w:rsidRDefault="00CC2E5C">
          <w:pPr>
            <w:pStyle w:val="TOC1"/>
            <w:rPr>
              <w:rFonts w:ascii="Times New Roman" w:eastAsiaTheme="minorEastAsia" w:hAnsi="Times New Roman"/>
              <w:b w:val="0"/>
              <w:bCs w:val="0"/>
              <w:caps w:val="0"/>
              <w:sz w:val="18"/>
              <w:szCs w:val="18"/>
              <w:lang w:eastAsia="en-GB"/>
            </w:rPr>
          </w:pPr>
          <w:hyperlink w:anchor="_Toc456095896" w:history="1">
            <w:r w:rsidR="008D72AE" w:rsidRPr="008D72AE">
              <w:rPr>
                <w:rStyle w:val="Hyperlink"/>
                <w:rFonts w:ascii="Times New Roman" w:eastAsiaTheme="majorEastAsia" w:hAnsi="Times New Roman"/>
                <w:sz w:val="18"/>
                <w:szCs w:val="18"/>
              </w:rPr>
              <w:t>SKRAĆENICE</w:t>
            </w:r>
            <w:r w:rsidR="008D72AE" w:rsidRPr="008D72AE">
              <w:rPr>
                <w:rFonts w:ascii="Times New Roman" w:hAnsi="Times New Roman"/>
                <w:webHidden/>
                <w:sz w:val="18"/>
                <w:szCs w:val="18"/>
              </w:rPr>
              <w:tab/>
            </w:r>
            <w:r w:rsidR="008D72AE" w:rsidRPr="008D72AE">
              <w:rPr>
                <w:rFonts w:ascii="Times New Roman" w:hAnsi="Times New Roman"/>
                <w:webHidden/>
                <w:sz w:val="18"/>
                <w:szCs w:val="18"/>
              </w:rPr>
              <w:fldChar w:fldCharType="begin"/>
            </w:r>
            <w:r w:rsidR="008D72AE" w:rsidRPr="008D72AE">
              <w:rPr>
                <w:rFonts w:ascii="Times New Roman" w:hAnsi="Times New Roman"/>
                <w:webHidden/>
                <w:sz w:val="18"/>
                <w:szCs w:val="18"/>
              </w:rPr>
              <w:instrText xml:space="preserve"> PAGEREF _Toc456095896 \h </w:instrText>
            </w:r>
            <w:r w:rsidR="008D72AE" w:rsidRPr="008D72AE">
              <w:rPr>
                <w:rFonts w:ascii="Times New Roman" w:hAnsi="Times New Roman"/>
                <w:webHidden/>
                <w:sz w:val="18"/>
                <w:szCs w:val="18"/>
              </w:rPr>
            </w:r>
            <w:r w:rsidR="008D72AE" w:rsidRPr="008D72AE">
              <w:rPr>
                <w:rFonts w:ascii="Times New Roman" w:hAnsi="Times New Roman"/>
                <w:webHidden/>
                <w:sz w:val="18"/>
                <w:szCs w:val="18"/>
              </w:rPr>
              <w:fldChar w:fldCharType="separate"/>
            </w:r>
            <w:r w:rsidR="008D72AE" w:rsidRPr="008D72AE">
              <w:rPr>
                <w:rFonts w:ascii="Times New Roman" w:hAnsi="Times New Roman"/>
                <w:webHidden/>
                <w:sz w:val="18"/>
                <w:szCs w:val="18"/>
              </w:rPr>
              <w:t>8</w:t>
            </w:r>
            <w:r w:rsidR="008D72AE" w:rsidRPr="008D72AE">
              <w:rPr>
                <w:rFonts w:ascii="Times New Roman" w:hAnsi="Times New Roman"/>
                <w:webHidden/>
                <w:sz w:val="18"/>
                <w:szCs w:val="18"/>
              </w:rPr>
              <w:fldChar w:fldCharType="end"/>
            </w:r>
          </w:hyperlink>
        </w:p>
        <w:p w:rsidR="008D72AE" w:rsidRPr="008D72AE" w:rsidRDefault="00CC2E5C">
          <w:pPr>
            <w:pStyle w:val="TOC1"/>
            <w:tabs>
              <w:tab w:val="left" w:pos="440"/>
            </w:tabs>
            <w:rPr>
              <w:rFonts w:ascii="Times New Roman" w:eastAsiaTheme="minorEastAsia" w:hAnsi="Times New Roman"/>
              <w:b w:val="0"/>
              <w:bCs w:val="0"/>
              <w:caps w:val="0"/>
              <w:sz w:val="18"/>
              <w:szCs w:val="18"/>
              <w:lang w:eastAsia="en-GB"/>
            </w:rPr>
          </w:pPr>
          <w:hyperlink w:anchor="_Toc456095897" w:history="1">
            <w:r w:rsidR="008D72AE" w:rsidRPr="008D72AE">
              <w:rPr>
                <w:rStyle w:val="Hyperlink"/>
                <w:rFonts w:ascii="Times New Roman" w:eastAsiaTheme="majorEastAsia" w:hAnsi="Times New Roman"/>
                <w:sz w:val="18"/>
                <w:szCs w:val="18"/>
              </w:rPr>
              <w:t>1.</w:t>
            </w:r>
            <w:r w:rsidR="008D72AE" w:rsidRPr="008D72AE">
              <w:rPr>
                <w:rFonts w:ascii="Times New Roman" w:eastAsiaTheme="minorEastAsia" w:hAnsi="Times New Roman"/>
                <w:b w:val="0"/>
                <w:bCs w:val="0"/>
                <w:caps w:val="0"/>
                <w:sz w:val="18"/>
                <w:szCs w:val="18"/>
                <w:lang w:eastAsia="en-GB"/>
              </w:rPr>
              <w:tab/>
            </w:r>
            <w:r w:rsidR="008D72AE" w:rsidRPr="008D72AE">
              <w:rPr>
                <w:rStyle w:val="Hyperlink"/>
                <w:rFonts w:ascii="Times New Roman" w:eastAsiaTheme="majorEastAsia" w:hAnsi="Times New Roman"/>
                <w:sz w:val="18"/>
                <w:szCs w:val="18"/>
              </w:rPr>
              <w:t>STANOVNIŠTVO</w:t>
            </w:r>
            <w:r w:rsidR="008D72AE" w:rsidRPr="008D72AE">
              <w:rPr>
                <w:rFonts w:ascii="Times New Roman" w:hAnsi="Times New Roman"/>
                <w:webHidden/>
                <w:sz w:val="18"/>
                <w:szCs w:val="18"/>
              </w:rPr>
              <w:tab/>
            </w:r>
            <w:r w:rsidR="008D72AE" w:rsidRPr="008D72AE">
              <w:rPr>
                <w:rFonts w:ascii="Times New Roman" w:hAnsi="Times New Roman"/>
                <w:webHidden/>
                <w:sz w:val="18"/>
                <w:szCs w:val="18"/>
              </w:rPr>
              <w:fldChar w:fldCharType="begin"/>
            </w:r>
            <w:r w:rsidR="008D72AE" w:rsidRPr="008D72AE">
              <w:rPr>
                <w:rFonts w:ascii="Times New Roman" w:hAnsi="Times New Roman"/>
                <w:webHidden/>
                <w:sz w:val="18"/>
                <w:szCs w:val="18"/>
              </w:rPr>
              <w:instrText xml:space="preserve"> PAGEREF _Toc456095897 \h </w:instrText>
            </w:r>
            <w:r w:rsidR="008D72AE" w:rsidRPr="008D72AE">
              <w:rPr>
                <w:rFonts w:ascii="Times New Roman" w:hAnsi="Times New Roman"/>
                <w:webHidden/>
                <w:sz w:val="18"/>
                <w:szCs w:val="18"/>
              </w:rPr>
            </w:r>
            <w:r w:rsidR="008D72AE" w:rsidRPr="008D72AE">
              <w:rPr>
                <w:rFonts w:ascii="Times New Roman" w:hAnsi="Times New Roman"/>
                <w:webHidden/>
                <w:sz w:val="18"/>
                <w:szCs w:val="18"/>
              </w:rPr>
              <w:fldChar w:fldCharType="separate"/>
            </w:r>
            <w:r w:rsidR="008D72AE" w:rsidRPr="008D72AE">
              <w:rPr>
                <w:rFonts w:ascii="Times New Roman" w:hAnsi="Times New Roman"/>
                <w:webHidden/>
                <w:sz w:val="18"/>
                <w:szCs w:val="18"/>
              </w:rPr>
              <w:t>11</w:t>
            </w:r>
            <w:r w:rsidR="008D72AE" w:rsidRPr="008D72AE">
              <w:rPr>
                <w:rFonts w:ascii="Times New Roman" w:hAnsi="Times New Roman"/>
                <w:webHidden/>
                <w:sz w:val="18"/>
                <w:szCs w:val="18"/>
              </w:rPr>
              <w:fldChar w:fldCharType="end"/>
            </w:r>
          </w:hyperlink>
        </w:p>
        <w:p w:rsidR="008D72AE" w:rsidRPr="008D72AE" w:rsidRDefault="00CC2E5C">
          <w:pPr>
            <w:pStyle w:val="TOC2"/>
            <w:tabs>
              <w:tab w:val="right" w:leader="dot" w:pos="9062"/>
            </w:tabs>
            <w:rPr>
              <w:rFonts w:eastAsiaTheme="minorEastAsia"/>
              <w:smallCaps w:val="0"/>
              <w:noProof/>
              <w:sz w:val="18"/>
              <w:szCs w:val="18"/>
              <w:lang w:eastAsia="en-GB"/>
            </w:rPr>
          </w:pPr>
          <w:hyperlink w:anchor="_Toc456095898" w:history="1">
            <w:r w:rsidR="008D72AE" w:rsidRPr="008D72AE">
              <w:rPr>
                <w:rStyle w:val="Hyperlink"/>
                <w:rFonts w:eastAsiaTheme="majorEastAsia"/>
                <w:noProof/>
                <w:sz w:val="18"/>
                <w:szCs w:val="18"/>
              </w:rPr>
              <w:t>1.1 Vitalni pokazatelji</w:t>
            </w:r>
            <w:r w:rsidR="008D72AE" w:rsidRPr="008D72AE">
              <w:rPr>
                <w:noProof/>
                <w:webHidden/>
                <w:sz w:val="18"/>
                <w:szCs w:val="18"/>
              </w:rPr>
              <w:tab/>
            </w:r>
            <w:r w:rsidR="008D72AE" w:rsidRPr="008D72AE">
              <w:rPr>
                <w:noProof/>
                <w:webHidden/>
                <w:sz w:val="18"/>
                <w:szCs w:val="18"/>
              </w:rPr>
              <w:fldChar w:fldCharType="begin"/>
            </w:r>
            <w:r w:rsidR="008D72AE" w:rsidRPr="008D72AE">
              <w:rPr>
                <w:noProof/>
                <w:webHidden/>
                <w:sz w:val="18"/>
                <w:szCs w:val="18"/>
              </w:rPr>
              <w:instrText xml:space="preserve"> PAGEREF _Toc456095898 \h </w:instrText>
            </w:r>
            <w:r w:rsidR="008D72AE" w:rsidRPr="008D72AE">
              <w:rPr>
                <w:noProof/>
                <w:webHidden/>
                <w:sz w:val="18"/>
                <w:szCs w:val="18"/>
              </w:rPr>
            </w:r>
            <w:r w:rsidR="008D72AE" w:rsidRPr="008D72AE">
              <w:rPr>
                <w:noProof/>
                <w:webHidden/>
                <w:sz w:val="18"/>
                <w:szCs w:val="18"/>
              </w:rPr>
              <w:fldChar w:fldCharType="separate"/>
            </w:r>
            <w:r w:rsidR="008D72AE" w:rsidRPr="008D72AE">
              <w:rPr>
                <w:noProof/>
                <w:webHidden/>
                <w:sz w:val="18"/>
                <w:szCs w:val="18"/>
              </w:rPr>
              <w:t>11</w:t>
            </w:r>
            <w:r w:rsidR="008D72AE" w:rsidRPr="008D72AE">
              <w:rPr>
                <w:noProof/>
                <w:webHidden/>
                <w:sz w:val="18"/>
                <w:szCs w:val="18"/>
              </w:rPr>
              <w:fldChar w:fldCharType="end"/>
            </w:r>
          </w:hyperlink>
        </w:p>
        <w:p w:rsidR="008D72AE" w:rsidRPr="008D72AE" w:rsidRDefault="00CC2E5C">
          <w:pPr>
            <w:pStyle w:val="TOC2"/>
            <w:tabs>
              <w:tab w:val="left" w:pos="880"/>
              <w:tab w:val="right" w:leader="dot" w:pos="9062"/>
            </w:tabs>
            <w:rPr>
              <w:rFonts w:eastAsiaTheme="minorEastAsia"/>
              <w:smallCaps w:val="0"/>
              <w:noProof/>
              <w:sz w:val="18"/>
              <w:szCs w:val="18"/>
              <w:lang w:eastAsia="en-GB"/>
            </w:rPr>
          </w:pPr>
          <w:hyperlink w:anchor="_Toc456095899" w:history="1">
            <w:r w:rsidR="008D72AE" w:rsidRPr="008D72AE">
              <w:rPr>
                <w:rStyle w:val="Hyperlink"/>
                <w:rFonts w:eastAsiaTheme="majorEastAsia"/>
                <w:noProof/>
                <w:sz w:val="18"/>
                <w:szCs w:val="18"/>
              </w:rPr>
              <w:t>1.2</w:t>
            </w:r>
            <w:r w:rsidR="008D72AE" w:rsidRPr="008D72AE">
              <w:rPr>
                <w:rFonts w:eastAsiaTheme="minorEastAsia"/>
                <w:smallCaps w:val="0"/>
                <w:noProof/>
                <w:sz w:val="18"/>
                <w:szCs w:val="18"/>
                <w:lang w:eastAsia="en-GB"/>
              </w:rPr>
              <w:tab/>
            </w:r>
            <w:r w:rsidR="008D72AE" w:rsidRPr="008D72AE">
              <w:rPr>
                <w:rStyle w:val="Hyperlink"/>
                <w:rFonts w:eastAsiaTheme="majorEastAsia"/>
                <w:noProof/>
                <w:sz w:val="18"/>
                <w:szCs w:val="18"/>
              </w:rPr>
              <w:t>Očekivana dužina života</w:t>
            </w:r>
            <w:r w:rsidR="008D72AE" w:rsidRPr="008D72AE">
              <w:rPr>
                <w:noProof/>
                <w:webHidden/>
                <w:sz w:val="18"/>
                <w:szCs w:val="18"/>
              </w:rPr>
              <w:tab/>
            </w:r>
            <w:r w:rsidR="008D72AE" w:rsidRPr="008D72AE">
              <w:rPr>
                <w:noProof/>
                <w:webHidden/>
                <w:sz w:val="18"/>
                <w:szCs w:val="18"/>
              </w:rPr>
              <w:fldChar w:fldCharType="begin"/>
            </w:r>
            <w:r w:rsidR="008D72AE" w:rsidRPr="008D72AE">
              <w:rPr>
                <w:noProof/>
                <w:webHidden/>
                <w:sz w:val="18"/>
                <w:szCs w:val="18"/>
              </w:rPr>
              <w:instrText xml:space="preserve"> PAGEREF _Toc456095899 \h </w:instrText>
            </w:r>
            <w:r w:rsidR="008D72AE" w:rsidRPr="008D72AE">
              <w:rPr>
                <w:noProof/>
                <w:webHidden/>
                <w:sz w:val="18"/>
                <w:szCs w:val="18"/>
              </w:rPr>
            </w:r>
            <w:r w:rsidR="008D72AE" w:rsidRPr="008D72AE">
              <w:rPr>
                <w:noProof/>
                <w:webHidden/>
                <w:sz w:val="18"/>
                <w:szCs w:val="18"/>
              </w:rPr>
              <w:fldChar w:fldCharType="separate"/>
            </w:r>
            <w:r w:rsidR="008D72AE" w:rsidRPr="008D72AE">
              <w:rPr>
                <w:noProof/>
                <w:webHidden/>
                <w:sz w:val="18"/>
                <w:szCs w:val="18"/>
              </w:rPr>
              <w:t>12</w:t>
            </w:r>
            <w:r w:rsidR="008D72AE" w:rsidRPr="008D72AE">
              <w:rPr>
                <w:noProof/>
                <w:webHidden/>
                <w:sz w:val="18"/>
                <w:szCs w:val="18"/>
              </w:rPr>
              <w:fldChar w:fldCharType="end"/>
            </w:r>
          </w:hyperlink>
        </w:p>
        <w:p w:rsidR="008D72AE" w:rsidRPr="008D72AE" w:rsidRDefault="00CC2E5C">
          <w:pPr>
            <w:pStyle w:val="TOC1"/>
            <w:tabs>
              <w:tab w:val="left" w:pos="440"/>
            </w:tabs>
            <w:rPr>
              <w:rFonts w:ascii="Times New Roman" w:eastAsiaTheme="minorEastAsia" w:hAnsi="Times New Roman"/>
              <w:b w:val="0"/>
              <w:bCs w:val="0"/>
              <w:caps w:val="0"/>
              <w:sz w:val="18"/>
              <w:szCs w:val="18"/>
              <w:lang w:eastAsia="en-GB"/>
            </w:rPr>
          </w:pPr>
          <w:hyperlink w:anchor="_Toc456095900" w:history="1">
            <w:r w:rsidR="008D72AE" w:rsidRPr="008D72AE">
              <w:rPr>
                <w:rStyle w:val="Hyperlink"/>
                <w:rFonts w:ascii="Times New Roman" w:eastAsiaTheme="majorEastAsia" w:hAnsi="Times New Roman"/>
                <w:sz w:val="18"/>
                <w:szCs w:val="18"/>
              </w:rPr>
              <w:t>2.</w:t>
            </w:r>
            <w:r w:rsidR="008D72AE" w:rsidRPr="008D72AE">
              <w:rPr>
                <w:rFonts w:ascii="Times New Roman" w:eastAsiaTheme="minorEastAsia" w:hAnsi="Times New Roman"/>
                <w:b w:val="0"/>
                <w:bCs w:val="0"/>
                <w:caps w:val="0"/>
                <w:sz w:val="18"/>
                <w:szCs w:val="18"/>
                <w:lang w:eastAsia="en-GB"/>
              </w:rPr>
              <w:tab/>
            </w:r>
            <w:r w:rsidR="008D72AE" w:rsidRPr="008D72AE">
              <w:rPr>
                <w:rStyle w:val="Hyperlink"/>
                <w:rFonts w:ascii="Times New Roman" w:eastAsiaTheme="majorEastAsia" w:hAnsi="Times New Roman"/>
                <w:sz w:val="18"/>
                <w:szCs w:val="18"/>
              </w:rPr>
              <w:t>SOCIOEKONOMSKI POKAZATELJI</w:t>
            </w:r>
            <w:r w:rsidR="008D72AE" w:rsidRPr="008D72AE">
              <w:rPr>
                <w:rFonts w:ascii="Times New Roman" w:hAnsi="Times New Roman"/>
                <w:webHidden/>
                <w:sz w:val="18"/>
                <w:szCs w:val="18"/>
              </w:rPr>
              <w:tab/>
            </w:r>
            <w:r w:rsidR="008D72AE" w:rsidRPr="008D72AE">
              <w:rPr>
                <w:rFonts w:ascii="Times New Roman" w:hAnsi="Times New Roman"/>
                <w:webHidden/>
                <w:sz w:val="18"/>
                <w:szCs w:val="18"/>
              </w:rPr>
              <w:fldChar w:fldCharType="begin"/>
            </w:r>
            <w:r w:rsidR="008D72AE" w:rsidRPr="008D72AE">
              <w:rPr>
                <w:rFonts w:ascii="Times New Roman" w:hAnsi="Times New Roman"/>
                <w:webHidden/>
                <w:sz w:val="18"/>
                <w:szCs w:val="18"/>
              </w:rPr>
              <w:instrText xml:space="preserve"> PAGEREF _Toc456095900 \h </w:instrText>
            </w:r>
            <w:r w:rsidR="008D72AE" w:rsidRPr="008D72AE">
              <w:rPr>
                <w:rFonts w:ascii="Times New Roman" w:hAnsi="Times New Roman"/>
                <w:webHidden/>
                <w:sz w:val="18"/>
                <w:szCs w:val="18"/>
              </w:rPr>
            </w:r>
            <w:r w:rsidR="008D72AE" w:rsidRPr="008D72AE">
              <w:rPr>
                <w:rFonts w:ascii="Times New Roman" w:hAnsi="Times New Roman"/>
                <w:webHidden/>
                <w:sz w:val="18"/>
                <w:szCs w:val="18"/>
              </w:rPr>
              <w:fldChar w:fldCharType="separate"/>
            </w:r>
            <w:r w:rsidR="008D72AE" w:rsidRPr="008D72AE">
              <w:rPr>
                <w:rFonts w:ascii="Times New Roman" w:hAnsi="Times New Roman"/>
                <w:webHidden/>
                <w:sz w:val="18"/>
                <w:szCs w:val="18"/>
              </w:rPr>
              <w:t>13</w:t>
            </w:r>
            <w:r w:rsidR="008D72AE" w:rsidRPr="008D72AE">
              <w:rPr>
                <w:rFonts w:ascii="Times New Roman" w:hAnsi="Times New Roman"/>
                <w:webHidden/>
                <w:sz w:val="18"/>
                <w:szCs w:val="18"/>
              </w:rPr>
              <w:fldChar w:fldCharType="end"/>
            </w:r>
          </w:hyperlink>
        </w:p>
        <w:p w:rsidR="008D72AE" w:rsidRPr="008D72AE" w:rsidRDefault="00CC2E5C">
          <w:pPr>
            <w:pStyle w:val="TOC2"/>
            <w:tabs>
              <w:tab w:val="right" w:leader="dot" w:pos="9062"/>
            </w:tabs>
            <w:rPr>
              <w:rFonts w:eastAsiaTheme="minorEastAsia"/>
              <w:smallCaps w:val="0"/>
              <w:noProof/>
              <w:sz w:val="18"/>
              <w:szCs w:val="18"/>
              <w:lang w:eastAsia="en-GB"/>
            </w:rPr>
          </w:pPr>
          <w:hyperlink w:anchor="_Toc456095901" w:history="1">
            <w:r w:rsidR="008D72AE" w:rsidRPr="008D72AE">
              <w:rPr>
                <w:rStyle w:val="Hyperlink"/>
                <w:rFonts w:eastAsiaTheme="majorEastAsia"/>
                <w:noProof/>
                <w:sz w:val="18"/>
                <w:szCs w:val="18"/>
              </w:rPr>
              <w:t>2.1 Siromaštvo i socijalna isklučenost</w:t>
            </w:r>
            <w:r w:rsidR="008D72AE" w:rsidRPr="008D72AE">
              <w:rPr>
                <w:noProof/>
                <w:webHidden/>
                <w:sz w:val="18"/>
                <w:szCs w:val="18"/>
              </w:rPr>
              <w:tab/>
            </w:r>
            <w:r w:rsidR="008D72AE" w:rsidRPr="008D72AE">
              <w:rPr>
                <w:noProof/>
                <w:webHidden/>
                <w:sz w:val="18"/>
                <w:szCs w:val="18"/>
              </w:rPr>
              <w:fldChar w:fldCharType="begin"/>
            </w:r>
            <w:r w:rsidR="008D72AE" w:rsidRPr="008D72AE">
              <w:rPr>
                <w:noProof/>
                <w:webHidden/>
                <w:sz w:val="18"/>
                <w:szCs w:val="18"/>
              </w:rPr>
              <w:instrText xml:space="preserve"> PAGEREF _Toc456095901 \h </w:instrText>
            </w:r>
            <w:r w:rsidR="008D72AE" w:rsidRPr="008D72AE">
              <w:rPr>
                <w:noProof/>
                <w:webHidden/>
                <w:sz w:val="18"/>
                <w:szCs w:val="18"/>
              </w:rPr>
            </w:r>
            <w:r w:rsidR="008D72AE" w:rsidRPr="008D72AE">
              <w:rPr>
                <w:noProof/>
                <w:webHidden/>
                <w:sz w:val="18"/>
                <w:szCs w:val="18"/>
              </w:rPr>
              <w:fldChar w:fldCharType="separate"/>
            </w:r>
            <w:r w:rsidR="008D72AE" w:rsidRPr="008D72AE">
              <w:rPr>
                <w:noProof/>
                <w:webHidden/>
                <w:sz w:val="18"/>
                <w:szCs w:val="18"/>
              </w:rPr>
              <w:t>14</w:t>
            </w:r>
            <w:r w:rsidR="008D72AE" w:rsidRPr="008D72AE">
              <w:rPr>
                <w:noProof/>
                <w:webHidden/>
                <w:sz w:val="18"/>
                <w:szCs w:val="18"/>
              </w:rPr>
              <w:fldChar w:fldCharType="end"/>
            </w:r>
          </w:hyperlink>
        </w:p>
        <w:p w:rsidR="008D72AE" w:rsidRPr="008D72AE" w:rsidRDefault="00CC2E5C">
          <w:pPr>
            <w:pStyle w:val="TOC2"/>
            <w:tabs>
              <w:tab w:val="right" w:leader="dot" w:pos="9062"/>
            </w:tabs>
            <w:rPr>
              <w:rFonts w:eastAsiaTheme="minorEastAsia"/>
              <w:smallCaps w:val="0"/>
              <w:noProof/>
              <w:sz w:val="18"/>
              <w:szCs w:val="18"/>
              <w:lang w:eastAsia="en-GB"/>
            </w:rPr>
          </w:pPr>
          <w:hyperlink w:anchor="_Toc456095902" w:history="1">
            <w:r w:rsidR="008D72AE" w:rsidRPr="008D72AE">
              <w:rPr>
                <w:rStyle w:val="Hyperlink"/>
                <w:rFonts w:eastAsiaTheme="majorEastAsia"/>
                <w:noProof/>
                <w:sz w:val="18"/>
                <w:szCs w:val="18"/>
              </w:rPr>
              <w:t xml:space="preserve">2.2 Stopa </w:t>
            </w:r>
            <w:r w:rsidR="00A342B4">
              <w:rPr>
                <w:rStyle w:val="Hyperlink"/>
                <w:rFonts w:eastAsiaTheme="majorEastAsia"/>
                <w:noProof/>
                <w:sz w:val="18"/>
                <w:szCs w:val="18"/>
              </w:rPr>
              <w:t>u</w:t>
            </w:r>
            <w:r w:rsidR="008D72AE" w:rsidRPr="008D72AE">
              <w:rPr>
                <w:rStyle w:val="Hyperlink"/>
                <w:rFonts w:eastAsiaTheme="majorEastAsia"/>
                <w:noProof/>
                <w:sz w:val="18"/>
                <w:szCs w:val="18"/>
              </w:rPr>
              <w:t>zdržavanog stanovništva (Dependency ratio)</w:t>
            </w:r>
            <w:r w:rsidR="008D72AE" w:rsidRPr="008D72AE">
              <w:rPr>
                <w:noProof/>
                <w:webHidden/>
                <w:sz w:val="18"/>
                <w:szCs w:val="18"/>
              </w:rPr>
              <w:tab/>
            </w:r>
            <w:r w:rsidR="008D72AE" w:rsidRPr="008D72AE">
              <w:rPr>
                <w:noProof/>
                <w:webHidden/>
                <w:sz w:val="18"/>
                <w:szCs w:val="18"/>
              </w:rPr>
              <w:fldChar w:fldCharType="begin"/>
            </w:r>
            <w:r w:rsidR="008D72AE" w:rsidRPr="008D72AE">
              <w:rPr>
                <w:noProof/>
                <w:webHidden/>
                <w:sz w:val="18"/>
                <w:szCs w:val="18"/>
              </w:rPr>
              <w:instrText xml:space="preserve"> PAGEREF _Toc456095902 \h </w:instrText>
            </w:r>
            <w:r w:rsidR="008D72AE" w:rsidRPr="008D72AE">
              <w:rPr>
                <w:noProof/>
                <w:webHidden/>
                <w:sz w:val="18"/>
                <w:szCs w:val="18"/>
              </w:rPr>
            </w:r>
            <w:r w:rsidR="008D72AE" w:rsidRPr="008D72AE">
              <w:rPr>
                <w:noProof/>
                <w:webHidden/>
                <w:sz w:val="18"/>
                <w:szCs w:val="18"/>
              </w:rPr>
              <w:fldChar w:fldCharType="separate"/>
            </w:r>
            <w:r w:rsidR="008D72AE" w:rsidRPr="008D72AE">
              <w:rPr>
                <w:noProof/>
                <w:webHidden/>
                <w:sz w:val="18"/>
                <w:szCs w:val="18"/>
              </w:rPr>
              <w:t>15</w:t>
            </w:r>
            <w:r w:rsidR="008D72AE" w:rsidRPr="008D72AE">
              <w:rPr>
                <w:noProof/>
                <w:webHidden/>
                <w:sz w:val="18"/>
                <w:szCs w:val="18"/>
              </w:rPr>
              <w:fldChar w:fldCharType="end"/>
            </w:r>
          </w:hyperlink>
        </w:p>
        <w:p w:rsidR="008D72AE" w:rsidRPr="008D72AE" w:rsidRDefault="00CC2E5C">
          <w:pPr>
            <w:pStyle w:val="TOC2"/>
            <w:tabs>
              <w:tab w:val="right" w:leader="dot" w:pos="9062"/>
            </w:tabs>
            <w:rPr>
              <w:rFonts w:eastAsiaTheme="minorEastAsia"/>
              <w:smallCaps w:val="0"/>
              <w:noProof/>
              <w:sz w:val="18"/>
              <w:szCs w:val="18"/>
              <w:lang w:eastAsia="en-GB"/>
            </w:rPr>
          </w:pPr>
          <w:hyperlink w:anchor="_Toc456095903" w:history="1">
            <w:r w:rsidR="008D72AE" w:rsidRPr="008D72AE">
              <w:rPr>
                <w:rStyle w:val="Hyperlink"/>
                <w:rFonts w:eastAsiaTheme="majorEastAsia"/>
                <w:noProof/>
                <w:sz w:val="18"/>
                <w:szCs w:val="18"/>
              </w:rPr>
              <w:t>2.3 Pismenost odraslih</w:t>
            </w:r>
            <w:r w:rsidR="008D72AE" w:rsidRPr="008D72AE">
              <w:rPr>
                <w:noProof/>
                <w:webHidden/>
                <w:sz w:val="18"/>
                <w:szCs w:val="18"/>
              </w:rPr>
              <w:tab/>
            </w:r>
            <w:r w:rsidR="008D72AE" w:rsidRPr="008D72AE">
              <w:rPr>
                <w:noProof/>
                <w:webHidden/>
                <w:sz w:val="18"/>
                <w:szCs w:val="18"/>
              </w:rPr>
              <w:fldChar w:fldCharType="begin"/>
            </w:r>
            <w:r w:rsidR="008D72AE" w:rsidRPr="008D72AE">
              <w:rPr>
                <w:noProof/>
                <w:webHidden/>
                <w:sz w:val="18"/>
                <w:szCs w:val="18"/>
              </w:rPr>
              <w:instrText xml:space="preserve"> PAGEREF _Toc456095903 \h </w:instrText>
            </w:r>
            <w:r w:rsidR="008D72AE" w:rsidRPr="008D72AE">
              <w:rPr>
                <w:noProof/>
                <w:webHidden/>
                <w:sz w:val="18"/>
                <w:szCs w:val="18"/>
              </w:rPr>
            </w:r>
            <w:r w:rsidR="008D72AE" w:rsidRPr="008D72AE">
              <w:rPr>
                <w:noProof/>
                <w:webHidden/>
                <w:sz w:val="18"/>
                <w:szCs w:val="18"/>
              </w:rPr>
              <w:fldChar w:fldCharType="separate"/>
            </w:r>
            <w:r w:rsidR="008D72AE" w:rsidRPr="008D72AE">
              <w:rPr>
                <w:noProof/>
                <w:webHidden/>
                <w:sz w:val="18"/>
                <w:szCs w:val="18"/>
              </w:rPr>
              <w:t>15</w:t>
            </w:r>
            <w:r w:rsidR="008D72AE" w:rsidRPr="008D72AE">
              <w:rPr>
                <w:noProof/>
                <w:webHidden/>
                <w:sz w:val="18"/>
                <w:szCs w:val="18"/>
              </w:rPr>
              <w:fldChar w:fldCharType="end"/>
            </w:r>
          </w:hyperlink>
        </w:p>
        <w:p w:rsidR="008D72AE" w:rsidRPr="008D72AE" w:rsidRDefault="00CC2E5C">
          <w:pPr>
            <w:pStyle w:val="TOC1"/>
            <w:tabs>
              <w:tab w:val="left" w:pos="440"/>
            </w:tabs>
            <w:rPr>
              <w:rFonts w:ascii="Times New Roman" w:eastAsiaTheme="minorEastAsia" w:hAnsi="Times New Roman"/>
              <w:b w:val="0"/>
              <w:bCs w:val="0"/>
              <w:caps w:val="0"/>
              <w:sz w:val="18"/>
              <w:szCs w:val="18"/>
              <w:lang w:eastAsia="en-GB"/>
            </w:rPr>
          </w:pPr>
          <w:hyperlink w:anchor="_Toc456095904" w:history="1">
            <w:r w:rsidR="008D72AE" w:rsidRPr="008D72AE">
              <w:rPr>
                <w:rStyle w:val="Hyperlink"/>
                <w:rFonts w:ascii="Times New Roman" w:eastAsiaTheme="minorHAnsi" w:hAnsi="Times New Roman"/>
                <w:sz w:val="18"/>
                <w:szCs w:val="18"/>
              </w:rPr>
              <w:t>3.</w:t>
            </w:r>
            <w:r w:rsidR="008D72AE" w:rsidRPr="008D72AE">
              <w:rPr>
                <w:rFonts w:ascii="Times New Roman" w:eastAsiaTheme="minorEastAsia" w:hAnsi="Times New Roman"/>
                <w:b w:val="0"/>
                <w:bCs w:val="0"/>
                <w:caps w:val="0"/>
                <w:sz w:val="18"/>
                <w:szCs w:val="18"/>
                <w:lang w:eastAsia="en-GB"/>
              </w:rPr>
              <w:tab/>
            </w:r>
            <w:r w:rsidR="008D72AE" w:rsidRPr="008D72AE">
              <w:rPr>
                <w:rStyle w:val="Hyperlink"/>
                <w:rFonts w:ascii="Times New Roman" w:eastAsiaTheme="minorHAnsi" w:hAnsi="Times New Roman"/>
                <w:sz w:val="18"/>
                <w:szCs w:val="18"/>
              </w:rPr>
              <w:t>POKAZATELJI ZDRAVLJA STANOVNIŠTVA</w:t>
            </w:r>
            <w:r w:rsidR="008D72AE" w:rsidRPr="008D72AE">
              <w:rPr>
                <w:rFonts w:ascii="Times New Roman" w:hAnsi="Times New Roman"/>
                <w:webHidden/>
                <w:sz w:val="18"/>
                <w:szCs w:val="18"/>
              </w:rPr>
              <w:tab/>
            </w:r>
            <w:r w:rsidR="008D72AE" w:rsidRPr="008D72AE">
              <w:rPr>
                <w:rFonts w:ascii="Times New Roman" w:hAnsi="Times New Roman"/>
                <w:webHidden/>
                <w:sz w:val="18"/>
                <w:szCs w:val="18"/>
              </w:rPr>
              <w:fldChar w:fldCharType="begin"/>
            </w:r>
            <w:r w:rsidR="008D72AE" w:rsidRPr="008D72AE">
              <w:rPr>
                <w:rFonts w:ascii="Times New Roman" w:hAnsi="Times New Roman"/>
                <w:webHidden/>
                <w:sz w:val="18"/>
                <w:szCs w:val="18"/>
              </w:rPr>
              <w:instrText xml:space="preserve"> PAGEREF _Toc456095904 \h </w:instrText>
            </w:r>
            <w:r w:rsidR="008D72AE" w:rsidRPr="008D72AE">
              <w:rPr>
                <w:rFonts w:ascii="Times New Roman" w:hAnsi="Times New Roman"/>
                <w:webHidden/>
                <w:sz w:val="18"/>
                <w:szCs w:val="18"/>
              </w:rPr>
            </w:r>
            <w:r w:rsidR="008D72AE" w:rsidRPr="008D72AE">
              <w:rPr>
                <w:rFonts w:ascii="Times New Roman" w:hAnsi="Times New Roman"/>
                <w:webHidden/>
                <w:sz w:val="18"/>
                <w:szCs w:val="18"/>
              </w:rPr>
              <w:fldChar w:fldCharType="separate"/>
            </w:r>
            <w:r w:rsidR="008D72AE" w:rsidRPr="008D72AE">
              <w:rPr>
                <w:rFonts w:ascii="Times New Roman" w:hAnsi="Times New Roman"/>
                <w:webHidden/>
                <w:sz w:val="18"/>
                <w:szCs w:val="18"/>
              </w:rPr>
              <w:t>16</w:t>
            </w:r>
            <w:r w:rsidR="008D72AE" w:rsidRPr="008D72AE">
              <w:rPr>
                <w:rFonts w:ascii="Times New Roman" w:hAnsi="Times New Roman"/>
                <w:webHidden/>
                <w:sz w:val="18"/>
                <w:szCs w:val="18"/>
              </w:rPr>
              <w:fldChar w:fldCharType="end"/>
            </w:r>
          </w:hyperlink>
        </w:p>
        <w:p w:rsidR="008D72AE" w:rsidRPr="008D72AE" w:rsidRDefault="00CC2E5C">
          <w:pPr>
            <w:pStyle w:val="TOC2"/>
            <w:tabs>
              <w:tab w:val="right" w:leader="dot" w:pos="9062"/>
            </w:tabs>
            <w:rPr>
              <w:rFonts w:eastAsiaTheme="minorEastAsia"/>
              <w:smallCaps w:val="0"/>
              <w:noProof/>
              <w:sz w:val="18"/>
              <w:szCs w:val="18"/>
              <w:lang w:eastAsia="en-GB"/>
            </w:rPr>
          </w:pPr>
          <w:hyperlink w:anchor="_Toc456095905" w:history="1">
            <w:r w:rsidR="008D72AE" w:rsidRPr="008D72AE">
              <w:rPr>
                <w:rStyle w:val="Hyperlink"/>
                <w:rFonts w:eastAsiaTheme="majorEastAsia"/>
                <w:noProof/>
                <w:sz w:val="18"/>
                <w:szCs w:val="18"/>
              </w:rPr>
              <w:t>3.1 Mortalitet (umiranje)</w:t>
            </w:r>
            <w:r w:rsidR="008D72AE" w:rsidRPr="008D72AE">
              <w:rPr>
                <w:noProof/>
                <w:webHidden/>
                <w:sz w:val="18"/>
                <w:szCs w:val="18"/>
              </w:rPr>
              <w:tab/>
            </w:r>
            <w:r w:rsidR="008D72AE" w:rsidRPr="008D72AE">
              <w:rPr>
                <w:noProof/>
                <w:webHidden/>
                <w:sz w:val="18"/>
                <w:szCs w:val="18"/>
              </w:rPr>
              <w:fldChar w:fldCharType="begin"/>
            </w:r>
            <w:r w:rsidR="008D72AE" w:rsidRPr="008D72AE">
              <w:rPr>
                <w:noProof/>
                <w:webHidden/>
                <w:sz w:val="18"/>
                <w:szCs w:val="18"/>
              </w:rPr>
              <w:instrText xml:space="preserve"> PAGEREF _Toc456095905 \h </w:instrText>
            </w:r>
            <w:r w:rsidR="008D72AE" w:rsidRPr="008D72AE">
              <w:rPr>
                <w:noProof/>
                <w:webHidden/>
                <w:sz w:val="18"/>
                <w:szCs w:val="18"/>
              </w:rPr>
            </w:r>
            <w:r w:rsidR="008D72AE" w:rsidRPr="008D72AE">
              <w:rPr>
                <w:noProof/>
                <w:webHidden/>
                <w:sz w:val="18"/>
                <w:szCs w:val="18"/>
              </w:rPr>
              <w:fldChar w:fldCharType="separate"/>
            </w:r>
            <w:r w:rsidR="008D72AE" w:rsidRPr="008D72AE">
              <w:rPr>
                <w:noProof/>
                <w:webHidden/>
                <w:sz w:val="18"/>
                <w:szCs w:val="18"/>
              </w:rPr>
              <w:t>16</w:t>
            </w:r>
            <w:r w:rsidR="008D72AE" w:rsidRPr="008D72AE">
              <w:rPr>
                <w:noProof/>
                <w:webHidden/>
                <w:sz w:val="18"/>
                <w:szCs w:val="18"/>
              </w:rPr>
              <w:fldChar w:fldCharType="end"/>
            </w:r>
          </w:hyperlink>
        </w:p>
        <w:p w:rsidR="008D72AE" w:rsidRPr="008D72AE" w:rsidRDefault="00CC2E5C">
          <w:pPr>
            <w:pStyle w:val="TOC3"/>
            <w:tabs>
              <w:tab w:val="right" w:leader="dot" w:pos="9062"/>
            </w:tabs>
            <w:rPr>
              <w:rFonts w:eastAsiaTheme="minorEastAsia"/>
              <w:i w:val="0"/>
              <w:iCs w:val="0"/>
              <w:noProof/>
              <w:sz w:val="18"/>
              <w:szCs w:val="18"/>
              <w:lang w:eastAsia="en-GB"/>
            </w:rPr>
          </w:pPr>
          <w:hyperlink w:anchor="_Toc456095906" w:history="1">
            <w:r w:rsidR="008D72AE" w:rsidRPr="008D72AE">
              <w:rPr>
                <w:rStyle w:val="Hyperlink"/>
                <w:rFonts w:eastAsiaTheme="majorEastAsia"/>
                <w:noProof/>
                <w:sz w:val="18"/>
                <w:szCs w:val="18"/>
              </w:rPr>
              <w:t>3.1.1 Op</w:t>
            </w:r>
            <w:r w:rsidR="00537374">
              <w:rPr>
                <w:rStyle w:val="Hyperlink"/>
                <w:rFonts w:eastAsiaTheme="majorEastAsia"/>
                <w:noProof/>
                <w:sz w:val="18"/>
                <w:szCs w:val="18"/>
              </w:rPr>
              <w:t>ć</w:t>
            </w:r>
            <w:r w:rsidR="008D72AE" w:rsidRPr="008D72AE">
              <w:rPr>
                <w:rStyle w:val="Hyperlink"/>
                <w:rFonts w:eastAsiaTheme="majorEastAsia"/>
                <w:noProof/>
                <w:sz w:val="18"/>
                <w:szCs w:val="18"/>
              </w:rPr>
              <w:t>i mortalitet</w:t>
            </w:r>
            <w:r w:rsidR="008D72AE" w:rsidRPr="008D72AE">
              <w:rPr>
                <w:noProof/>
                <w:webHidden/>
                <w:sz w:val="18"/>
                <w:szCs w:val="18"/>
              </w:rPr>
              <w:tab/>
            </w:r>
            <w:r w:rsidR="008D72AE" w:rsidRPr="008D72AE">
              <w:rPr>
                <w:noProof/>
                <w:webHidden/>
                <w:sz w:val="18"/>
                <w:szCs w:val="18"/>
              </w:rPr>
              <w:fldChar w:fldCharType="begin"/>
            </w:r>
            <w:r w:rsidR="008D72AE" w:rsidRPr="008D72AE">
              <w:rPr>
                <w:noProof/>
                <w:webHidden/>
                <w:sz w:val="18"/>
                <w:szCs w:val="18"/>
              </w:rPr>
              <w:instrText xml:space="preserve"> PAGEREF _Toc456095906 \h </w:instrText>
            </w:r>
            <w:r w:rsidR="008D72AE" w:rsidRPr="008D72AE">
              <w:rPr>
                <w:noProof/>
                <w:webHidden/>
                <w:sz w:val="18"/>
                <w:szCs w:val="18"/>
              </w:rPr>
            </w:r>
            <w:r w:rsidR="008D72AE" w:rsidRPr="008D72AE">
              <w:rPr>
                <w:noProof/>
                <w:webHidden/>
                <w:sz w:val="18"/>
                <w:szCs w:val="18"/>
              </w:rPr>
              <w:fldChar w:fldCharType="separate"/>
            </w:r>
            <w:r w:rsidR="008D72AE" w:rsidRPr="008D72AE">
              <w:rPr>
                <w:noProof/>
                <w:webHidden/>
                <w:sz w:val="18"/>
                <w:szCs w:val="18"/>
              </w:rPr>
              <w:t>16</w:t>
            </w:r>
            <w:r w:rsidR="008D72AE" w:rsidRPr="008D72AE">
              <w:rPr>
                <w:noProof/>
                <w:webHidden/>
                <w:sz w:val="18"/>
                <w:szCs w:val="18"/>
              </w:rPr>
              <w:fldChar w:fldCharType="end"/>
            </w:r>
          </w:hyperlink>
        </w:p>
        <w:p w:rsidR="008D72AE" w:rsidRPr="008D72AE" w:rsidRDefault="00CC2E5C">
          <w:pPr>
            <w:pStyle w:val="TOC3"/>
            <w:tabs>
              <w:tab w:val="right" w:leader="dot" w:pos="9062"/>
            </w:tabs>
            <w:rPr>
              <w:rFonts w:eastAsiaTheme="minorEastAsia"/>
              <w:i w:val="0"/>
              <w:iCs w:val="0"/>
              <w:noProof/>
              <w:sz w:val="18"/>
              <w:szCs w:val="18"/>
              <w:lang w:eastAsia="en-GB"/>
            </w:rPr>
          </w:pPr>
          <w:hyperlink w:anchor="_Toc456095907" w:history="1">
            <w:r w:rsidR="008D72AE" w:rsidRPr="008D72AE">
              <w:rPr>
                <w:rStyle w:val="Hyperlink"/>
                <w:rFonts w:eastAsiaTheme="majorEastAsia"/>
                <w:noProof/>
                <w:sz w:val="18"/>
                <w:szCs w:val="18"/>
              </w:rPr>
              <w:t>3.1.2 Specifični mortalitet</w:t>
            </w:r>
            <w:r w:rsidR="008D72AE" w:rsidRPr="008D72AE">
              <w:rPr>
                <w:noProof/>
                <w:webHidden/>
                <w:sz w:val="18"/>
                <w:szCs w:val="18"/>
              </w:rPr>
              <w:tab/>
            </w:r>
            <w:r w:rsidR="008D72AE" w:rsidRPr="008D72AE">
              <w:rPr>
                <w:noProof/>
                <w:webHidden/>
                <w:sz w:val="18"/>
                <w:szCs w:val="18"/>
              </w:rPr>
              <w:fldChar w:fldCharType="begin"/>
            </w:r>
            <w:r w:rsidR="008D72AE" w:rsidRPr="008D72AE">
              <w:rPr>
                <w:noProof/>
                <w:webHidden/>
                <w:sz w:val="18"/>
                <w:szCs w:val="18"/>
              </w:rPr>
              <w:instrText xml:space="preserve"> PAGEREF _Toc456095907 \h </w:instrText>
            </w:r>
            <w:r w:rsidR="008D72AE" w:rsidRPr="008D72AE">
              <w:rPr>
                <w:noProof/>
                <w:webHidden/>
                <w:sz w:val="18"/>
                <w:szCs w:val="18"/>
              </w:rPr>
            </w:r>
            <w:r w:rsidR="008D72AE" w:rsidRPr="008D72AE">
              <w:rPr>
                <w:noProof/>
                <w:webHidden/>
                <w:sz w:val="18"/>
                <w:szCs w:val="18"/>
              </w:rPr>
              <w:fldChar w:fldCharType="separate"/>
            </w:r>
            <w:r w:rsidR="008D72AE" w:rsidRPr="008D72AE">
              <w:rPr>
                <w:noProof/>
                <w:webHidden/>
                <w:sz w:val="18"/>
                <w:szCs w:val="18"/>
              </w:rPr>
              <w:t>20</w:t>
            </w:r>
            <w:r w:rsidR="008D72AE" w:rsidRPr="008D72AE">
              <w:rPr>
                <w:noProof/>
                <w:webHidden/>
                <w:sz w:val="18"/>
                <w:szCs w:val="18"/>
              </w:rPr>
              <w:fldChar w:fldCharType="end"/>
            </w:r>
          </w:hyperlink>
        </w:p>
        <w:p w:rsidR="008D72AE" w:rsidRPr="008D72AE" w:rsidRDefault="00CC2E5C">
          <w:pPr>
            <w:pStyle w:val="TOC3"/>
            <w:tabs>
              <w:tab w:val="right" w:leader="dot" w:pos="9062"/>
            </w:tabs>
            <w:rPr>
              <w:rFonts w:eastAsiaTheme="minorEastAsia"/>
              <w:i w:val="0"/>
              <w:iCs w:val="0"/>
              <w:noProof/>
              <w:sz w:val="18"/>
              <w:szCs w:val="18"/>
              <w:lang w:eastAsia="en-GB"/>
            </w:rPr>
          </w:pPr>
          <w:hyperlink w:anchor="_Toc456095908" w:history="1">
            <w:r w:rsidR="008D72AE" w:rsidRPr="008D72AE">
              <w:rPr>
                <w:rStyle w:val="Hyperlink"/>
                <w:rFonts w:eastAsiaTheme="majorEastAsia"/>
                <w:noProof/>
                <w:sz w:val="18"/>
                <w:szCs w:val="18"/>
              </w:rPr>
              <w:t xml:space="preserve">3.1.3 </w:t>
            </w:r>
            <w:r w:rsidR="00D47907">
              <w:rPr>
                <w:rStyle w:val="Hyperlink"/>
                <w:rFonts w:eastAsiaTheme="majorEastAsia"/>
                <w:noProof/>
                <w:sz w:val="18"/>
                <w:szCs w:val="18"/>
              </w:rPr>
              <w:t>Ozljede</w:t>
            </w:r>
            <w:r w:rsidR="008D72AE" w:rsidRPr="008D72AE">
              <w:rPr>
                <w:rStyle w:val="Hyperlink"/>
                <w:rFonts w:eastAsiaTheme="majorEastAsia"/>
                <w:noProof/>
                <w:sz w:val="18"/>
                <w:szCs w:val="18"/>
              </w:rPr>
              <w:t xml:space="preserve"> kao uzroci smrti</w:t>
            </w:r>
            <w:r w:rsidR="008D72AE" w:rsidRPr="008D72AE">
              <w:rPr>
                <w:noProof/>
                <w:webHidden/>
                <w:sz w:val="18"/>
                <w:szCs w:val="18"/>
              </w:rPr>
              <w:tab/>
            </w:r>
            <w:r w:rsidR="008D72AE" w:rsidRPr="008D72AE">
              <w:rPr>
                <w:noProof/>
                <w:webHidden/>
                <w:sz w:val="18"/>
                <w:szCs w:val="18"/>
              </w:rPr>
              <w:fldChar w:fldCharType="begin"/>
            </w:r>
            <w:r w:rsidR="008D72AE" w:rsidRPr="008D72AE">
              <w:rPr>
                <w:noProof/>
                <w:webHidden/>
                <w:sz w:val="18"/>
                <w:szCs w:val="18"/>
              </w:rPr>
              <w:instrText xml:space="preserve"> PAGEREF _Toc456095908 \h </w:instrText>
            </w:r>
            <w:r w:rsidR="008D72AE" w:rsidRPr="008D72AE">
              <w:rPr>
                <w:noProof/>
                <w:webHidden/>
                <w:sz w:val="18"/>
                <w:szCs w:val="18"/>
              </w:rPr>
            </w:r>
            <w:r w:rsidR="008D72AE" w:rsidRPr="008D72AE">
              <w:rPr>
                <w:noProof/>
                <w:webHidden/>
                <w:sz w:val="18"/>
                <w:szCs w:val="18"/>
              </w:rPr>
              <w:fldChar w:fldCharType="separate"/>
            </w:r>
            <w:r w:rsidR="008D72AE" w:rsidRPr="008D72AE">
              <w:rPr>
                <w:noProof/>
                <w:webHidden/>
                <w:sz w:val="18"/>
                <w:szCs w:val="18"/>
              </w:rPr>
              <w:t>24</w:t>
            </w:r>
            <w:r w:rsidR="008D72AE" w:rsidRPr="008D72AE">
              <w:rPr>
                <w:noProof/>
                <w:webHidden/>
                <w:sz w:val="18"/>
                <w:szCs w:val="18"/>
              </w:rPr>
              <w:fldChar w:fldCharType="end"/>
            </w:r>
          </w:hyperlink>
        </w:p>
        <w:p w:rsidR="008D72AE" w:rsidRPr="008D72AE" w:rsidRDefault="00CC2E5C">
          <w:pPr>
            <w:pStyle w:val="TOC3"/>
            <w:tabs>
              <w:tab w:val="right" w:leader="dot" w:pos="9062"/>
            </w:tabs>
            <w:rPr>
              <w:rFonts w:eastAsiaTheme="minorEastAsia"/>
              <w:i w:val="0"/>
              <w:iCs w:val="0"/>
              <w:noProof/>
              <w:sz w:val="18"/>
              <w:szCs w:val="18"/>
              <w:lang w:eastAsia="en-GB"/>
            </w:rPr>
          </w:pPr>
          <w:hyperlink w:anchor="_Toc456095909" w:history="1">
            <w:r w:rsidR="008D72AE" w:rsidRPr="008D72AE">
              <w:rPr>
                <w:rStyle w:val="Hyperlink"/>
                <w:rFonts w:eastAsiaTheme="majorEastAsia"/>
                <w:noProof/>
                <w:sz w:val="18"/>
                <w:szCs w:val="18"/>
              </w:rPr>
              <w:t>3.1.4 Mortalitet dojenčadi</w:t>
            </w:r>
            <w:r w:rsidR="008D72AE" w:rsidRPr="008D72AE">
              <w:rPr>
                <w:noProof/>
                <w:webHidden/>
                <w:sz w:val="18"/>
                <w:szCs w:val="18"/>
              </w:rPr>
              <w:tab/>
            </w:r>
            <w:r w:rsidR="008D72AE" w:rsidRPr="008D72AE">
              <w:rPr>
                <w:noProof/>
                <w:webHidden/>
                <w:sz w:val="18"/>
                <w:szCs w:val="18"/>
              </w:rPr>
              <w:fldChar w:fldCharType="begin"/>
            </w:r>
            <w:r w:rsidR="008D72AE" w:rsidRPr="008D72AE">
              <w:rPr>
                <w:noProof/>
                <w:webHidden/>
                <w:sz w:val="18"/>
                <w:szCs w:val="18"/>
              </w:rPr>
              <w:instrText xml:space="preserve"> PAGEREF _Toc456095909 \h </w:instrText>
            </w:r>
            <w:r w:rsidR="008D72AE" w:rsidRPr="008D72AE">
              <w:rPr>
                <w:noProof/>
                <w:webHidden/>
                <w:sz w:val="18"/>
                <w:szCs w:val="18"/>
              </w:rPr>
            </w:r>
            <w:r w:rsidR="008D72AE" w:rsidRPr="008D72AE">
              <w:rPr>
                <w:noProof/>
                <w:webHidden/>
                <w:sz w:val="18"/>
                <w:szCs w:val="18"/>
              </w:rPr>
              <w:fldChar w:fldCharType="separate"/>
            </w:r>
            <w:r w:rsidR="008D72AE" w:rsidRPr="008D72AE">
              <w:rPr>
                <w:noProof/>
                <w:webHidden/>
                <w:sz w:val="18"/>
                <w:szCs w:val="18"/>
              </w:rPr>
              <w:t>25</w:t>
            </w:r>
            <w:r w:rsidR="008D72AE" w:rsidRPr="008D72AE">
              <w:rPr>
                <w:noProof/>
                <w:webHidden/>
                <w:sz w:val="18"/>
                <w:szCs w:val="18"/>
              </w:rPr>
              <w:fldChar w:fldCharType="end"/>
            </w:r>
          </w:hyperlink>
        </w:p>
        <w:p w:rsidR="008D72AE" w:rsidRPr="008D72AE" w:rsidRDefault="00CC2E5C">
          <w:pPr>
            <w:pStyle w:val="TOC3"/>
            <w:tabs>
              <w:tab w:val="right" w:leader="dot" w:pos="9062"/>
            </w:tabs>
            <w:rPr>
              <w:rFonts w:eastAsiaTheme="minorEastAsia"/>
              <w:i w:val="0"/>
              <w:iCs w:val="0"/>
              <w:noProof/>
              <w:sz w:val="18"/>
              <w:szCs w:val="18"/>
              <w:lang w:eastAsia="en-GB"/>
            </w:rPr>
          </w:pPr>
          <w:hyperlink w:anchor="_Toc456095910" w:history="1">
            <w:r w:rsidR="008D72AE" w:rsidRPr="008D72AE">
              <w:rPr>
                <w:rStyle w:val="Hyperlink"/>
                <w:rFonts w:eastAsiaTheme="majorEastAsia"/>
                <w:noProof/>
                <w:sz w:val="18"/>
                <w:szCs w:val="18"/>
              </w:rPr>
              <w:t>3.1.5 Smrtnost djece do 5 godina starosti</w:t>
            </w:r>
            <w:r w:rsidR="008D72AE" w:rsidRPr="008D72AE">
              <w:rPr>
                <w:noProof/>
                <w:webHidden/>
                <w:sz w:val="18"/>
                <w:szCs w:val="18"/>
              </w:rPr>
              <w:tab/>
            </w:r>
            <w:r w:rsidR="008D72AE" w:rsidRPr="008D72AE">
              <w:rPr>
                <w:noProof/>
                <w:webHidden/>
                <w:sz w:val="18"/>
                <w:szCs w:val="18"/>
              </w:rPr>
              <w:fldChar w:fldCharType="begin"/>
            </w:r>
            <w:r w:rsidR="008D72AE" w:rsidRPr="008D72AE">
              <w:rPr>
                <w:noProof/>
                <w:webHidden/>
                <w:sz w:val="18"/>
                <w:szCs w:val="18"/>
              </w:rPr>
              <w:instrText xml:space="preserve"> PAGEREF _Toc456095910 \h </w:instrText>
            </w:r>
            <w:r w:rsidR="008D72AE" w:rsidRPr="008D72AE">
              <w:rPr>
                <w:noProof/>
                <w:webHidden/>
                <w:sz w:val="18"/>
                <w:szCs w:val="18"/>
              </w:rPr>
            </w:r>
            <w:r w:rsidR="008D72AE" w:rsidRPr="008D72AE">
              <w:rPr>
                <w:noProof/>
                <w:webHidden/>
                <w:sz w:val="18"/>
                <w:szCs w:val="18"/>
              </w:rPr>
              <w:fldChar w:fldCharType="separate"/>
            </w:r>
            <w:r w:rsidR="008D72AE" w:rsidRPr="008D72AE">
              <w:rPr>
                <w:noProof/>
                <w:webHidden/>
                <w:sz w:val="18"/>
                <w:szCs w:val="18"/>
              </w:rPr>
              <w:t>26</w:t>
            </w:r>
            <w:r w:rsidR="008D72AE" w:rsidRPr="008D72AE">
              <w:rPr>
                <w:noProof/>
                <w:webHidden/>
                <w:sz w:val="18"/>
                <w:szCs w:val="18"/>
              </w:rPr>
              <w:fldChar w:fldCharType="end"/>
            </w:r>
          </w:hyperlink>
        </w:p>
        <w:p w:rsidR="008D72AE" w:rsidRPr="008D72AE" w:rsidRDefault="00CC2E5C">
          <w:pPr>
            <w:pStyle w:val="TOC2"/>
            <w:tabs>
              <w:tab w:val="right" w:leader="dot" w:pos="9062"/>
            </w:tabs>
            <w:rPr>
              <w:rFonts w:eastAsiaTheme="minorEastAsia"/>
              <w:smallCaps w:val="0"/>
              <w:noProof/>
              <w:sz w:val="18"/>
              <w:szCs w:val="18"/>
              <w:lang w:eastAsia="en-GB"/>
            </w:rPr>
          </w:pPr>
          <w:hyperlink w:anchor="_Toc456095911" w:history="1">
            <w:r w:rsidR="008D72AE" w:rsidRPr="008D72AE">
              <w:rPr>
                <w:rStyle w:val="Hyperlink"/>
                <w:rFonts w:eastAsiaTheme="minorHAnsi"/>
                <w:noProof/>
                <w:sz w:val="18"/>
                <w:szCs w:val="18"/>
                <w:lang w:val="bs-Latn-BA"/>
              </w:rPr>
              <w:t>3.2 Morbiditet (</w:t>
            </w:r>
            <w:r w:rsidR="00DA519D">
              <w:rPr>
                <w:rStyle w:val="Hyperlink"/>
                <w:rFonts w:eastAsiaTheme="minorHAnsi"/>
                <w:noProof/>
                <w:sz w:val="18"/>
                <w:szCs w:val="18"/>
                <w:lang w:val="bs-Latn-BA"/>
              </w:rPr>
              <w:t>pobol</w:t>
            </w:r>
            <w:r w:rsidR="008D72AE" w:rsidRPr="008D72AE">
              <w:rPr>
                <w:rStyle w:val="Hyperlink"/>
                <w:rFonts w:eastAsiaTheme="minorHAnsi"/>
                <w:noProof/>
                <w:sz w:val="18"/>
                <w:szCs w:val="18"/>
                <w:lang w:val="bs-Latn-BA"/>
              </w:rPr>
              <w:t>)</w:t>
            </w:r>
            <w:r w:rsidR="008D72AE" w:rsidRPr="008D72AE">
              <w:rPr>
                <w:noProof/>
                <w:webHidden/>
                <w:sz w:val="18"/>
                <w:szCs w:val="18"/>
              </w:rPr>
              <w:tab/>
            </w:r>
            <w:r w:rsidR="008D72AE" w:rsidRPr="008D72AE">
              <w:rPr>
                <w:noProof/>
                <w:webHidden/>
                <w:sz w:val="18"/>
                <w:szCs w:val="18"/>
              </w:rPr>
              <w:fldChar w:fldCharType="begin"/>
            </w:r>
            <w:r w:rsidR="008D72AE" w:rsidRPr="008D72AE">
              <w:rPr>
                <w:noProof/>
                <w:webHidden/>
                <w:sz w:val="18"/>
                <w:szCs w:val="18"/>
              </w:rPr>
              <w:instrText xml:space="preserve"> PAGEREF _Toc456095911 \h </w:instrText>
            </w:r>
            <w:r w:rsidR="008D72AE" w:rsidRPr="008D72AE">
              <w:rPr>
                <w:noProof/>
                <w:webHidden/>
                <w:sz w:val="18"/>
                <w:szCs w:val="18"/>
              </w:rPr>
            </w:r>
            <w:r w:rsidR="008D72AE" w:rsidRPr="008D72AE">
              <w:rPr>
                <w:noProof/>
                <w:webHidden/>
                <w:sz w:val="18"/>
                <w:szCs w:val="18"/>
              </w:rPr>
              <w:fldChar w:fldCharType="separate"/>
            </w:r>
            <w:r w:rsidR="008D72AE" w:rsidRPr="008D72AE">
              <w:rPr>
                <w:noProof/>
                <w:webHidden/>
                <w:sz w:val="18"/>
                <w:szCs w:val="18"/>
              </w:rPr>
              <w:t>27</w:t>
            </w:r>
            <w:r w:rsidR="008D72AE" w:rsidRPr="008D72AE">
              <w:rPr>
                <w:noProof/>
                <w:webHidden/>
                <w:sz w:val="18"/>
                <w:szCs w:val="18"/>
              </w:rPr>
              <w:fldChar w:fldCharType="end"/>
            </w:r>
          </w:hyperlink>
        </w:p>
        <w:p w:rsidR="008D72AE" w:rsidRPr="008D72AE" w:rsidRDefault="00CC2E5C">
          <w:pPr>
            <w:pStyle w:val="TOC3"/>
            <w:tabs>
              <w:tab w:val="left" w:pos="1100"/>
              <w:tab w:val="right" w:leader="dot" w:pos="9062"/>
            </w:tabs>
            <w:rPr>
              <w:rFonts w:eastAsiaTheme="minorEastAsia"/>
              <w:i w:val="0"/>
              <w:iCs w:val="0"/>
              <w:noProof/>
              <w:sz w:val="18"/>
              <w:szCs w:val="18"/>
              <w:lang w:eastAsia="en-GB"/>
            </w:rPr>
          </w:pPr>
          <w:hyperlink w:anchor="_Toc456095912" w:history="1">
            <w:r w:rsidR="008D72AE" w:rsidRPr="008D72AE">
              <w:rPr>
                <w:rStyle w:val="Hyperlink"/>
                <w:rFonts w:eastAsiaTheme="minorHAnsi"/>
                <w:noProof/>
                <w:sz w:val="18"/>
                <w:szCs w:val="18"/>
                <w:lang w:val="bs-Latn-BA"/>
              </w:rPr>
              <w:t>3.2.1</w:t>
            </w:r>
            <w:r w:rsidR="008D72AE" w:rsidRPr="008D72AE">
              <w:rPr>
                <w:rFonts w:eastAsiaTheme="minorEastAsia"/>
                <w:i w:val="0"/>
                <w:iCs w:val="0"/>
                <w:noProof/>
                <w:sz w:val="18"/>
                <w:szCs w:val="18"/>
                <w:lang w:eastAsia="en-GB"/>
              </w:rPr>
              <w:tab/>
            </w:r>
            <w:r w:rsidR="008D72AE" w:rsidRPr="008D72AE">
              <w:rPr>
                <w:rStyle w:val="Hyperlink"/>
                <w:rFonts w:eastAsiaTheme="minorHAnsi"/>
                <w:noProof/>
                <w:sz w:val="18"/>
                <w:szCs w:val="18"/>
                <w:lang w:val="bs-Latn-BA"/>
              </w:rPr>
              <w:t>Nezarazne bolesti</w:t>
            </w:r>
            <w:r w:rsidR="008D72AE" w:rsidRPr="008D72AE">
              <w:rPr>
                <w:noProof/>
                <w:webHidden/>
                <w:sz w:val="18"/>
                <w:szCs w:val="18"/>
              </w:rPr>
              <w:tab/>
            </w:r>
            <w:r w:rsidR="008D72AE" w:rsidRPr="008D72AE">
              <w:rPr>
                <w:noProof/>
                <w:webHidden/>
                <w:sz w:val="18"/>
                <w:szCs w:val="18"/>
              </w:rPr>
              <w:fldChar w:fldCharType="begin"/>
            </w:r>
            <w:r w:rsidR="008D72AE" w:rsidRPr="008D72AE">
              <w:rPr>
                <w:noProof/>
                <w:webHidden/>
                <w:sz w:val="18"/>
                <w:szCs w:val="18"/>
              </w:rPr>
              <w:instrText xml:space="preserve"> PAGEREF _Toc456095912 \h </w:instrText>
            </w:r>
            <w:r w:rsidR="008D72AE" w:rsidRPr="008D72AE">
              <w:rPr>
                <w:noProof/>
                <w:webHidden/>
                <w:sz w:val="18"/>
                <w:szCs w:val="18"/>
              </w:rPr>
            </w:r>
            <w:r w:rsidR="008D72AE" w:rsidRPr="008D72AE">
              <w:rPr>
                <w:noProof/>
                <w:webHidden/>
                <w:sz w:val="18"/>
                <w:szCs w:val="18"/>
              </w:rPr>
              <w:fldChar w:fldCharType="separate"/>
            </w:r>
            <w:r w:rsidR="008D72AE" w:rsidRPr="008D72AE">
              <w:rPr>
                <w:noProof/>
                <w:webHidden/>
                <w:sz w:val="18"/>
                <w:szCs w:val="18"/>
              </w:rPr>
              <w:t>27</w:t>
            </w:r>
            <w:r w:rsidR="008D72AE" w:rsidRPr="008D72AE">
              <w:rPr>
                <w:noProof/>
                <w:webHidden/>
                <w:sz w:val="18"/>
                <w:szCs w:val="18"/>
              </w:rPr>
              <w:fldChar w:fldCharType="end"/>
            </w:r>
          </w:hyperlink>
        </w:p>
        <w:p w:rsidR="008D72AE" w:rsidRPr="008D72AE" w:rsidRDefault="00CC2E5C">
          <w:pPr>
            <w:pStyle w:val="TOC3"/>
            <w:tabs>
              <w:tab w:val="right" w:leader="dot" w:pos="9062"/>
            </w:tabs>
            <w:rPr>
              <w:rFonts w:eastAsiaTheme="minorEastAsia"/>
              <w:i w:val="0"/>
              <w:iCs w:val="0"/>
              <w:noProof/>
              <w:sz w:val="18"/>
              <w:szCs w:val="18"/>
              <w:lang w:eastAsia="en-GB"/>
            </w:rPr>
          </w:pPr>
          <w:hyperlink w:anchor="_Toc456095913" w:history="1">
            <w:r w:rsidR="008D72AE" w:rsidRPr="008D72AE">
              <w:rPr>
                <w:rStyle w:val="Hyperlink"/>
                <w:rFonts w:eastAsiaTheme="majorEastAsia"/>
                <w:noProof/>
                <w:sz w:val="18"/>
                <w:szCs w:val="18"/>
                <w:lang w:val="bs-Latn-BA"/>
              </w:rPr>
              <w:t xml:space="preserve">3.2.2 Zarazne bolesti i </w:t>
            </w:r>
            <w:r w:rsidR="00537374">
              <w:rPr>
                <w:rStyle w:val="Hyperlink"/>
                <w:rFonts w:eastAsiaTheme="majorEastAsia"/>
                <w:noProof/>
                <w:sz w:val="18"/>
                <w:szCs w:val="18"/>
                <w:lang w:val="bs-Latn-BA"/>
              </w:rPr>
              <w:t>cijepljenje</w:t>
            </w:r>
            <w:r w:rsidR="008D72AE" w:rsidRPr="008D72AE">
              <w:rPr>
                <w:noProof/>
                <w:webHidden/>
                <w:sz w:val="18"/>
                <w:szCs w:val="18"/>
              </w:rPr>
              <w:tab/>
            </w:r>
            <w:r w:rsidR="008D72AE" w:rsidRPr="008D72AE">
              <w:rPr>
                <w:noProof/>
                <w:webHidden/>
                <w:sz w:val="18"/>
                <w:szCs w:val="18"/>
              </w:rPr>
              <w:fldChar w:fldCharType="begin"/>
            </w:r>
            <w:r w:rsidR="008D72AE" w:rsidRPr="008D72AE">
              <w:rPr>
                <w:noProof/>
                <w:webHidden/>
                <w:sz w:val="18"/>
                <w:szCs w:val="18"/>
              </w:rPr>
              <w:instrText xml:space="preserve"> PAGEREF _Toc456095913 \h </w:instrText>
            </w:r>
            <w:r w:rsidR="008D72AE" w:rsidRPr="008D72AE">
              <w:rPr>
                <w:noProof/>
                <w:webHidden/>
                <w:sz w:val="18"/>
                <w:szCs w:val="18"/>
              </w:rPr>
            </w:r>
            <w:r w:rsidR="008D72AE" w:rsidRPr="008D72AE">
              <w:rPr>
                <w:noProof/>
                <w:webHidden/>
                <w:sz w:val="18"/>
                <w:szCs w:val="18"/>
              </w:rPr>
              <w:fldChar w:fldCharType="separate"/>
            </w:r>
            <w:r w:rsidR="008D72AE" w:rsidRPr="008D72AE">
              <w:rPr>
                <w:noProof/>
                <w:webHidden/>
                <w:sz w:val="18"/>
                <w:szCs w:val="18"/>
              </w:rPr>
              <w:t>38</w:t>
            </w:r>
            <w:r w:rsidR="008D72AE" w:rsidRPr="008D72AE">
              <w:rPr>
                <w:noProof/>
                <w:webHidden/>
                <w:sz w:val="18"/>
                <w:szCs w:val="18"/>
              </w:rPr>
              <w:fldChar w:fldCharType="end"/>
            </w:r>
          </w:hyperlink>
        </w:p>
        <w:p w:rsidR="008D72AE" w:rsidRPr="008D72AE" w:rsidRDefault="00CC2E5C">
          <w:pPr>
            <w:pStyle w:val="TOC3"/>
            <w:tabs>
              <w:tab w:val="right" w:leader="dot" w:pos="9062"/>
            </w:tabs>
            <w:rPr>
              <w:rFonts w:eastAsiaTheme="minorEastAsia"/>
              <w:i w:val="0"/>
              <w:iCs w:val="0"/>
              <w:noProof/>
              <w:sz w:val="18"/>
              <w:szCs w:val="18"/>
              <w:lang w:eastAsia="en-GB"/>
            </w:rPr>
          </w:pPr>
          <w:hyperlink w:anchor="_Toc456095914" w:history="1">
            <w:r w:rsidR="008D72AE" w:rsidRPr="008D72AE">
              <w:rPr>
                <w:rStyle w:val="Hyperlink"/>
                <w:rFonts w:eastAsiaTheme="majorEastAsia"/>
                <w:noProof/>
                <w:sz w:val="18"/>
                <w:szCs w:val="18"/>
                <w:lang w:val="bs-Latn-BA"/>
              </w:rPr>
              <w:t xml:space="preserve">3.2.3  </w:t>
            </w:r>
            <w:r w:rsidR="00FE3B0D">
              <w:rPr>
                <w:rStyle w:val="Hyperlink"/>
                <w:rFonts w:eastAsiaTheme="majorEastAsia"/>
                <w:noProof/>
                <w:sz w:val="18"/>
                <w:szCs w:val="18"/>
                <w:lang w:val="bs-Latn-BA"/>
              </w:rPr>
              <w:t>Ozljede</w:t>
            </w:r>
            <w:r w:rsidR="008D72AE" w:rsidRPr="008D72AE">
              <w:rPr>
                <w:rStyle w:val="Hyperlink"/>
                <w:rFonts w:eastAsiaTheme="majorEastAsia"/>
                <w:noProof/>
                <w:sz w:val="18"/>
                <w:szCs w:val="18"/>
                <w:lang w:val="bs-Latn-BA"/>
              </w:rPr>
              <w:t xml:space="preserve"> i trovanja</w:t>
            </w:r>
            <w:r w:rsidR="008D72AE" w:rsidRPr="008D72AE">
              <w:rPr>
                <w:noProof/>
                <w:webHidden/>
                <w:sz w:val="18"/>
                <w:szCs w:val="18"/>
              </w:rPr>
              <w:tab/>
            </w:r>
            <w:r w:rsidR="008D72AE" w:rsidRPr="008D72AE">
              <w:rPr>
                <w:noProof/>
                <w:webHidden/>
                <w:sz w:val="18"/>
                <w:szCs w:val="18"/>
              </w:rPr>
              <w:fldChar w:fldCharType="begin"/>
            </w:r>
            <w:r w:rsidR="008D72AE" w:rsidRPr="008D72AE">
              <w:rPr>
                <w:noProof/>
                <w:webHidden/>
                <w:sz w:val="18"/>
                <w:szCs w:val="18"/>
              </w:rPr>
              <w:instrText xml:space="preserve"> PAGEREF _Toc456095914 \h </w:instrText>
            </w:r>
            <w:r w:rsidR="008D72AE" w:rsidRPr="008D72AE">
              <w:rPr>
                <w:noProof/>
                <w:webHidden/>
                <w:sz w:val="18"/>
                <w:szCs w:val="18"/>
              </w:rPr>
            </w:r>
            <w:r w:rsidR="008D72AE" w:rsidRPr="008D72AE">
              <w:rPr>
                <w:noProof/>
                <w:webHidden/>
                <w:sz w:val="18"/>
                <w:szCs w:val="18"/>
              </w:rPr>
              <w:fldChar w:fldCharType="separate"/>
            </w:r>
            <w:r w:rsidR="008D72AE" w:rsidRPr="008D72AE">
              <w:rPr>
                <w:noProof/>
                <w:webHidden/>
                <w:sz w:val="18"/>
                <w:szCs w:val="18"/>
              </w:rPr>
              <w:t>49</w:t>
            </w:r>
            <w:r w:rsidR="008D72AE" w:rsidRPr="008D72AE">
              <w:rPr>
                <w:noProof/>
                <w:webHidden/>
                <w:sz w:val="18"/>
                <w:szCs w:val="18"/>
              </w:rPr>
              <w:fldChar w:fldCharType="end"/>
            </w:r>
          </w:hyperlink>
        </w:p>
        <w:p w:rsidR="008D72AE" w:rsidRPr="008D72AE" w:rsidRDefault="00CC2E5C">
          <w:pPr>
            <w:pStyle w:val="TOC3"/>
            <w:tabs>
              <w:tab w:val="right" w:leader="dot" w:pos="9062"/>
            </w:tabs>
            <w:rPr>
              <w:rFonts w:eastAsiaTheme="minorEastAsia"/>
              <w:i w:val="0"/>
              <w:iCs w:val="0"/>
              <w:noProof/>
              <w:sz w:val="18"/>
              <w:szCs w:val="18"/>
              <w:lang w:eastAsia="en-GB"/>
            </w:rPr>
          </w:pPr>
          <w:hyperlink w:anchor="_Toc456095915" w:history="1">
            <w:r w:rsidR="008D72AE" w:rsidRPr="008D72AE">
              <w:rPr>
                <w:rStyle w:val="Hyperlink"/>
                <w:rFonts w:eastAsiaTheme="minorHAnsi"/>
                <w:noProof/>
                <w:sz w:val="18"/>
                <w:szCs w:val="18"/>
                <w:lang w:val="bs-Latn-BA"/>
              </w:rPr>
              <w:t>3.2.4  Bolnički morbiditet</w:t>
            </w:r>
            <w:r w:rsidR="008D72AE" w:rsidRPr="008D72AE">
              <w:rPr>
                <w:noProof/>
                <w:webHidden/>
                <w:sz w:val="18"/>
                <w:szCs w:val="18"/>
              </w:rPr>
              <w:tab/>
            </w:r>
            <w:r w:rsidR="008D72AE" w:rsidRPr="008D72AE">
              <w:rPr>
                <w:noProof/>
                <w:webHidden/>
                <w:sz w:val="18"/>
                <w:szCs w:val="18"/>
              </w:rPr>
              <w:fldChar w:fldCharType="begin"/>
            </w:r>
            <w:r w:rsidR="008D72AE" w:rsidRPr="008D72AE">
              <w:rPr>
                <w:noProof/>
                <w:webHidden/>
                <w:sz w:val="18"/>
                <w:szCs w:val="18"/>
              </w:rPr>
              <w:instrText xml:space="preserve"> PAGEREF _Toc456095915 \h </w:instrText>
            </w:r>
            <w:r w:rsidR="008D72AE" w:rsidRPr="008D72AE">
              <w:rPr>
                <w:noProof/>
                <w:webHidden/>
                <w:sz w:val="18"/>
                <w:szCs w:val="18"/>
              </w:rPr>
            </w:r>
            <w:r w:rsidR="008D72AE" w:rsidRPr="008D72AE">
              <w:rPr>
                <w:noProof/>
                <w:webHidden/>
                <w:sz w:val="18"/>
                <w:szCs w:val="18"/>
              </w:rPr>
              <w:fldChar w:fldCharType="separate"/>
            </w:r>
            <w:r w:rsidR="008D72AE" w:rsidRPr="008D72AE">
              <w:rPr>
                <w:noProof/>
                <w:webHidden/>
                <w:sz w:val="18"/>
                <w:szCs w:val="18"/>
              </w:rPr>
              <w:t>50</w:t>
            </w:r>
            <w:r w:rsidR="008D72AE" w:rsidRPr="008D72AE">
              <w:rPr>
                <w:noProof/>
                <w:webHidden/>
                <w:sz w:val="18"/>
                <w:szCs w:val="18"/>
              </w:rPr>
              <w:fldChar w:fldCharType="end"/>
            </w:r>
          </w:hyperlink>
        </w:p>
        <w:p w:rsidR="008D72AE" w:rsidRPr="008D72AE" w:rsidRDefault="00CC2E5C">
          <w:pPr>
            <w:pStyle w:val="TOC3"/>
            <w:tabs>
              <w:tab w:val="right" w:leader="dot" w:pos="9062"/>
            </w:tabs>
            <w:rPr>
              <w:rFonts w:eastAsiaTheme="minorEastAsia"/>
              <w:i w:val="0"/>
              <w:iCs w:val="0"/>
              <w:noProof/>
              <w:sz w:val="18"/>
              <w:szCs w:val="18"/>
              <w:lang w:eastAsia="en-GB"/>
            </w:rPr>
          </w:pPr>
          <w:hyperlink w:anchor="_Toc456095916" w:history="1">
            <w:r w:rsidR="008D72AE" w:rsidRPr="008D72AE">
              <w:rPr>
                <w:rStyle w:val="Hyperlink"/>
                <w:rFonts w:eastAsiaTheme="minorHAnsi"/>
                <w:noProof/>
                <w:sz w:val="18"/>
                <w:szCs w:val="18"/>
                <w:lang w:val="bs-Latn-BA"/>
              </w:rPr>
              <w:t>3.2.5  Zdravlje populaci</w:t>
            </w:r>
            <w:r w:rsidR="00537374">
              <w:rPr>
                <w:rStyle w:val="Hyperlink"/>
                <w:rFonts w:eastAsiaTheme="minorHAnsi"/>
                <w:noProof/>
                <w:sz w:val="18"/>
                <w:szCs w:val="18"/>
                <w:lang w:val="bs-Latn-BA"/>
              </w:rPr>
              <w:t>jskih</w:t>
            </w:r>
            <w:r w:rsidR="008D72AE" w:rsidRPr="008D72AE">
              <w:rPr>
                <w:rStyle w:val="Hyperlink"/>
                <w:rFonts w:eastAsiaTheme="minorHAnsi"/>
                <w:noProof/>
                <w:sz w:val="18"/>
                <w:szCs w:val="18"/>
                <w:lang w:val="bs-Latn-BA"/>
              </w:rPr>
              <w:t xml:space="preserve"> </w:t>
            </w:r>
            <w:r w:rsidR="00537374">
              <w:rPr>
                <w:rStyle w:val="Hyperlink"/>
                <w:rFonts w:eastAsiaTheme="minorHAnsi"/>
                <w:noProof/>
                <w:sz w:val="18"/>
                <w:szCs w:val="18"/>
                <w:lang w:val="bs-Latn-BA"/>
              </w:rPr>
              <w:t>skupina</w:t>
            </w:r>
            <w:r w:rsidR="008D72AE" w:rsidRPr="008D72AE">
              <w:rPr>
                <w:noProof/>
                <w:webHidden/>
                <w:sz w:val="18"/>
                <w:szCs w:val="18"/>
              </w:rPr>
              <w:tab/>
            </w:r>
            <w:r w:rsidR="008D72AE" w:rsidRPr="008D72AE">
              <w:rPr>
                <w:noProof/>
                <w:webHidden/>
                <w:sz w:val="18"/>
                <w:szCs w:val="18"/>
              </w:rPr>
              <w:fldChar w:fldCharType="begin"/>
            </w:r>
            <w:r w:rsidR="008D72AE" w:rsidRPr="008D72AE">
              <w:rPr>
                <w:noProof/>
                <w:webHidden/>
                <w:sz w:val="18"/>
                <w:szCs w:val="18"/>
              </w:rPr>
              <w:instrText xml:space="preserve"> PAGEREF _Toc456095916 \h </w:instrText>
            </w:r>
            <w:r w:rsidR="008D72AE" w:rsidRPr="008D72AE">
              <w:rPr>
                <w:noProof/>
                <w:webHidden/>
                <w:sz w:val="18"/>
                <w:szCs w:val="18"/>
              </w:rPr>
            </w:r>
            <w:r w:rsidR="008D72AE" w:rsidRPr="008D72AE">
              <w:rPr>
                <w:noProof/>
                <w:webHidden/>
                <w:sz w:val="18"/>
                <w:szCs w:val="18"/>
              </w:rPr>
              <w:fldChar w:fldCharType="separate"/>
            </w:r>
            <w:r w:rsidR="008D72AE" w:rsidRPr="008D72AE">
              <w:rPr>
                <w:noProof/>
                <w:webHidden/>
                <w:sz w:val="18"/>
                <w:szCs w:val="18"/>
              </w:rPr>
              <w:t>50</w:t>
            </w:r>
            <w:r w:rsidR="008D72AE" w:rsidRPr="008D72AE">
              <w:rPr>
                <w:noProof/>
                <w:webHidden/>
                <w:sz w:val="18"/>
                <w:szCs w:val="18"/>
              </w:rPr>
              <w:fldChar w:fldCharType="end"/>
            </w:r>
          </w:hyperlink>
        </w:p>
        <w:p w:rsidR="008D72AE" w:rsidRPr="008D72AE" w:rsidRDefault="00CC2E5C">
          <w:pPr>
            <w:pStyle w:val="TOC3"/>
            <w:tabs>
              <w:tab w:val="right" w:leader="dot" w:pos="9062"/>
            </w:tabs>
            <w:rPr>
              <w:rFonts w:eastAsiaTheme="minorEastAsia"/>
              <w:i w:val="0"/>
              <w:iCs w:val="0"/>
              <w:noProof/>
              <w:sz w:val="18"/>
              <w:szCs w:val="18"/>
              <w:lang w:eastAsia="en-GB"/>
            </w:rPr>
          </w:pPr>
          <w:hyperlink w:anchor="_Toc456095917" w:history="1">
            <w:r w:rsidR="008D72AE" w:rsidRPr="008D72AE">
              <w:rPr>
                <w:rStyle w:val="Hyperlink"/>
                <w:rFonts w:eastAsiaTheme="majorEastAsia"/>
                <w:noProof/>
                <w:sz w:val="18"/>
                <w:szCs w:val="18"/>
              </w:rPr>
              <w:t>3.2.5.1  Djeca i mladi</w:t>
            </w:r>
            <w:r w:rsidR="008D72AE" w:rsidRPr="008D72AE">
              <w:rPr>
                <w:noProof/>
                <w:webHidden/>
                <w:sz w:val="18"/>
                <w:szCs w:val="18"/>
              </w:rPr>
              <w:tab/>
            </w:r>
            <w:r w:rsidR="008D72AE" w:rsidRPr="008D72AE">
              <w:rPr>
                <w:noProof/>
                <w:webHidden/>
                <w:sz w:val="18"/>
                <w:szCs w:val="18"/>
              </w:rPr>
              <w:fldChar w:fldCharType="begin"/>
            </w:r>
            <w:r w:rsidR="008D72AE" w:rsidRPr="008D72AE">
              <w:rPr>
                <w:noProof/>
                <w:webHidden/>
                <w:sz w:val="18"/>
                <w:szCs w:val="18"/>
              </w:rPr>
              <w:instrText xml:space="preserve"> PAGEREF _Toc456095917 \h </w:instrText>
            </w:r>
            <w:r w:rsidR="008D72AE" w:rsidRPr="008D72AE">
              <w:rPr>
                <w:noProof/>
                <w:webHidden/>
                <w:sz w:val="18"/>
                <w:szCs w:val="18"/>
              </w:rPr>
            </w:r>
            <w:r w:rsidR="008D72AE" w:rsidRPr="008D72AE">
              <w:rPr>
                <w:noProof/>
                <w:webHidden/>
                <w:sz w:val="18"/>
                <w:szCs w:val="18"/>
              </w:rPr>
              <w:fldChar w:fldCharType="separate"/>
            </w:r>
            <w:r w:rsidR="008D72AE" w:rsidRPr="008D72AE">
              <w:rPr>
                <w:noProof/>
                <w:webHidden/>
                <w:sz w:val="18"/>
                <w:szCs w:val="18"/>
              </w:rPr>
              <w:t>50</w:t>
            </w:r>
            <w:r w:rsidR="008D72AE" w:rsidRPr="008D72AE">
              <w:rPr>
                <w:noProof/>
                <w:webHidden/>
                <w:sz w:val="18"/>
                <w:szCs w:val="18"/>
              </w:rPr>
              <w:fldChar w:fldCharType="end"/>
            </w:r>
          </w:hyperlink>
        </w:p>
        <w:p w:rsidR="008D72AE" w:rsidRPr="008D72AE" w:rsidRDefault="00CC2E5C">
          <w:pPr>
            <w:pStyle w:val="TOC3"/>
            <w:tabs>
              <w:tab w:val="right" w:leader="dot" w:pos="9062"/>
            </w:tabs>
            <w:rPr>
              <w:rFonts w:eastAsiaTheme="minorEastAsia"/>
              <w:i w:val="0"/>
              <w:iCs w:val="0"/>
              <w:noProof/>
              <w:sz w:val="18"/>
              <w:szCs w:val="18"/>
              <w:lang w:eastAsia="en-GB"/>
            </w:rPr>
          </w:pPr>
          <w:hyperlink w:anchor="_Toc456095918" w:history="1">
            <w:r w:rsidR="008D72AE" w:rsidRPr="008D72AE">
              <w:rPr>
                <w:rStyle w:val="Hyperlink"/>
                <w:rFonts w:eastAsiaTheme="majorEastAsia"/>
                <w:noProof/>
                <w:sz w:val="18"/>
                <w:szCs w:val="18"/>
              </w:rPr>
              <w:t>3.2.5.2 Odrasli (19-64 godine)</w:t>
            </w:r>
            <w:r w:rsidR="008D72AE" w:rsidRPr="008D72AE">
              <w:rPr>
                <w:noProof/>
                <w:webHidden/>
                <w:sz w:val="18"/>
                <w:szCs w:val="18"/>
              </w:rPr>
              <w:tab/>
            </w:r>
            <w:r w:rsidR="008D72AE" w:rsidRPr="008D72AE">
              <w:rPr>
                <w:noProof/>
                <w:webHidden/>
                <w:sz w:val="18"/>
                <w:szCs w:val="18"/>
              </w:rPr>
              <w:fldChar w:fldCharType="begin"/>
            </w:r>
            <w:r w:rsidR="008D72AE" w:rsidRPr="008D72AE">
              <w:rPr>
                <w:noProof/>
                <w:webHidden/>
                <w:sz w:val="18"/>
                <w:szCs w:val="18"/>
              </w:rPr>
              <w:instrText xml:space="preserve"> PAGEREF _Toc456095918 \h </w:instrText>
            </w:r>
            <w:r w:rsidR="008D72AE" w:rsidRPr="008D72AE">
              <w:rPr>
                <w:noProof/>
                <w:webHidden/>
                <w:sz w:val="18"/>
                <w:szCs w:val="18"/>
              </w:rPr>
            </w:r>
            <w:r w:rsidR="008D72AE" w:rsidRPr="008D72AE">
              <w:rPr>
                <w:noProof/>
                <w:webHidden/>
                <w:sz w:val="18"/>
                <w:szCs w:val="18"/>
              </w:rPr>
              <w:fldChar w:fldCharType="separate"/>
            </w:r>
            <w:r w:rsidR="008D72AE" w:rsidRPr="008D72AE">
              <w:rPr>
                <w:noProof/>
                <w:webHidden/>
                <w:sz w:val="18"/>
                <w:szCs w:val="18"/>
              </w:rPr>
              <w:t>53</w:t>
            </w:r>
            <w:r w:rsidR="008D72AE" w:rsidRPr="008D72AE">
              <w:rPr>
                <w:noProof/>
                <w:webHidden/>
                <w:sz w:val="18"/>
                <w:szCs w:val="18"/>
              </w:rPr>
              <w:fldChar w:fldCharType="end"/>
            </w:r>
          </w:hyperlink>
        </w:p>
        <w:p w:rsidR="008D72AE" w:rsidRPr="008D72AE" w:rsidRDefault="00CC2E5C">
          <w:pPr>
            <w:pStyle w:val="TOC3"/>
            <w:tabs>
              <w:tab w:val="right" w:leader="dot" w:pos="9062"/>
            </w:tabs>
            <w:rPr>
              <w:rFonts w:eastAsiaTheme="minorEastAsia"/>
              <w:i w:val="0"/>
              <w:iCs w:val="0"/>
              <w:noProof/>
              <w:sz w:val="18"/>
              <w:szCs w:val="18"/>
              <w:lang w:eastAsia="en-GB"/>
            </w:rPr>
          </w:pPr>
          <w:hyperlink w:anchor="_Toc456095919" w:history="1">
            <w:r w:rsidR="008D72AE" w:rsidRPr="008D72AE">
              <w:rPr>
                <w:rStyle w:val="Hyperlink"/>
                <w:rFonts w:eastAsiaTheme="majorEastAsia"/>
                <w:noProof/>
                <w:sz w:val="18"/>
                <w:szCs w:val="18"/>
              </w:rPr>
              <w:t>3.2.5.3 Zdravlje stanovništva starijeg od 65 godina</w:t>
            </w:r>
            <w:r w:rsidR="008D72AE" w:rsidRPr="008D72AE">
              <w:rPr>
                <w:noProof/>
                <w:webHidden/>
                <w:sz w:val="18"/>
                <w:szCs w:val="18"/>
              </w:rPr>
              <w:tab/>
            </w:r>
            <w:r w:rsidR="008D72AE" w:rsidRPr="008D72AE">
              <w:rPr>
                <w:noProof/>
                <w:webHidden/>
                <w:sz w:val="18"/>
                <w:szCs w:val="18"/>
              </w:rPr>
              <w:fldChar w:fldCharType="begin"/>
            </w:r>
            <w:r w:rsidR="008D72AE" w:rsidRPr="008D72AE">
              <w:rPr>
                <w:noProof/>
                <w:webHidden/>
                <w:sz w:val="18"/>
                <w:szCs w:val="18"/>
              </w:rPr>
              <w:instrText xml:space="preserve"> PAGEREF _Toc456095919 \h </w:instrText>
            </w:r>
            <w:r w:rsidR="008D72AE" w:rsidRPr="008D72AE">
              <w:rPr>
                <w:noProof/>
                <w:webHidden/>
                <w:sz w:val="18"/>
                <w:szCs w:val="18"/>
              </w:rPr>
            </w:r>
            <w:r w:rsidR="008D72AE" w:rsidRPr="008D72AE">
              <w:rPr>
                <w:noProof/>
                <w:webHidden/>
                <w:sz w:val="18"/>
                <w:szCs w:val="18"/>
              </w:rPr>
              <w:fldChar w:fldCharType="separate"/>
            </w:r>
            <w:r w:rsidR="008D72AE" w:rsidRPr="008D72AE">
              <w:rPr>
                <w:noProof/>
                <w:webHidden/>
                <w:sz w:val="18"/>
                <w:szCs w:val="18"/>
              </w:rPr>
              <w:t>57</w:t>
            </w:r>
            <w:r w:rsidR="008D72AE" w:rsidRPr="008D72AE">
              <w:rPr>
                <w:noProof/>
                <w:webHidden/>
                <w:sz w:val="18"/>
                <w:szCs w:val="18"/>
              </w:rPr>
              <w:fldChar w:fldCharType="end"/>
            </w:r>
          </w:hyperlink>
        </w:p>
        <w:p w:rsidR="008D72AE" w:rsidRPr="008D72AE" w:rsidRDefault="00CC2E5C">
          <w:pPr>
            <w:pStyle w:val="TOC3"/>
            <w:tabs>
              <w:tab w:val="right" w:leader="dot" w:pos="9062"/>
            </w:tabs>
            <w:rPr>
              <w:rFonts w:eastAsiaTheme="minorEastAsia"/>
              <w:i w:val="0"/>
              <w:iCs w:val="0"/>
              <w:noProof/>
              <w:sz w:val="18"/>
              <w:szCs w:val="18"/>
              <w:lang w:eastAsia="en-GB"/>
            </w:rPr>
          </w:pPr>
          <w:hyperlink w:anchor="_Toc456095920" w:history="1">
            <w:r w:rsidR="008D72AE" w:rsidRPr="008D72AE">
              <w:rPr>
                <w:rStyle w:val="Hyperlink"/>
                <w:rFonts w:eastAsiaTheme="majorEastAsia"/>
                <w:noProof/>
                <w:sz w:val="18"/>
                <w:szCs w:val="18"/>
              </w:rPr>
              <w:t xml:space="preserve">3.2.5.4 Reproduktivno zdravlje i planiranje </w:t>
            </w:r>
            <w:r w:rsidR="00537374">
              <w:rPr>
                <w:rStyle w:val="Hyperlink"/>
                <w:rFonts w:eastAsiaTheme="majorEastAsia"/>
                <w:noProof/>
                <w:sz w:val="18"/>
                <w:szCs w:val="18"/>
              </w:rPr>
              <w:t>obitelji</w:t>
            </w:r>
            <w:r w:rsidR="008D72AE" w:rsidRPr="008D72AE">
              <w:rPr>
                <w:noProof/>
                <w:webHidden/>
                <w:sz w:val="18"/>
                <w:szCs w:val="18"/>
              </w:rPr>
              <w:tab/>
            </w:r>
            <w:r w:rsidR="008D72AE" w:rsidRPr="008D72AE">
              <w:rPr>
                <w:noProof/>
                <w:webHidden/>
                <w:sz w:val="18"/>
                <w:szCs w:val="18"/>
              </w:rPr>
              <w:fldChar w:fldCharType="begin"/>
            </w:r>
            <w:r w:rsidR="008D72AE" w:rsidRPr="008D72AE">
              <w:rPr>
                <w:noProof/>
                <w:webHidden/>
                <w:sz w:val="18"/>
                <w:szCs w:val="18"/>
              </w:rPr>
              <w:instrText xml:space="preserve"> PAGEREF _Toc456095920 \h </w:instrText>
            </w:r>
            <w:r w:rsidR="008D72AE" w:rsidRPr="008D72AE">
              <w:rPr>
                <w:noProof/>
                <w:webHidden/>
                <w:sz w:val="18"/>
                <w:szCs w:val="18"/>
              </w:rPr>
            </w:r>
            <w:r w:rsidR="008D72AE" w:rsidRPr="008D72AE">
              <w:rPr>
                <w:noProof/>
                <w:webHidden/>
                <w:sz w:val="18"/>
                <w:szCs w:val="18"/>
              </w:rPr>
              <w:fldChar w:fldCharType="separate"/>
            </w:r>
            <w:r w:rsidR="008D72AE" w:rsidRPr="008D72AE">
              <w:rPr>
                <w:noProof/>
                <w:webHidden/>
                <w:sz w:val="18"/>
                <w:szCs w:val="18"/>
              </w:rPr>
              <w:t>59</w:t>
            </w:r>
            <w:r w:rsidR="008D72AE" w:rsidRPr="008D72AE">
              <w:rPr>
                <w:noProof/>
                <w:webHidden/>
                <w:sz w:val="18"/>
                <w:szCs w:val="18"/>
              </w:rPr>
              <w:fldChar w:fldCharType="end"/>
            </w:r>
          </w:hyperlink>
        </w:p>
        <w:p w:rsidR="008D72AE" w:rsidRPr="008D72AE" w:rsidRDefault="00CC2E5C">
          <w:pPr>
            <w:pStyle w:val="TOC3"/>
            <w:tabs>
              <w:tab w:val="right" w:leader="dot" w:pos="9062"/>
            </w:tabs>
            <w:rPr>
              <w:rFonts w:eastAsiaTheme="minorEastAsia"/>
              <w:i w:val="0"/>
              <w:iCs w:val="0"/>
              <w:noProof/>
              <w:sz w:val="18"/>
              <w:szCs w:val="18"/>
              <w:lang w:eastAsia="en-GB"/>
            </w:rPr>
          </w:pPr>
          <w:hyperlink w:anchor="_Toc456095921" w:history="1">
            <w:r w:rsidR="008D72AE" w:rsidRPr="008D72AE">
              <w:rPr>
                <w:rStyle w:val="Hyperlink"/>
                <w:rFonts w:eastAsiaTheme="majorEastAsia"/>
                <w:noProof/>
                <w:sz w:val="18"/>
                <w:szCs w:val="18"/>
                <w:lang w:val="bs-Latn-BA"/>
              </w:rPr>
              <w:t>3.2.6  Zdravlje usta i zuba</w:t>
            </w:r>
            <w:r w:rsidR="008D72AE" w:rsidRPr="008D72AE">
              <w:rPr>
                <w:noProof/>
                <w:webHidden/>
                <w:sz w:val="18"/>
                <w:szCs w:val="18"/>
              </w:rPr>
              <w:tab/>
            </w:r>
            <w:r w:rsidR="008D72AE" w:rsidRPr="008D72AE">
              <w:rPr>
                <w:noProof/>
                <w:webHidden/>
                <w:sz w:val="18"/>
                <w:szCs w:val="18"/>
              </w:rPr>
              <w:fldChar w:fldCharType="begin"/>
            </w:r>
            <w:r w:rsidR="008D72AE" w:rsidRPr="008D72AE">
              <w:rPr>
                <w:noProof/>
                <w:webHidden/>
                <w:sz w:val="18"/>
                <w:szCs w:val="18"/>
              </w:rPr>
              <w:instrText xml:space="preserve"> PAGEREF _Toc456095921 \h </w:instrText>
            </w:r>
            <w:r w:rsidR="008D72AE" w:rsidRPr="008D72AE">
              <w:rPr>
                <w:noProof/>
                <w:webHidden/>
                <w:sz w:val="18"/>
                <w:szCs w:val="18"/>
              </w:rPr>
            </w:r>
            <w:r w:rsidR="008D72AE" w:rsidRPr="008D72AE">
              <w:rPr>
                <w:noProof/>
                <w:webHidden/>
                <w:sz w:val="18"/>
                <w:szCs w:val="18"/>
              </w:rPr>
              <w:fldChar w:fldCharType="separate"/>
            </w:r>
            <w:r w:rsidR="008D72AE" w:rsidRPr="008D72AE">
              <w:rPr>
                <w:noProof/>
                <w:webHidden/>
                <w:sz w:val="18"/>
                <w:szCs w:val="18"/>
              </w:rPr>
              <w:t>62</w:t>
            </w:r>
            <w:r w:rsidR="008D72AE" w:rsidRPr="008D72AE">
              <w:rPr>
                <w:noProof/>
                <w:webHidden/>
                <w:sz w:val="18"/>
                <w:szCs w:val="18"/>
              </w:rPr>
              <w:fldChar w:fldCharType="end"/>
            </w:r>
          </w:hyperlink>
        </w:p>
        <w:p w:rsidR="008D72AE" w:rsidRPr="008D72AE" w:rsidRDefault="00CC2E5C">
          <w:pPr>
            <w:pStyle w:val="TOC1"/>
            <w:tabs>
              <w:tab w:val="left" w:pos="440"/>
            </w:tabs>
            <w:rPr>
              <w:rFonts w:ascii="Times New Roman" w:eastAsiaTheme="minorEastAsia" w:hAnsi="Times New Roman"/>
              <w:b w:val="0"/>
              <w:bCs w:val="0"/>
              <w:caps w:val="0"/>
              <w:sz w:val="18"/>
              <w:szCs w:val="18"/>
              <w:lang w:eastAsia="en-GB"/>
            </w:rPr>
          </w:pPr>
          <w:hyperlink w:anchor="_Toc456095922" w:history="1">
            <w:r w:rsidR="008D72AE" w:rsidRPr="008D72AE">
              <w:rPr>
                <w:rStyle w:val="Hyperlink"/>
                <w:rFonts w:ascii="Times New Roman" w:eastAsiaTheme="majorEastAsia" w:hAnsi="Times New Roman"/>
                <w:sz w:val="18"/>
                <w:szCs w:val="18"/>
              </w:rPr>
              <w:t>4.</w:t>
            </w:r>
            <w:r w:rsidR="008D72AE" w:rsidRPr="008D72AE">
              <w:rPr>
                <w:rFonts w:ascii="Times New Roman" w:eastAsiaTheme="minorEastAsia" w:hAnsi="Times New Roman"/>
                <w:b w:val="0"/>
                <w:bCs w:val="0"/>
                <w:caps w:val="0"/>
                <w:sz w:val="18"/>
                <w:szCs w:val="18"/>
                <w:lang w:eastAsia="en-GB"/>
              </w:rPr>
              <w:tab/>
            </w:r>
            <w:r w:rsidR="00A342B4">
              <w:rPr>
                <w:rStyle w:val="Hyperlink"/>
                <w:rFonts w:ascii="Times New Roman" w:eastAsiaTheme="majorEastAsia" w:hAnsi="Times New Roman"/>
                <w:sz w:val="18"/>
                <w:szCs w:val="18"/>
              </w:rPr>
              <w:t>Čimbenici</w:t>
            </w:r>
            <w:r w:rsidR="008D72AE" w:rsidRPr="008D72AE">
              <w:rPr>
                <w:rStyle w:val="Hyperlink"/>
                <w:rFonts w:ascii="Times New Roman" w:eastAsiaTheme="majorEastAsia" w:hAnsi="Times New Roman"/>
                <w:sz w:val="18"/>
                <w:szCs w:val="18"/>
              </w:rPr>
              <w:t xml:space="preserve"> RIZIKA PO ZDRAVLJE</w:t>
            </w:r>
            <w:r w:rsidR="008D72AE" w:rsidRPr="008D72AE">
              <w:rPr>
                <w:rFonts w:ascii="Times New Roman" w:hAnsi="Times New Roman"/>
                <w:webHidden/>
                <w:sz w:val="18"/>
                <w:szCs w:val="18"/>
              </w:rPr>
              <w:tab/>
            </w:r>
            <w:r w:rsidR="008D72AE" w:rsidRPr="008D72AE">
              <w:rPr>
                <w:rFonts w:ascii="Times New Roman" w:hAnsi="Times New Roman"/>
                <w:webHidden/>
                <w:sz w:val="18"/>
                <w:szCs w:val="18"/>
              </w:rPr>
              <w:fldChar w:fldCharType="begin"/>
            </w:r>
            <w:r w:rsidR="008D72AE" w:rsidRPr="008D72AE">
              <w:rPr>
                <w:rFonts w:ascii="Times New Roman" w:hAnsi="Times New Roman"/>
                <w:webHidden/>
                <w:sz w:val="18"/>
                <w:szCs w:val="18"/>
              </w:rPr>
              <w:instrText xml:space="preserve"> PAGEREF _Toc456095922 \h </w:instrText>
            </w:r>
            <w:r w:rsidR="008D72AE" w:rsidRPr="008D72AE">
              <w:rPr>
                <w:rFonts w:ascii="Times New Roman" w:hAnsi="Times New Roman"/>
                <w:webHidden/>
                <w:sz w:val="18"/>
                <w:szCs w:val="18"/>
              </w:rPr>
            </w:r>
            <w:r w:rsidR="008D72AE" w:rsidRPr="008D72AE">
              <w:rPr>
                <w:rFonts w:ascii="Times New Roman" w:hAnsi="Times New Roman"/>
                <w:webHidden/>
                <w:sz w:val="18"/>
                <w:szCs w:val="18"/>
              </w:rPr>
              <w:fldChar w:fldCharType="separate"/>
            </w:r>
            <w:r w:rsidR="008D72AE" w:rsidRPr="008D72AE">
              <w:rPr>
                <w:rFonts w:ascii="Times New Roman" w:hAnsi="Times New Roman"/>
                <w:webHidden/>
                <w:sz w:val="18"/>
                <w:szCs w:val="18"/>
              </w:rPr>
              <w:t>65</w:t>
            </w:r>
            <w:r w:rsidR="008D72AE" w:rsidRPr="008D72AE">
              <w:rPr>
                <w:rFonts w:ascii="Times New Roman" w:hAnsi="Times New Roman"/>
                <w:webHidden/>
                <w:sz w:val="18"/>
                <w:szCs w:val="18"/>
              </w:rPr>
              <w:fldChar w:fldCharType="end"/>
            </w:r>
          </w:hyperlink>
        </w:p>
        <w:p w:rsidR="008D72AE" w:rsidRPr="008D72AE" w:rsidRDefault="00CC2E5C">
          <w:pPr>
            <w:pStyle w:val="TOC2"/>
            <w:tabs>
              <w:tab w:val="right" w:leader="dot" w:pos="9062"/>
            </w:tabs>
            <w:rPr>
              <w:rFonts w:eastAsiaTheme="minorEastAsia"/>
              <w:smallCaps w:val="0"/>
              <w:noProof/>
              <w:sz w:val="18"/>
              <w:szCs w:val="18"/>
              <w:lang w:eastAsia="en-GB"/>
            </w:rPr>
          </w:pPr>
          <w:hyperlink w:anchor="_Toc456095923" w:history="1">
            <w:r w:rsidR="008D72AE" w:rsidRPr="008D72AE">
              <w:rPr>
                <w:rStyle w:val="Hyperlink"/>
                <w:rFonts w:eastAsiaTheme="minorHAnsi"/>
                <w:noProof/>
                <w:sz w:val="18"/>
                <w:szCs w:val="18"/>
              </w:rPr>
              <w:t>4.1 ŽIVOTNI STIL I NAVIKE</w:t>
            </w:r>
            <w:r w:rsidR="008D72AE" w:rsidRPr="008D72AE">
              <w:rPr>
                <w:noProof/>
                <w:webHidden/>
                <w:sz w:val="18"/>
                <w:szCs w:val="18"/>
              </w:rPr>
              <w:tab/>
            </w:r>
            <w:r w:rsidR="008D72AE" w:rsidRPr="008D72AE">
              <w:rPr>
                <w:noProof/>
                <w:webHidden/>
                <w:sz w:val="18"/>
                <w:szCs w:val="18"/>
              </w:rPr>
              <w:fldChar w:fldCharType="begin"/>
            </w:r>
            <w:r w:rsidR="008D72AE" w:rsidRPr="008D72AE">
              <w:rPr>
                <w:noProof/>
                <w:webHidden/>
                <w:sz w:val="18"/>
                <w:szCs w:val="18"/>
              </w:rPr>
              <w:instrText xml:space="preserve"> PAGEREF _Toc456095923 \h </w:instrText>
            </w:r>
            <w:r w:rsidR="008D72AE" w:rsidRPr="008D72AE">
              <w:rPr>
                <w:noProof/>
                <w:webHidden/>
                <w:sz w:val="18"/>
                <w:szCs w:val="18"/>
              </w:rPr>
            </w:r>
            <w:r w:rsidR="008D72AE" w:rsidRPr="008D72AE">
              <w:rPr>
                <w:noProof/>
                <w:webHidden/>
                <w:sz w:val="18"/>
                <w:szCs w:val="18"/>
              </w:rPr>
              <w:fldChar w:fldCharType="separate"/>
            </w:r>
            <w:r w:rsidR="008D72AE" w:rsidRPr="008D72AE">
              <w:rPr>
                <w:noProof/>
                <w:webHidden/>
                <w:sz w:val="18"/>
                <w:szCs w:val="18"/>
              </w:rPr>
              <w:t>65</w:t>
            </w:r>
            <w:r w:rsidR="008D72AE" w:rsidRPr="008D72AE">
              <w:rPr>
                <w:noProof/>
                <w:webHidden/>
                <w:sz w:val="18"/>
                <w:szCs w:val="18"/>
              </w:rPr>
              <w:fldChar w:fldCharType="end"/>
            </w:r>
          </w:hyperlink>
        </w:p>
        <w:p w:rsidR="008D72AE" w:rsidRPr="008D72AE" w:rsidRDefault="00CC2E5C">
          <w:pPr>
            <w:pStyle w:val="TOC3"/>
            <w:tabs>
              <w:tab w:val="right" w:leader="dot" w:pos="9062"/>
            </w:tabs>
            <w:rPr>
              <w:rFonts w:eastAsiaTheme="minorEastAsia"/>
              <w:i w:val="0"/>
              <w:iCs w:val="0"/>
              <w:noProof/>
              <w:sz w:val="18"/>
              <w:szCs w:val="18"/>
              <w:lang w:eastAsia="en-GB"/>
            </w:rPr>
          </w:pPr>
          <w:hyperlink w:anchor="_Toc456095924" w:history="1">
            <w:r w:rsidR="008D72AE" w:rsidRPr="008D72AE">
              <w:rPr>
                <w:rStyle w:val="Hyperlink"/>
                <w:rFonts w:eastAsiaTheme="minorHAnsi"/>
                <w:noProof/>
                <w:sz w:val="18"/>
                <w:szCs w:val="18"/>
              </w:rPr>
              <w:t xml:space="preserve">4.1.1 </w:t>
            </w:r>
            <w:r w:rsidR="00DA519D">
              <w:rPr>
                <w:rStyle w:val="Hyperlink"/>
                <w:rFonts w:eastAsiaTheme="minorHAnsi"/>
                <w:noProof/>
                <w:sz w:val="18"/>
                <w:szCs w:val="18"/>
              </w:rPr>
              <w:t>Prehrana</w:t>
            </w:r>
            <w:r w:rsidR="008D72AE" w:rsidRPr="008D72AE">
              <w:rPr>
                <w:rStyle w:val="Hyperlink"/>
                <w:rFonts w:eastAsiaTheme="minorHAnsi"/>
                <w:noProof/>
                <w:sz w:val="18"/>
                <w:szCs w:val="18"/>
              </w:rPr>
              <w:t xml:space="preserve">  i </w:t>
            </w:r>
            <w:r w:rsidR="00671193">
              <w:rPr>
                <w:rStyle w:val="Hyperlink"/>
                <w:rFonts w:eastAsiaTheme="minorHAnsi"/>
                <w:noProof/>
                <w:sz w:val="18"/>
                <w:szCs w:val="18"/>
              </w:rPr>
              <w:t>tjelsna</w:t>
            </w:r>
            <w:r w:rsidR="008D72AE" w:rsidRPr="008D72AE">
              <w:rPr>
                <w:rStyle w:val="Hyperlink"/>
                <w:rFonts w:eastAsiaTheme="minorHAnsi"/>
                <w:noProof/>
                <w:sz w:val="18"/>
                <w:szCs w:val="18"/>
              </w:rPr>
              <w:t xml:space="preserve"> aktivnost</w:t>
            </w:r>
            <w:r w:rsidR="008D72AE" w:rsidRPr="008D72AE">
              <w:rPr>
                <w:noProof/>
                <w:webHidden/>
                <w:sz w:val="18"/>
                <w:szCs w:val="18"/>
              </w:rPr>
              <w:tab/>
            </w:r>
            <w:r w:rsidR="008D72AE" w:rsidRPr="008D72AE">
              <w:rPr>
                <w:noProof/>
                <w:webHidden/>
                <w:sz w:val="18"/>
                <w:szCs w:val="18"/>
              </w:rPr>
              <w:fldChar w:fldCharType="begin"/>
            </w:r>
            <w:r w:rsidR="008D72AE" w:rsidRPr="008D72AE">
              <w:rPr>
                <w:noProof/>
                <w:webHidden/>
                <w:sz w:val="18"/>
                <w:szCs w:val="18"/>
              </w:rPr>
              <w:instrText xml:space="preserve"> PAGEREF _Toc456095924 \h </w:instrText>
            </w:r>
            <w:r w:rsidR="008D72AE" w:rsidRPr="008D72AE">
              <w:rPr>
                <w:noProof/>
                <w:webHidden/>
                <w:sz w:val="18"/>
                <w:szCs w:val="18"/>
              </w:rPr>
            </w:r>
            <w:r w:rsidR="008D72AE" w:rsidRPr="008D72AE">
              <w:rPr>
                <w:noProof/>
                <w:webHidden/>
                <w:sz w:val="18"/>
                <w:szCs w:val="18"/>
              </w:rPr>
              <w:fldChar w:fldCharType="separate"/>
            </w:r>
            <w:r w:rsidR="008D72AE" w:rsidRPr="008D72AE">
              <w:rPr>
                <w:noProof/>
                <w:webHidden/>
                <w:sz w:val="18"/>
                <w:szCs w:val="18"/>
              </w:rPr>
              <w:t>65</w:t>
            </w:r>
            <w:r w:rsidR="008D72AE" w:rsidRPr="008D72AE">
              <w:rPr>
                <w:noProof/>
                <w:webHidden/>
                <w:sz w:val="18"/>
                <w:szCs w:val="18"/>
              </w:rPr>
              <w:fldChar w:fldCharType="end"/>
            </w:r>
          </w:hyperlink>
        </w:p>
        <w:p w:rsidR="008D72AE" w:rsidRPr="008D72AE" w:rsidRDefault="00CC2E5C">
          <w:pPr>
            <w:pStyle w:val="TOC3"/>
            <w:tabs>
              <w:tab w:val="right" w:leader="dot" w:pos="9062"/>
            </w:tabs>
            <w:rPr>
              <w:rFonts w:eastAsiaTheme="minorEastAsia"/>
              <w:i w:val="0"/>
              <w:iCs w:val="0"/>
              <w:noProof/>
              <w:sz w:val="18"/>
              <w:szCs w:val="18"/>
              <w:lang w:eastAsia="en-GB"/>
            </w:rPr>
          </w:pPr>
          <w:hyperlink w:anchor="_Toc456095925" w:history="1">
            <w:r w:rsidR="008D72AE" w:rsidRPr="008D72AE">
              <w:rPr>
                <w:rStyle w:val="Hyperlink"/>
                <w:rFonts w:eastAsiaTheme="majorEastAsia"/>
                <w:noProof/>
                <w:sz w:val="18"/>
                <w:szCs w:val="18"/>
                <w:lang w:val="hr-HR"/>
              </w:rPr>
              <w:t>4.1.2 Nedostaci mikronutrijenata</w:t>
            </w:r>
            <w:r w:rsidR="008D72AE" w:rsidRPr="008D72AE">
              <w:rPr>
                <w:noProof/>
                <w:webHidden/>
                <w:sz w:val="18"/>
                <w:szCs w:val="18"/>
              </w:rPr>
              <w:tab/>
            </w:r>
            <w:r w:rsidR="008D72AE" w:rsidRPr="008D72AE">
              <w:rPr>
                <w:noProof/>
                <w:webHidden/>
                <w:sz w:val="18"/>
                <w:szCs w:val="18"/>
              </w:rPr>
              <w:fldChar w:fldCharType="begin"/>
            </w:r>
            <w:r w:rsidR="008D72AE" w:rsidRPr="008D72AE">
              <w:rPr>
                <w:noProof/>
                <w:webHidden/>
                <w:sz w:val="18"/>
                <w:szCs w:val="18"/>
              </w:rPr>
              <w:instrText xml:space="preserve"> PAGEREF _Toc456095925 \h </w:instrText>
            </w:r>
            <w:r w:rsidR="008D72AE" w:rsidRPr="008D72AE">
              <w:rPr>
                <w:noProof/>
                <w:webHidden/>
                <w:sz w:val="18"/>
                <w:szCs w:val="18"/>
              </w:rPr>
            </w:r>
            <w:r w:rsidR="008D72AE" w:rsidRPr="008D72AE">
              <w:rPr>
                <w:noProof/>
                <w:webHidden/>
                <w:sz w:val="18"/>
                <w:szCs w:val="18"/>
              </w:rPr>
              <w:fldChar w:fldCharType="separate"/>
            </w:r>
            <w:r w:rsidR="008D72AE" w:rsidRPr="008D72AE">
              <w:rPr>
                <w:noProof/>
                <w:webHidden/>
                <w:sz w:val="18"/>
                <w:szCs w:val="18"/>
              </w:rPr>
              <w:t>71</w:t>
            </w:r>
            <w:r w:rsidR="008D72AE" w:rsidRPr="008D72AE">
              <w:rPr>
                <w:noProof/>
                <w:webHidden/>
                <w:sz w:val="18"/>
                <w:szCs w:val="18"/>
              </w:rPr>
              <w:fldChar w:fldCharType="end"/>
            </w:r>
          </w:hyperlink>
        </w:p>
        <w:p w:rsidR="008D72AE" w:rsidRPr="008D72AE" w:rsidRDefault="00CC2E5C">
          <w:pPr>
            <w:pStyle w:val="TOC3"/>
            <w:tabs>
              <w:tab w:val="right" w:leader="dot" w:pos="9062"/>
            </w:tabs>
            <w:rPr>
              <w:rFonts w:eastAsiaTheme="minorEastAsia"/>
              <w:i w:val="0"/>
              <w:iCs w:val="0"/>
              <w:noProof/>
              <w:sz w:val="18"/>
              <w:szCs w:val="18"/>
              <w:lang w:eastAsia="en-GB"/>
            </w:rPr>
          </w:pPr>
          <w:hyperlink w:anchor="_Toc456095926" w:history="1">
            <w:r w:rsidR="008D72AE" w:rsidRPr="008D72AE">
              <w:rPr>
                <w:rStyle w:val="Hyperlink"/>
                <w:rFonts w:eastAsiaTheme="majorEastAsia"/>
                <w:noProof/>
                <w:sz w:val="18"/>
                <w:szCs w:val="18"/>
                <w:lang w:val="bs-Latn-BA"/>
              </w:rPr>
              <w:t>4.1.3 Bolesti ovisnosti</w:t>
            </w:r>
            <w:r w:rsidR="008D72AE" w:rsidRPr="008D72AE">
              <w:rPr>
                <w:noProof/>
                <w:webHidden/>
                <w:sz w:val="18"/>
                <w:szCs w:val="18"/>
              </w:rPr>
              <w:tab/>
            </w:r>
            <w:r w:rsidR="008D72AE" w:rsidRPr="008D72AE">
              <w:rPr>
                <w:noProof/>
                <w:webHidden/>
                <w:sz w:val="18"/>
                <w:szCs w:val="18"/>
              </w:rPr>
              <w:fldChar w:fldCharType="begin"/>
            </w:r>
            <w:r w:rsidR="008D72AE" w:rsidRPr="008D72AE">
              <w:rPr>
                <w:noProof/>
                <w:webHidden/>
                <w:sz w:val="18"/>
                <w:szCs w:val="18"/>
              </w:rPr>
              <w:instrText xml:space="preserve"> PAGEREF _Toc456095926 \h </w:instrText>
            </w:r>
            <w:r w:rsidR="008D72AE" w:rsidRPr="008D72AE">
              <w:rPr>
                <w:noProof/>
                <w:webHidden/>
                <w:sz w:val="18"/>
                <w:szCs w:val="18"/>
              </w:rPr>
            </w:r>
            <w:r w:rsidR="008D72AE" w:rsidRPr="008D72AE">
              <w:rPr>
                <w:noProof/>
                <w:webHidden/>
                <w:sz w:val="18"/>
                <w:szCs w:val="18"/>
              </w:rPr>
              <w:fldChar w:fldCharType="separate"/>
            </w:r>
            <w:r w:rsidR="008D72AE" w:rsidRPr="008D72AE">
              <w:rPr>
                <w:noProof/>
                <w:webHidden/>
                <w:sz w:val="18"/>
                <w:szCs w:val="18"/>
              </w:rPr>
              <w:t>73</w:t>
            </w:r>
            <w:r w:rsidR="008D72AE" w:rsidRPr="008D72AE">
              <w:rPr>
                <w:noProof/>
                <w:webHidden/>
                <w:sz w:val="18"/>
                <w:szCs w:val="18"/>
              </w:rPr>
              <w:fldChar w:fldCharType="end"/>
            </w:r>
          </w:hyperlink>
        </w:p>
        <w:p w:rsidR="008D72AE" w:rsidRPr="008D72AE" w:rsidRDefault="00CC2E5C">
          <w:pPr>
            <w:pStyle w:val="TOC2"/>
            <w:tabs>
              <w:tab w:val="right" w:leader="dot" w:pos="9062"/>
            </w:tabs>
            <w:rPr>
              <w:rFonts w:eastAsiaTheme="minorEastAsia"/>
              <w:smallCaps w:val="0"/>
              <w:noProof/>
              <w:sz w:val="18"/>
              <w:szCs w:val="18"/>
              <w:lang w:eastAsia="en-GB"/>
            </w:rPr>
          </w:pPr>
          <w:hyperlink w:anchor="_Toc456095927" w:history="1">
            <w:r w:rsidR="008D72AE" w:rsidRPr="008D72AE">
              <w:rPr>
                <w:rStyle w:val="Hyperlink"/>
                <w:rFonts w:eastAsiaTheme="majorEastAsia"/>
                <w:noProof/>
                <w:sz w:val="18"/>
                <w:szCs w:val="18"/>
              </w:rPr>
              <w:t>4.2 OKOLIŠ I ZDRAVLJE</w:t>
            </w:r>
            <w:r w:rsidR="008D72AE" w:rsidRPr="008D72AE">
              <w:rPr>
                <w:noProof/>
                <w:webHidden/>
                <w:sz w:val="18"/>
                <w:szCs w:val="18"/>
              </w:rPr>
              <w:tab/>
            </w:r>
            <w:r w:rsidR="008D72AE" w:rsidRPr="008D72AE">
              <w:rPr>
                <w:noProof/>
                <w:webHidden/>
                <w:sz w:val="18"/>
                <w:szCs w:val="18"/>
              </w:rPr>
              <w:fldChar w:fldCharType="begin"/>
            </w:r>
            <w:r w:rsidR="008D72AE" w:rsidRPr="008D72AE">
              <w:rPr>
                <w:noProof/>
                <w:webHidden/>
                <w:sz w:val="18"/>
                <w:szCs w:val="18"/>
              </w:rPr>
              <w:instrText xml:space="preserve"> PAGEREF _Toc456095927 \h </w:instrText>
            </w:r>
            <w:r w:rsidR="008D72AE" w:rsidRPr="008D72AE">
              <w:rPr>
                <w:noProof/>
                <w:webHidden/>
                <w:sz w:val="18"/>
                <w:szCs w:val="18"/>
              </w:rPr>
            </w:r>
            <w:r w:rsidR="008D72AE" w:rsidRPr="008D72AE">
              <w:rPr>
                <w:noProof/>
                <w:webHidden/>
                <w:sz w:val="18"/>
                <w:szCs w:val="18"/>
              </w:rPr>
              <w:fldChar w:fldCharType="separate"/>
            </w:r>
            <w:r w:rsidR="008D72AE" w:rsidRPr="008D72AE">
              <w:rPr>
                <w:noProof/>
                <w:webHidden/>
                <w:sz w:val="18"/>
                <w:szCs w:val="18"/>
              </w:rPr>
              <w:t>79</w:t>
            </w:r>
            <w:r w:rsidR="008D72AE" w:rsidRPr="008D72AE">
              <w:rPr>
                <w:noProof/>
                <w:webHidden/>
                <w:sz w:val="18"/>
                <w:szCs w:val="18"/>
              </w:rPr>
              <w:fldChar w:fldCharType="end"/>
            </w:r>
          </w:hyperlink>
        </w:p>
        <w:p w:rsidR="008D72AE" w:rsidRPr="008D72AE" w:rsidRDefault="00CC2E5C">
          <w:pPr>
            <w:pStyle w:val="TOC3"/>
            <w:tabs>
              <w:tab w:val="right" w:leader="dot" w:pos="9062"/>
            </w:tabs>
            <w:rPr>
              <w:rFonts w:eastAsiaTheme="minorEastAsia"/>
              <w:i w:val="0"/>
              <w:iCs w:val="0"/>
              <w:noProof/>
              <w:sz w:val="18"/>
              <w:szCs w:val="18"/>
              <w:lang w:eastAsia="en-GB"/>
            </w:rPr>
          </w:pPr>
          <w:hyperlink w:anchor="_Toc456095928" w:history="1">
            <w:r w:rsidR="008D72AE" w:rsidRPr="008D72AE">
              <w:rPr>
                <w:rStyle w:val="Hyperlink"/>
                <w:rFonts w:eastAsiaTheme="majorEastAsia"/>
                <w:noProof/>
                <w:sz w:val="18"/>
                <w:szCs w:val="18"/>
              </w:rPr>
              <w:t>4.2.1 Voda za piće</w:t>
            </w:r>
            <w:r w:rsidR="008D72AE" w:rsidRPr="008D72AE">
              <w:rPr>
                <w:noProof/>
                <w:webHidden/>
                <w:sz w:val="18"/>
                <w:szCs w:val="18"/>
              </w:rPr>
              <w:tab/>
            </w:r>
            <w:r w:rsidR="008D72AE" w:rsidRPr="008D72AE">
              <w:rPr>
                <w:noProof/>
                <w:webHidden/>
                <w:sz w:val="18"/>
                <w:szCs w:val="18"/>
              </w:rPr>
              <w:fldChar w:fldCharType="begin"/>
            </w:r>
            <w:r w:rsidR="008D72AE" w:rsidRPr="008D72AE">
              <w:rPr>
                <w:noProof/>
                <w:webHidden/>
                <w:sz w:val="18"/>
                <w:szCs w:val="18"/>
              </w:rPr>
              <w:instrText xml:space="preserve"> PAGEREF _Toc456095928 \h </w:instrText>
            </w:r>
            <w:r w:rsidR="008D72AE" w:rsidRPr="008D72AE">
              <w:rPr>
                <w:noProof/>
                <w:webHidden/>
                <w:sz w:val="18"/>
                <w:szCs w:val="18"/>
              </w:rPr>
            </w:r>
            <w:r w:rsidR="008D72AE" w:rsidRPr="008D72AE">
              <w:rPr>
                <w:noProof/>
                <w:webHidden/>
                <w:sz w:val="18"/>
                <w:szCs w:val="18"/>
              </w:rPr>
              <w:fldChar w:fldCharType="separate"/>
            </w:r>
            <w:r w:rsidR="008D72AE" w:rsidRPr="008D72AE">
              <w:rPr>
                <w:noProof/>
                <w:webHidden/>
                <w:sz w:val="18"/>
                <w:szCs w:val="18"/>
              </w:rPr>
              <w:t>80</w:t>
            </w:r>
            <w:r w:rsidR="008D72AE" w:rsidRPr="008D72AE">
              <w:rPr>
                <w:noProof/>
                <w:webHidden/>
                <w:sz w:val="18"/>
                <w:szCs w:val="18"/>
              </w:rPr>
              <w:fldChar w:fldCharType="end"/>
            </w:r>
          </w:hyperlink>
        </w:p>
        <w:p w:rsidR="008D72AE" w:rsidRPr="008D72AE" w:rsidRDefault="00CC2E5C">
          <w:pPr>
            <w:pStyle w:val="TOC3"/>
            <w:tabs>
              <w:tab w:val="right" w:leader="dot" w:pos="9062"/>
            </w:tabs>
            <w:rPr>
              <w:rFonts w:eastAsiaTheme="minorEastAsia"/>
              <w:i w:val="0"/>
              <w:iCs w:val="0"/>
              <w:noProof/>
              <w:sz w:val="18"/>
              <w:szCs w:val="18"/>
              <w:lang w:eastAsia="en-GB"/>
            </w:rPr>
          </w:pPr>
          <w:hyperlink w:anchor="_Toc456095929" w:history="1">
            <w:r w:rsidR="008D72AE" w:rsidRPr="008D72AE">
              <w:rPr>
                <w:rStyle w:val="Hyperlink"/>
                <w:rFonts w:eastAsiaTheme="majorEastAsia"/>
                <w:noProof/>
                <w:sz w:val="18"/>
                <w:szCs w:val="18"/>
              </w:rPr>
              <w:t xml:space="preserve">4.2.2 </w:t>
            </w:r>
            <w:r w:rsidR="00DA519D">
              <w:rPr>
                <w:rStyle w:val="Hyperlink"/>
                <w:rFonts w:eastAsiaTheme="majorEastAsia"/>
                <w:noProof/>
                <w:sz w:val="18"/>
                <w:szCs w:val="18"/>
              </w:rPr>
              <w:t>Zrak</w:t>
            </w:r>
            <w:r w:rsidR="008D72AE" w:rsidRPr="008D72AE">
              <w:rPr>
                <w:noProof/>
                <w:webHidden/>
                <w:sz w:val="18"/>
                <w:szCs w:val="18"/>
              </w:rPr>
              <w:tab/>
            </w:r>
            <w:r w:rsidR="008D72AE" w:rsidRPr="008D72AE">
              <w:rPr>
                <w:noProof/>
                <w:webHidden/>
                <w:sz w:val="18"/>
                <w:szCs w:val="18"/>
              </w:rPr>
              <w:fldChar w:fldCharType="begin"/>
            </w:r>
            <w:r w:rsidR="008D72AE" w:rsidRPr="008D72AE">
              <w:rPr>
                <w:noProof/>
                <w:webHidden/>
                <w:sz w:val="18"/>
                <w:szCs w:val="18"/>
              </w:rPr>
              <w:instrText xml:space="preserve"> PAGEREF _Toc456095929 \h </w:instrText>
            </w:r>
            <w:r w:rsidR="008D72AE" w:rsidRPr="008D72AE">
              <w:rPr>
                <w:noProof/>
                <w:webHidden/>
                <w:sz w:val="18"/>
                <w:szCs w:val="18"/>
              </w:rPr>
            </w:r>
            <w:r w:rsidR="008D72AE" w:rsidRPr="008D72AE">
              <w:rPr>
                <w:noProof/>
                <w:webHidden/>
                <w:sz w:val="18"/>
                <w:szCs w:val="18"/>
              </w:rPr>
              <w:fldChar w:fldCharType="separate"/>
            </w:r>
            <w:r w:rsidR="008D72AE" w:rsidRPr="008D72AE">
              <w:rPr>
                <w:noProof/>
                <w:webHidden/>
                <w:sz w:val="18"/>
                <w:szCs w:val="18"/>
              </w:rPr>
              <w:t>81</w:t>
            </w:r>
            <w:r w:rsidR="008D72AE" w:rsidRPr="008D72AE">
              <w:rPr>
                <w:noProof/>
                <w:webHidden/>
                <w:sz w:val="18"/>
                <w:szCs w:val="18"/>
              </w:rPr>
              <w:fldChar w:fldCharType="end"/>
            </w:r>
          </w:hyperlink>
        </w:p>
        <w:p w:rsidR="008D72AE" w:rsidRPr="008D72AE" w:rsidRDefault="00CC2E5C">
          <w:pPr>
            <w:pStyle w:val="TOC3"/>
            <w:tabs>
              <w:tab w:val="right" w:leader="dot" w:pos="9062"/>
            </w:tabs>
            <w:rPr>
              <w:rFonts w:eastAsiaTheme="minorEastAsia"/>
              <w:i w:val="0"/>
              <w:iCs w:val="0"/>
              <w:noProof/>
              <w:sz w:val="18"/>
              <w:szCs w:val="18"/>
              <w:lang w:eastAsia="en-GB"/>
            </w:rPr>
          </w:pPr>
          <w:hyperlink w:anchor="_Toc456095930" w:history="1">
            <w:r w:rsidR="008D72AE" w:rsidRPr="008D72AE">
              <w:rPr>
                <w:rStyle w:val="Hyperlink"/>
                <w:rFonts w:eastAsiaTheme="majorEastAsia"/>
                <w:noProof/>
                <w:sz w:val="18"/>
                <w:szCs w:val="18"/>
              </w:rPr>
              <w:t>4.2.3 Otpadne</w:t>
            </w:r>
            <w:r w:rsidR="008D72AE" w:rsidRPr="008D72AE">
              <w:rPr>
                <w:rStyle w:val="Hyperlink"/>
                <w:rFonts w:eastAsiaTheme="majorEastAsia"/>
                <w:noProof/>
                <w:sz w:val="18"/>
                <w:szCs w:val="18"/>
                <w:lang w:val="bs-Latn-BA"/>
              </w:rPr>
              <w:t xml:space="preserve"> </w:t>
            </w:r>
            <w:r w:rsidR="002D27DE">
              <w:rPr>
                <w:rStyle w:val="Hyperlink"/>
                <w:rFonts w:eastAsiaTheme="majorEastAsia"/>
                <w:noProof/>
                <w:sz w:val="18"/>
                <w:szCs w:val="18"/>
              </w:rPr>
              <w:t>tvari</w:t>
            </w:r>
            <w:r w:rsidR="008D72AE" w:rsidRPr="008D72AE">
              <w:rPr>
                <w:noProof/>
                <w:webHidden/>
                <w:sz w:val="18"/>
                <w:szCs w:val="18"/>
              </w:rPr>
              <w:tab/>
            </w:r>
            <w:r w:rsidR="008D72AE" w:rsidRPr="008D72AE">
              <w:rPr>
                <w:noProof/>
                <w:webHidden/>
                <w:sz w:val="18"/>
                <w:szCs w:val="18"/>
              </w:rPr>
              <w:fldChar w:fldCharType="begin"/>
            </w:r>
            <w:r w:rsidR="008D72AE" w:rsidRPr="008D72AE">
              <w:rPr>
                <w:noProof/>
                <w:webHidden/>
                <w:sz w:val="18"/>
                <w:szCs w:val="18"/>
              </w:rPr>
              <w:instrText xml:space="preserve"> PAGEREF _Toc456095930 \h </w:instrText>
            </w:r>
            <w:r w:rsidR="008D72AE" w:rsidRPr="008D72AE">
              <w:rPr>
                <w:noProof/>
                <w:webHidden/>
                <w:sz w:val="18"/>
                <w:szCs w:val="18"/>
              </w:rPr>
            </w:r>
            <w:r w:rsidR="008D72AE" w:rsidRPr="008D72AE">
              <w:rPr>
                <w:noProof/>
                <w:webHidden/>
                <w:sz w:val="18"/>
                <w:szCs w:val="18"/>
              </w:rPr>
              <w:fldChar w:fldCharType="separate"/>
            </w:r>
            <w:r w:rsidR="008D72AE" w:rsidRPr="008D72AE">
              <w:rPr>
                <w:noProof/>
                <w:webHidden/>
                <w:sz w:val="18"/>
                <w:szCs w:val="18"/>
              </w:rPr>
              <w:t>82</w:t>
            </w:r>
            <w:r w:rsidR="008D72AE" w:rsidRPr="008D72AE">
              <w:rPr>
                <w:noProof/>
                <w:webHidden/>
                <w:sz w:val="18"/>
                <w:szCs w:val="18"/>
              </w:rPr>
              <w:fldChar w:fldCharType="end"/>
            </w:r>
          </w:hyperlink>
        </w:p>
        <w:p w:rsidR="008D72AE" w:rsidRPr="008D72AE" w:rsidRDefault="00CC2E5C">
          <w:pPr>
            <w:pStyle w:val="TOC3"/>
            <w:tabs>
              <w:tab w:val="right" w:leader="dot" w:pos="9062"/>
            </w:tabs>
            <w:rPr>
              <w:rFonts w:eastAsiaTheme="minorEastAsia"/>
              <w:i w:val="0"/>
              <w:iCs w:val="0"/>
              <w:noProof/>
              <w:sz w:val="18"/>
              <w:szCs w:val="18"/>
              <w:lang w:eastAsia="en-GB"/>
            </w:rPr>
          </w:pPr>
          <w:hyperlink w:anchor="_Toc456095931" w:history="1">
            <w:r w:rsidR="008D72AE" w:rsidRPr="008D72AE">
              <w:rPr>
                <w:rStyle w:val="Hyperlink"/>
                <w:rFonts w:eastAsiaTheme="majorEastAsia"/>
                <w:noProof/>
                <w:sz w:val="18"/>
                <w:szCs w:val="18"/>
              </w:rPr>
              <w:t xml:space="preserve">4.2.4 </w:t>
            </w:r>
            <w:r w:rsidR="003605E2">
              <w:rPr>
                <w:rStyle w:val="Hyperlink"/>
                <w:rFonts w:eastAsiaTheme="majorEastAsia"/>
                <w:noProof/>
                <w:sz w:val="18"/>
                <w:szCs w:val="18"/>
              </w:rPr>
              <w:t>I</w:t>
            </w:r>
            <w:r w:rsidR="008D72AE" w:rsidRPr="008D72AE">
              <w:rPr>
                <w:rStyle w:val="Hyperlink"/>
                <w:rFonts w:eastAsiaTheme="majorEastAsia"/>
                <w:noProof/>
                <w:sz w:val="18"/>
                <w:szCs w:val="18"/>
              </w:rPr>
              <w:t>onizirajuće zračenje</w:t>
            </w:r>
            <w:r w:rsidR="008D72AE" w:rsidRPr="008D72AE">
              <w:rPr>
                <w:noProof/>
                <w:webHidden/>
                <w:sz w:val="18"/>
                <w:szCs w:val="18"/>
              </w:rPr>
              <w:tab/>
            </w:r>
            <w:r w:rsidR="008D72AE" w:rsidRPr="008D72AE">
              <w:rPr>
                <w:noProof/>
                <w:webHidden/>
                <w:sz w:val="18"/>
                <w:szCs w:val="18"/>
              </w:rPr>
              <w:fldChar w:fldCharType="begin"/>
            </w:r>
            <w:r w:rsidR="008D72AE" w:rsidRPr="008D72AE">
              <w:rPr>
                <w:noProof/>
                <w:webHidden/>
                <w:sz w:val="18"/>
                <w:szCs w:val="18"/>
              </w:rPr>
              <w:instrText xml:space="preserve"> PAGEREF _Toc456095931 \h </w:instrText>
            </w:r>
            <w:r w:rsidR="008D72AE" w:rsidRPr="008D72AE">
              <w:rPr>
                <w:noProof/>
                <w:webHidden/>
                <w:sz w:val="18"/>
                <w:szCs w:val="18"/>
              </w:rPr>
            </w:r>
            <w:r w:rsidR="008D72AE" w:rsidRPr="008D72AE">
              <w:rPr>
                <w:noProof/>
                <w:webHidden/>
                <w:sz w:val="18"/>
                <w:szCs w:val="18"/>
              </w:rPr>
              <w:fldChar w:fldCharType="separate"/>
            </w:r>
            <w:r w:rsidR="008D72AE" w:rsidRPr="008D72AE">
              <w:rPr>
                <w:noProof/>
                <w:webHidden/>
                <w:sz w:val="18"/>
                <w:szCs w:val="18"/>
              </w:rPr>
              <w:t>83</w:t>
            </w:r>
            <w:r w:rsidR="008D72AE" w:rsidRPr="008D72AE">
              <w:rPr>
                <w:noProof/>
                <w:webHidden/>
                <w:sz w:val="18"/>
                <w:szCs w:val="18"/>
              </w:rPr>
              <w:fldChar w:fldCharType="end"/>
            </w:r>
          </w:hyperlink>
        </w:p>
        <w:p w:rsidR="008D72AE" w:rsidRPr="008D72AE" w:rsidRDefault="00CC2E5C">
          <w:pPr>
            <w:pStyle w:val="TOC3"/>
            <w:tabs>
              <w:tab w:val="right" w:leader="dot" w:pos="9062"/>
            </w:tabs>
            <w:rPr>
              <w:rFonts w:eastAsiaTheme="minorEastAsia"/>
              <w:i w:val="0"/>
              <w:iCs w:val="0"/>
              <w:noProof/>
              <w:sz w:val="18"/>
              <w:szCs w:val="18"/>
              <w:lang w:eastAsia="en-GB"/>
            </w:rPr>
          </w:pPr>
          <w:hyperlink w:anchor="_Toc456095932" w:history="1">
            <w:r w:rsidR="008D72AE" w:rsidRPr="008D72AE">
              <w:rPr>
                <w:rStyle w:val="Hyperlink"/>
                <w:rFonts w:eastAsiaTheme="majorEastAsia"/>
                <w:noProof/>
                <w:sz w:val="18"/>
                <w:szCs w:val="18"/>
              </w:rPr>
              <w:t>4.2.5 Higijenska ispravnost hrane</w:t>
            </w:r>
            <w:r w:rsidR="008D72AE" w:rsidRPr="008D72AE">
              <w:rPr>
                <w:noProof/>
                <w:webHidden/>
                <w:sz w:val="18"/>
                <w:szCs w:val="18"/>
              </w:rPr>
              <w:tab/>
            </w:r>
            <w:r w:rsidR="008D72AE" w:rsidRPr="008D72AE">
              <w:rPr>
                <w:noProof/>
                <w:webHidden/>
                <w:sz w:val="18"/>
                <w:szCs w:val="18"/>
              </w:rPr>
              <w:fldChar w:fldCharType="begin"/>
            </w:r>
            <w:r w:rsidR="008D72AE" w:rsidRPr="008D72AE">
              <w:rPr>
                <w:noProof/>
                <w:webHidden/>
                <w:sz w:val="18"/>
                <w:szCs w:val="18"/>
              </w:rPr>
              <w:instrText xml:space="preserve"> PAGEREF _Toc456095932 \h </w:instrText>
            </w:r>
            <w:r w:rsidR="008D72AE" w:rsidRPr="008D72AE">
              <w:rPr>
                <w:noProof/>
                <w:webHidden/>
                <w:sz w:val="18"/>
                <w:szCs w:val="18"/>
              </w:rPr>
            </w:r>
            <w:r w:rsidR="008D72AE" w:rsidRPr="008D72AE">
              <w:rPr>
                <w:noProof/>
                <w:webHidden/>
                <w:sz w:val="18"/>
                <w:szCs w:val="18"/>
              </w:rPr>
              <w:fldChar w:fldCharType="separate"/>
            </w:r>
            <w:r w:rsidR="008D72AE" w:rsidRPr="008D72AE">
              <w:rPr>
                <w:noProof/>
                <w:webHidden/>
                <w:sz w:val="18"/>
                <w:szCs w:val="18"/>
              </w:rPr>
              <w:t>87</w:t>
            </w:r>
            <w:r w:rsidR="008D72AE" w:rsidRPr="008D72AE">
              <w:rPr>
                <w:noProof/>
                <w:webHidden/>
                <w:sz w:val="18"/>
                <w:szCs w:val="18"/>
              </w:rPr>
              <w:fldChar w:fldCharType="end"/>
            </w:r>
          </w:hyperlink>
        </w:p>
        <w:p w:rsidR="008D72AE" w:rsidRPr="008D72AE" w:rsidRDefault="00CC2E5C">
          <w:pPr>
            <w:pStyle w:val="TOC3"/>
            <w:tabs>
              <w:tab w:val="right" w:leader="dot" w:pos="9062"/>
            </w:tabs>
            <w:rPr>
              <w:rFonts w:eastAsiaTheme="minorEastAsia"/>
              <w:i w:val="0"/>
              <w:iCs w:val="0"/>
              <w:noProof/>
              <w:sz w:val="18"/>
              <w:szCs w:val="18"/>
              <w:lang w:eastAsia="en-GB"/>
            </w:rPr>
          </w:pPr>
          <w:hyperlink w:anchor="_Toc456095933" w:history="1">
            <w:r w:rsidR="008D72AE" w:rsidRPr="008D72AE">
              <w:rPr>
                <w:rStyle w:val="Hyperlink"/>
                <w:rFonts w:eastAsiaTheme="majorEastAsia"/>
                <w:noProof/>
                <w:sz w:val="18"/>
                <w:szCs w:val="18"/>
              </w:rPr>
              <w:t>4.2.6 Mine i neeksplodirana ubojita sredstva</w:t>
            </w:r>
            <w:r w:rsidR="008D72AE" w:rsidRPr="008D72AE">
              <w:rPr>
                <w:noProof/>
                <w:webHidden/>
                <w:sz w:val="18"/>
                <w:szCs w:val="18"/>
              </w:rPr>
              <w:tab/>
            </w:r>
            <w:r w:rsidR="008D72AE" w:rsidRPr="008D72AE">
              <w:rPr>
                <w:noProof/>
                <w:webHidden/>
                <w:sz w:val="18"/>
                <w:szCs w:val="18"/>
              </w:rPr>
              <w:fldChar w:fldCharType="begin"/>
            </w:r>
            <w:r w:rsidR="008D72AE" w:rsidRPr="008D72AE">
              <w:rPr>
                <w:noProof/>
                <w:webHidden/>
                <w:sz w:val="18"/>
                <w:szCs w:val="18"/>
              </w:rPr>
              <w:instrText xml:space="preserve"> PAGEREF _Toc456095933 \h </w:instrText>
            </w:r>
            <w:r w:rsidR="008D72AE" w:rsidRPr="008D72AE">
              <w:rPr>
                <w:noProof/>
                <w:webHidden/>
                <w:sz w:val="18"/>
                <w:szCs w:val="18"/>
              </w:rPr>
            </w:r>
            <w:r w:rsidR="008D72AE" w:rsidRPr="008D72AE">
              <w:rPr>
                <w:noProof/>
                <w:webHidden/>
                <w:sz w:val="18"/>
                <w:szCs w:val="18"/>
              </w:rPr>
              <w:fldChar w:fldCharType="separate"/>
            </w:r>
            <w:r w:rsidR="008D72AE" w:rsidRPr="008D72AE">
              <w:rPr>
                <w:noProof/>
                <w:webHidden/>
                <w:sz w:val="18"/>
                <w:szCs w:val="18"/>
              </w:rPr>
              <w:t>90</w:t>
            </w:r>
            <w:r w:rsidR="008D72AE" w:rsidRPr="008D72AE">
              <w:rPr>
                <w:noProof/>
                <w:webHidden/>
                <w:sz w:val="18"/>
                <w:szCs w:val="18"/>
              </w:rPr>
              <w:fldChar w:fldCharType="end"/>
            </w:r>
          </w:hyperlink>
        </w:p>
        <w:p w:rsidR="008D72AE" w:rsidRPr="008D72AE" w:rsidRDefault="00CC2E5C">
          <w:pPr>
            <w:pStyle w:val="TOC3"/>
            <w:tabs>
              <w:tab w:val="right" w:leader="dot" w:pos="9062"/>
            </w:tabs>
            <w:rPr>
              <w:rFonts w:eastAsiaTheme="minorEastAsia"/>
              <w:i w:val="0"/>
              <w:iCs w:val="0"/>
              <w:noProof/>
              <w:sz w:val="18"/>
              <w:szCs w:val="18"/>
              <w:lang w:eastAsia="en-GB"/>
            </w:rPr>
          </w:pPr>
          <w:hyperlink w:anchor="_Toc456095934" w:history="1">
            <w:r w:rsidR="008D72AE" w:rsidRPr="008D72AE">
              <w:rPr>
                <w:rStyle w:val="Hyperlink"/>
                <w:rFonts w:eastAsiaTheme="majorEastAsia"/>
                <w:noProof/>
                <w:sz w:val="18"/>
                <w:szCs w:val="18"/>
              </w:rPr>
              <w:t xml:space="preserve">4.2.7 </w:t>
            </w:r>
            <w:r w:rsidR="00DA519D">
              <w:rPr>
                <w:rStyle w:val="Hyperlink"/>
                <w:rFonts w:eastAsiaTheme="majorEastAsia"/>
                <w:noProof/>
                <w:sz w:val="18"/>
                <w:szCs w:val="18"/>
              </w:rPr>
              <w:t>Prometni</w:t>
            </w:r>
            <w:r w:rsidR="008D72AE" w:rsidRPr="008D72AE">
              <w:rPr>
                <w:rStyle w:val="Hyperlink"/>
                <w:rFonts w:eastAsiaTheme="majorEastAsia"/>
                <w:noProof/>
                <w:sz w:val="18"/>
                <w:szCs w:val="18"/>
              </w:rPr>
              <w:t xml:space="preserve"> traumatizam</w:t>
            </w:r>
            <w:r w:rsidR="008D72AE" w:rsidRPr="008D72AE">
              <w:rPr>
                <w:noProof/>
                <w:webHidden/>
                <w:sz w:val="18"/>
                <w:szCs w:val="18"/>
              </w:rPr>
              <w:tab/>
            </w:r>
            <w:r w:rsidR="008D72AE" w:rsidRPr="008D72AE">
              <w:rPr>
                <w:noProof/>
                <w:webHidden/>
                <w:sz w:val="18"/>
                <w:szCs w:val="18"/>
              </w:rPr>
              <w:fldChar w:fldCharType="begin"/>
            </w:r>
            <w:r w:rsidR="008D72AE" w:rsidRPr="008D72AE">
              <w:rPr>
                <w:noProof/>
                <w:webHidden/>
                <w:sz w:val="18"/>
                <w:szCs w:val="18"/>
              </w:rPr>
              <w:instrText xml:space="preserve"> PAGEREF _Toc456095934 \h </w:instrText>
            </w:r>
            <w:r w:rsidR="008D72AE" w:rsidRPr="008D72AE">
              <w:rPr>
                <w:noProof/>
                <w:webHidden/>
                <w:sz w:val="18"/>
                <w:szCs w:val="18"/>
              </w:rPr>
            </w:r>
            <w:r w:rsidR="008D72AE" w:rsidRPr="008D72AE">
              <w:rPr>
                <w:noProof/>
                <w:webHidden/>
                <w:sz w:val="18"/>
                <w:szCs w:val="18"/>
              </w:rPr>
              <w:fldChar w:fldCharType="separate"/>
            </w:r>
            <w:r w:rsidR="008D72AE" w:rsidRPr="008D72AE">
              <w:rPr>
                <w:noProof/>
                <w:webHidden/>
                <w:sz w:val="18"/>
                <w:szCs w:val="18"/>
              </w:rPr>
              <w:t>91</w:t>
            </w:r>
            <w:r w:rsidR="008D72AE" w:rsidRPr="008D72AE">
              <w:rPr>
                <w:noProof/>
                <w:webHidden/>
                <w:sz w:val="18"/>
                <w:szCs w:val="18"/>
              </w:rPr>
              <w:fldChar w:fldCharType="end"/>
            </w:r>
          </w:hyperlink>
        </w:p>
        <w:p w:rsidR="008D72AE" w:rsidRPr="008D72AE" w:rsidRDefault="00CC2E5C">
          <w:pPr>
            <w:pStyle w:val="TOC1"/>
            <w:tabs>
              <w:tab w:val="left" w:pos="440"/>
            </w:tabs>
            <w:rPr>
              <w:rFonts w:ascii="Times New Roman" w:eastAsiaTheme="minorEastAsia" w:hAnsi="Times New Roman"/>
              <w:b w:val="0"/>
              <w:bCs w:val="0"/>
              <w:caps w:val="0"/>
              <w:sz w:val="18"/>
              <w:szCs w:val="18"/>
              <w:lang w:eastAsia="en-GB"/>
            </w:rPr>
          </w:pPr>
          <w:hyperlink w:anchor="_Toc456095935" w:history="1">
            <w:r w:rsidR="008D72AE" w:rsidRPr="008D72AE">
              <w:rPr>
                <w:rStyle w:val="Hyperlink"/>
                <w:rFonts w:ascii="Times New Roman" w:eastAsiaTheme="majorEastAsia" w:hAnsi="Times New Roman"/>
                <w:sz w:val="18"/>
                <w:szCs w:val="18"/>
              </w:rPr>
              <w:t>5.</w:t>
            </w:r>
            <w:r w:rsidR="008D72AE" w:rsidRPr="008D72AE">
              <w:rPr>
                <w:rFonts w:ascii="Times New Roman" w:eastAsiaTheme="minorEastAsia" w:hAnsi="Times New Roman"/>
                <w:b w:val="0"/>
                <w:bCs w:val="0"/>
                <w:caps w:val="0"/>
                <w:sz w:val="18"/>
                <w:szCs w:val="18"/>
                <w:lang w:eastAsia="en-GB"/>
              </w:rPr>
              <w:tab/>
            </w:r>
            <w:r w:rsidR="008D72AE" w:rsidRPr="008D72AE">
              <w:rPr>
                <w:rStyle w:val="Hyperlink"/>
                <w:rFonts w:ascii="Times New Roman" w:eastAsiaTheme="majorEastAsia" w:hAnsi="Times New Roman"/>
                <w:sz w:val="18"/>
                <w:szCs w:val="18"/>
              </w:rPr>
              <w:t>ORGANIZACIJA ZDRAVSTVENE ZAŠTITE</w:t>
            </w:r>
            <w:r w:rsidR="008D72AE" w:rsidRPr="008D72AE">
              <w:rPr>
                <w:rFonts w:ascii="Times New Roman" w:hAnsi="Times New Roman"/>
                <w:webHidden/>
                <w:sz w:val="18"/>
                <w:szCs w:val="18"/>
              </w:rPr>
              <w:tab/>
            </w:r>
            <w:r w:rsidR="008D72AE" w:rsidRPr="008D72AE">
              <w:rPr>
                <w:rFonts w:ascii="Times New Roman" w:hAnsi="Times New Roman"/>
                <w:webHidden/>
                <w:sz w:val="18"/>
                <w:szCs w:val="18"/>
              </w:rPr>
              <w:fldChar w:fldCharType="begin"/>
            </w:r>
            <w:r w:rsidR="008D72AE" w:rsidRPr="008D72AE">
              <w:rPr>
                <w:rFonts w:ascii="Times New Roman" w:hAnsi="Times New Roman"/>
                <w:webHidden/>
                <w:sz w:val="18"/>
                <w:szCs w:val="18"/>
              </w:rPr>
              <w:instrText xml:space="preserve"> PAGEREF _Toc456095935 \h </w:instrText>
            </w:r>
            <w:r w:rsidR="008D72AE" w:rsidRPr="008D72AE">
              <w:rPr>
                <w:rFonts w:ascii="Times New Roman" w:hAnsi="Times New Roman"/>
                <w:webHidden/>
                <w:sz w:val="18"/>
                <w:szCs w:val="18"/>
              </w:rPr>
            </w:r>
            <w:r w:rsidR="008D72AE" w:rsidRPr="008D72AE">
              <w:rPr>
                <w:rFonts w:ascii="Times New Roman" w:hAnsi="Times New Roman"/>
                <w:webHidden/>
                <w:sz w:val="18"/>
                <w:szCs w:val="18"/>
              </w:rPr>
              <w:fldChar w:fldCharType="separate"/>
            </w:r>
            <w:r w:rsidR="008D72AE" w:rsidRPr="008D72AE">
              <w:rPr>
                <w:rFonts w:ascii="Times New Roman" w:hAnsi="Times New Roman"/>
                <w:webHidden/>
                <w:sz w:val="18"/>
                <w:szCs w:val="18"/>
              </w:rPr>
              <w:t>92</w:t>
            </w:r>
            <w:r w:rsidR="008D72AE" w:rsidRPr="008D72AE">
              <w:rPr>
                <w:rFonts w:ascii="Times New Roman" w:hAnsi="Times New Roman"/>
                <w:webHidden/>
                <w:sz w:val="18"/>
                <w:szCs w:val="18"/>
              </w:rPr>
              <w:fldChar w:fldCharType="end"/>
            </w:r>
          </w:hyperlink>
        </w:p>
        <w:p w:rsidR="008D72AE" w:rsidRPr="008D72AE" w:rsidRDefault="00CC2E5C">
          <w:pPr>
            <w:pStyle w:val="TOC2"/>
            <w:tabs>
              <w:tab w:val="right" w:leader="dot" w:pos="9062"/>
            </w:tabs>
            <w:rPr>
              <w:rFonts w:eastAsiaTheme="minorEastAsia"/>
              <w:smallCaps w:val="0"/>
              <w:noProof/>
              <w:sz w:val="18"/>
              <w:szCs w:val="18"/>
              <w:lang w:eastAsia="en-GB"/>
            </w:rPr>
          </w:pPr>
          <w:hyperlink w:anchor="_Toc456095936" w:history="1">
            <w:r w:rsidR="008D72AE" w:rsidRPr="008D72AE">
              <w:rPr>
                <w:rStyle w:val="Hyperlink"/>
                <w:rFonts w:eastAsiaTheme="majorEastAsia"/>
                <w:noProof/>
                <w:sz w:val="18"/>
                <w:szCs w:val="18"/>
              </w:rPr>
              <w:t xml:space="preserve">5.1 </w:t>
            </w:r>
            <w:r w:rsidR="0075437E">
              <w:rPr>
                <w:rStyle w:val="Hyperlink"/>
                <w:rFonts w:eastAsiaTheme="majorEastAsia"/>
                <w:noProof/>
                <w:sz w:val="18"/>
                <w:szCs w:val="18"/>
              </w:rPr>
              <w:t>Za</w:t>
            </w:r>
            <w:r w:rsidR="008D72AE" w:rsidRPr="008D72AE">
              <w:rPr>
                <w:rStyle w:val="Hyperlink"/>
                <w:rFonts w:eastAsiaTheme="majorEastAsia"/>
                <w:noProof/>
                <w:sz w:val="18"/>
                <w:szCs w:val="18"/>
              </w:rPr>
              <w:t>posleni u zdravstvu</w:t>
            </w:r>
            <w:r w:rsidR="008D72AE" w:rsidRPr="008D72AE">
              <w:rPr>
                <w:noProof/>
                <w:webHidden/>
                <w:sz w:val="18"/>
                <w:szCs w:val="18"/>
              </w:rPr>
              <w:tab/>
            </w:r>
            <w:r w:rsidR="008D72AE" w:rsidRPr="008D72AE">
              <w:rPr>
                <w:noProof/>
                <w:webHidden/>
                <w:sz w:val="18"/>
                <w:szCs w:val="18"/>
              </w:rPr>
              <w:fldChar w:fldCharType="begin"/>
            </w:r>
            <w:r w:rsidR="008D72AE" w:rsidRPr="008D72AE">
              <w:rPr>
                <w:noProof/>
                <w:webHidden/>
                <w:sz w:val="18"/>
                <w:szCs w:val="18"/>
              </w:rPr>
              <w:instrText xml:space="preserve"> PAGEREF _Toc456095936 \h </w:instrText>
            </w:r>
            <w:r w:rsidR="008D72AE" w:rsidRPr="008D72AE">
              <w:rPr>
                <w:noProof/>
                <w:webHidden/>
                <w:sz w:val="18"/>
                <w:szCs w:val="18"/>
              </w:rPr>
            </w:r>
            <w:r w:rsidR="008D72AE" w:rsidRPr="008D72AE">
              <w:rPr>
                <w:noProof/>
                <w:webHidden/>
                <w:sz w:val="18"/>
                <w:szCs w:val="18"/>
              </w:rPr>
              <w:fldChar w:fldCharType="separate"/>
            </w:r>
            <w:r w:rsidR="008D72AE" w:rsidRPr="008D72AE">
              <w:rPr>
                <w:noProof/>
                <w:webHidden/>
                <w:sz w:val="18"/>
                <w:szCs w:val="18"/>
              </w:rPr>
              <w:t>93</w:t>
            </w:r>
            <w:r w:rsidR="008D72AE" w:rsidRPr="008D72AE">
              <w:rPr>
                <w:noProof/>
                <w:webHidden/>
                <w:sz w:val="18"/>
                <w:szCs w:val="18"/>
              </w:rPr>
              <w:fldChar w:fldCharType="end"/>
            </w:r>
          </w:hyperlink>
        </w:p>
        <w:p w:rsidR="008D72AE" w:rsidRPr="008D72AE" w:rsidRDefault="00CC2E5C">
          <w:pPr>
            <w:pStyle w:val="TOC2"/>
            <w:tabs>
              <w:tab w:val="right" w:leader="dot" w:pos="9062"/>
            </w:tabs>
            <w:rPr>
              <w:rFonts w:eastAsiaTheme="minorEastAsia"/>
              <w:smallCaps w:val="0"/>
              <w:noProof/>
              <w:sz w:val="18"/>
              <w:szCs w:val="18"/>
              <w:lang w:eastAsia="en-GB"/>
            </w:rPr>
          </w:pPr>
          <w:hyperlink w:anchor="_Toc456095937" w:history="1">
            <w:r w:rsidR="008D72AE" w:rsidRPr="008D72AE">
              <w:rPr>
                <w:rStyle w:val="Hyperlink"/>
                <w:rFonts w:eastAsiaTheme="majorEastAsia"/>
                <w:noProof/>
                <w:sz w:val="18"/>
                <w:szCs w:val="18"/>
              </w:rPr>
              <w:t>5.2  Primarna zdravstvena zaštita</w:t>
            </w:r>
            <w:r w:rsidR="008D72AE" w:rsidRPr="008D72AE">
              <w:rPr>
                <w:noProof/>
                <w:webHidden/>
                <w:sz w:val="18"/>
                <w:szCs w:val="18"/>
              </w:rPr>
              <w:tab/>
            </w:r>
            <w:r w:rsidR="008D72AE" w:rsidRPr="008D72AE">
              <w:rPr>
                <w:noProof/>
                <w:webHidden/>
                <w:sz w:val="18"/>
                <w:szCs w:val="18"/>
              </w:rPr>
              <w:fldChar w:fldCharType="begin"/>
            </w:r>
            <w:r w:rsidR="008D72AE" w:rsidRPr="008D72AE">
              <w:rPr>
                <w:noProof/>
                <w:webHidden/>
                <w:sz w:val="18"/>
                <w:szCs w:val="18"/>
              </w:rPr>
              <w:instrText xml:space="preserve"> PAGEREF _Toc456095937 \h </w:instrText>
            </w:r>
            <w:r w:rsidR="008D72AE" w:rsidRPr="008D72AE">
              <w:rPr>
                <w:noProof/>
                <w:webHidden/>
                <w:sz w:val="18"/>
                <w:szCs w:val="18"/>
              </w:rPr>
            </w:r>
            <w:r w:rsidR="008D72AE" w:rsidRPr="008D72AE">
              <w:rPr>
                <w:noProof/>
                <w:webHidden/>
                <w:sz w:val="18"/>
                <w:szCs w:val="18"/>
              </w:rPr>
              <w:fldChar w:fldCharType="separate"/>
            </w:r>
            <w:r w:rsidR="008D72AE" w:rsidRPr="008D72AE">
              <w:rPr>
                <w:noProof/>
                <w:webHidden/>
                <w:sz w:val="18"/>
                <w:szCs w:val="18"/>
              </w:rPr>
              <w:t>97</w:t>
            </w:r>
            <w:r w:rsidR="008D72AE" w:rsidRPr="008D72AE">
              <w:rPr>
                <w:noProof/>
                <w:webHidden/>
                <w:sz w:val="18"/>
                <w:szCs w:val="18"/>
              </w:rPr>
              <w:fldChar w:fldCharType="end"/>
            </w:r>
          </w:hyperlink>
        </w:p>
        <w:p w:rsidR="008D72AE" w:rsidRPr="008D72AE" w:rsidRDefault="00CC2E5C">
          <w:pPr>
            <w:pStyle w:val="TOC2"/>
            <w:tabs>
              <w:tab w:val="right" w:leader="dot" w:pos="9062"/>
            </w:tabs>
            <w:rPr>
              <w:rFonts w:eastAsiaTheme="minorEastAsia"/>
              <w:smallCaps w:val="0"/>
              <w:noProof/>
              <w:sz w:val="18"/>
              <w:szCs w:val="18"/>
              <w:lang w:eastAsia="en-GB"/>
            </w:rPr>
          </w:pPr>
          <w:hyperlink w:anchor="_Toc456095938" w:history="1">
            <w:r w:rsidR="008D72AE" w:rsidRPr="008D72AE">
              <w:rPr>
                <w:rStyle w:val="Hyperlink"/>
                <w:rFonts w:eastAsiaTheme="majorEastAsia"/>
                <w:noProof/>
                <w:sz w:val="18"/>
                <w:szCs w:val="18"/>
              </w:rPr>
              <w:t>5.3 Specijalističko-kon</w:t>
            </w:r>
            <w:r w:rsidR="00DA519D">
              <w:rPr>
                <w:rStyle w:val="Hyperlink"/>
                <w:rFonts w:eastAsiaTheme="majorEastAsia"/>
                <w:noProof/>
                <w:sz w:val="18"/>
                <w:szCs w:val="18"/>
              </w:rPr>
              <w:t>z</w:t>
            </w:r>
            <w:r w:rsidR="000B12A9">
              <w:rPr>
                <w:rStyle w:val="Hyperlink"/>
                <w:rFonts w:eastAsiaTheme="majorEastAsia"/>
                <w:noProof/>
                <w:sz w:val="18"/>
                <w:szCs w:val="18"/>
              </w:rPr>
              <w:t>ultativna</w:t>
            </w:r>
            <w:r w:rsidR="008D72AE" w:rsidRPr="008D72AE">
              <w:rPr>
                <w:rStyle w:val="Hyperlink"/>
                <w:rFonts w:eastAsiaTheme="majorEastAsia"/>
                <w:noProof/>
                <w:sz w:val="18"/>
                <w:szCs w:val="18"/>
              </w:rPr>
              <w:t xml:space="preserve"> zaštita</w:t>
            </w:r>
            <w:r w:rsidR="008D72AE" w:rsidRPr="008D72AE">
              <w:rPr>
                <w:noProof/>
                <w:webHidden/>
                <w:sz w:val="18"/>
                <w:szCs w:val="18"/>
              </w:rPr>
              <w:tab/>
            </w:r>
            <w:r w:rsidR="008D72AE" w:rsidRPr="008D72AE">
              <w:rPr>
                <w:noProof/>
                <w:webHidden/>
                <w:sz w:val="18"/>
                <w:szCs w:val="18"/>
              </w:rPr>
              <w:fldChar w:fldCharType="begin"/>
            </w:r>
            <w:r w:rsidR="008D72AE" w:rsidRPr="008D72AE">
              <w:rPr>
                <w:noProof/>
                <w:webHidden/>
                <w:sz w:val="18"/>
                <w:szCs w:val="18"/>
              </w:rPr>
              <w:instrText xml:space="preserve"> PAGEREF _Toc456095938 \h </w:instrText>
            </w:r>
            <w:r w:rsidR="008D72AE" w:rsidRPr="008D72AE">
              <w:rPr>
                <w:noProof/>
                <w:webHidden/>
                <w:sz w:val="18"/>
                <w:szCs w:val="18"/>
              </w:rPr>
            </w:r>
            <w:r w:rsidR="008D72AE" w:rsidRPr="008D72AE">
              <w:rPr>
                <w:noProof/>
                <w:webHidden/>
                <w:sz w:val="18"/>
                <w:szCs w:val="18"/>
              </w:rPr>
              <w:fldChar w:fldCharType="separate"/>
            </w:r>
            <w:r w:rsidR="008D72AE" w:rsidRPr="008D72AE">
              <w:rPr>
                <w:noProof/>
                <w:webHidden/>
                <w:sz w:val="18"/>
                <w:szCs w:val="18"/>
              </w:rPr>
              <w:t>104</w:t>
            </w:r>
            <w:r w:rsidR="008D72AE" w:rsidRPr="008D72AE">
              <w:rPr>
                <w:noProof/>
                <w:webHidden/>
                <w:sz w:val="18"/>
                <w:szCs w:val="18"/>
              </w:rPr>
              <w:fldChar w:fldCharType="end"/>
            </w:r>
          </w:hyperlink>
        </w:p>
        <w:p w:rsidR="008D72AE" w:rsidRPr="008D72AE" w:rsidRDefault="00CC2E5C">
          <w:pPr>
            <w:pStyle w:val="TOC2"/>
            <w:tabs>
              <w:tab w:val="right" w:leader="dot" w:pos="9062"/>
            </w:tabs>
            <w:rPr>
              <w:rFonts w:eastAsiaTheme="minorEastAsia"/>
              <w:smallCaps w:val="0"/>
              <w:noProof/>
              <w:sz w:val="18"/>
              <w:szCs w:val="18"/>
              <w:lang w:eastAsia="en-GB"/>
            </w:rPr>
          </w:pPr>
          <w:hyperlink w:anchor="_Toc456095939" w:history="1">
            <w:r w:rsidR="008D72AE" w:rsidRPr="008D72AE">
              <w:rPr>
                <w:rStyle w:val="Hyperlink"/>
                <w:rFonts w:eastAsiaTheme="majorEastAsia"/>
                <w:noProof/>
                <w:sz w:val="18"/>
                <w:szCs w:val="18"/>
              </w:rPr>
              <w:t>5.4  Bolnička zdravstvena zaštita</w:t>
            </w:r>
            <w:r w:rsidR="008D72AE" w:rsidRPr="008D72AE">
              <w:rPr>
                <w:noProof/>
                <w:webHidden/>
                <w:sz w:val="18"/>
                <w:szCs w:val="18"/>
              </w:rPr>
              <w:tab/>
            </w:r>
            <w:r w:rsidR="008D72AE" w:rsidRPr="008D72AE">
              <w:rPr>
                <w:noProof/>
                <w:webHidden/>
                <w:sz w:val="18"/>
                <w:szCs w:val="18"/>
              </w:rPr>
              <w:fldChar w:fldCharType="begin"/>
            </w:r>
            <w:r w:rsidR="008D72AE" w:rsidRPr="008D72AE">
              <w:rPr>
                <w:noProof/>
                <w:webHidden/>
                <w:sz w:val="18"/>
                <w:szCs w:val="18"/>
              </w:rPr>
              <w:instrText xml:space="preserve"> PAGEREF _Toc456095939 \h </w:instrText>
            </w:r>
            <w:r w:rsidR="008D72AE" w:rsidRPr="008D72AE">
              <w:rPr>
                <w:noProof/>
                <w:webHidden/>
                <w:sz w:val="18"/>
                <w:szCs w:val="18"/>
              </w:rPr>
            </w:r>
            <w:r w:rsidR="008D72AE" w:rsidRPr="008D72AE">
              <w:rPr>
                <w:noProof/>
                <w:webHidden/>
                <w:sz w:val="18"/>
                <w:szCs w:val="18"/>
              </w:rPr>
              <w:fldChar w:fldCharType="separate"/>
            </w:r>
            <w:r w:rsidR="008D72AE" w:rsidRPr="008D72AE">
              <w:rPr>
                <w:noProof/>
                <w:webHidden/>
                <w:sz w:val="18"/>
                <w:szCs w:val="18"/>
              </w:rPr>
              <w:t>104</w:t>
            </w:r>
            <w:r w:rsidR="008D72AE" w:rsidRPr="008D72AE">
              <w:rPr>
                <w:noProof/>
                <w:webHidden/>
                <w:sz w:val="18"/>
                <w:szCs w:val="18"/>
              </w:rPr>
              <w:fldChar w:fldCharType="end"/>
            </w:r>
          </w:hyperlink>
        </w:p>
        <w:p w:rsidR="008D72AE" w:rsidRPr="008D72AE" w:rsidRDefault="00CC2E5C">
          <w:pPr>
            <w:pStyle w:val="TOC2"/>
            <w:tabs>
              <w:tab w:val="right" w:leader="dot" w:pos="9062"/>
            </w:tabs>
            <w:rPr>
              <w:rFonts w:eastAsiaTheme="minorEastAsia"/>
              <w:smallCaps w:val="0"/>
              <w:noProof/>
              <w:sz w:val="18"/>
              <w:szCs w:val="18"/>
              <w:lang w:eastAsia="en-GB"/>
            </w:rPr>
          </w:pPr>
          <w:hyperlink w:anchor="_Toc456095940" w:history="1">
            <w:r w:rsidR="008D72AE" w:rsidRPr="008D72AE">
              <w:rPr>
                <w:rStyle w:val="Hyperlink"/>
                <w:rFonts w:eastAsiaTheme="majorEastAsia"/>
                <w:noProof/>
                <w:sz w:val="18"/>
                <w:szCs w:val="18"/>
              </w:rPr>
              <w:t>5.5 Privatna praksa</w:t>
            </w:r>
            <w:r w:rsidR="008D72AE" w:rsidRPr="008D72AE">
              <w:rPr>
                <w:noProof/>
                <w:webHidden/>
                <w:sz w:val="18"/>
                <w:szCs w:val="18"/>
              </w:rPr>
              <w:tab/>
            </w:r>
            <w:r w:rsidR="008D72AE" w:rsidRPr="008D72AE">
              <w:rPr>
                <w:noProof/>
                <w:webHidden/>
                <w:sz w:val="18"/>
                <w:szCs w:val="18"/>
              </w:rPr>
              <w:fldChar w:fldCharType="begin"/>
            </w:r>
            <w:r w:rsidR="008D72AE" w:rsidRPr="008D72AE">
              <w:rPr>
                <w:noProof/>
                <w:webHidden/>
                <w:sz w:val="18"/>
                <w:szCs w:val="18"/>
              </w:rPr>
              <w:instrText xml:space="preserve"> PAGEREF _Toc456095940 \h </w:instrText>
            </w:r>
            <w:r w:rsidR="008D72AE" w:rsidRPr="008D72AE">
              <w:rPr>
                <w:noProof/>
                <w:webHidden/>
                <w:sz w:val="18"/>
                <w:szCs w:val="18"/>
              </w:rPr>
            </w:r>
            <w:r w:rsidR="008D72AE" w:rsidRPr="008D72AE">
              <w:rPr>
                <w:noProof/>
                <w:webHidden/>
                <w:sz w:val="18"/>
                <w:szCs w:val="18"/>
              </w:rPr>
              <w:fldChar w:fldCharType="separate"/>
            </w:r>
            <w:r w:rsidR="008D72AE" w:rsidRPr="008D72AE">
              <w:rPr>
                <w:noProof/>
                <w:webHidden/>
                <w:sz w:val="18"/>
                <w:szCs w:val="18"/>
              </w:rPr>
              <w:t>107</w:t>
            </w:r>
            <w:r w:rsidR="008D72AE" w:rsidRPr="008D72AE">
              <w:rPr>
                <w:noProof/>
                <w:webHidden/>
                <w:sz w:val="18"/>
                <w:szCs w:val="18"/>
              </w:rPr>
              <w:fldChar w:fldCharType="end"/>
            </w:r>
          </w:hyperlink>
        </w:p>
        <w:p w:rsidR="008D72AE" w:rsidRPr="008D72AE" w:rsidRDefault="00CC2E5C">
          <w:pPr>
            <w:pStyle w:val="TOC1"/>
            <w:tabs>
              <w:tab w:val="left" w:pos="440"/>
            </w:tabs>
            <w:rPr>
              <w:rFonts w:ascii="Times New Roman" w:eastAsiaTheme="minorEastAsia" w:hAnsi="Times New Roman"/>
              <w:b w:val="0"/>
              <w:bCs w:val="0"/>
              <w:caps w:val="0"/>
              <w:sz w:val="18"/>
              <w:szCs w:val="18"/>
              <w:lang w:eastAsia="en-GB"/>
            </w:rPr>
          </w:pPr>
          <w:hyperlink w:anchor="_Toc456095941" w:history="1">
            <w:r w:rsidR="008D72AE" w:rsidRPr="008D72AE">
              <w:rPr>
                <w:rStyle w:val="Hyperlink"/>
                <w:rFonts w:ascii="Times New Roman" w:eastAsiaTheme="majorEastAsia" w:hAnsi="Times New Roman"/>
                <w:sz w:val="18"/>
                <w:szCs w:val="18"/>
              </w:rPr>
              <w:t>6.</w:t>
            </w:r>
            <w:r w:rsidR="008D72AE" w:rsidRPr="008D72AE">
              <w:rPr>
                <w:rFonts w:ascii="Times New Roman" w:eastAsiaTheme="minorEastAsia" w:hAnsi="Times New Roman"/>
                <w:b w:val="0"/>
                <w:bCs w:val="0"/>
                <w:caps w:val="0"/>
                <w:sz w:val="18"/>
                <w:szCs w:val="18"/>
                <w:lang w:eastAsia="en-GB"/>
              </w:rPr>
              <w:tab/>
            </w:r>
            <w:r w:rsidR="008D72AE" w:rsidRPr="008D72AE">
              <w:rPr>
                <w:rStyle w:val="Hyperlink"/>
                <w:rFonts w:ascii="Times New Roman" w:eastAsiaTheme="majorEastAsia" w:hAnsi="Times New Roman"/>
                <w:sz w:val="18"/>
                <w:szCs w:val="18"/>
              </w:rPr>
              <w:t>PREGLED ODABRANIH POKAZATELJA PO KANTONIMA</w:t>
            </w:r>
            <w:r w:rsidR="008D72AE" w:rsidRPr="008D72AE">
              <w:rPr>
                <w:rFonts w:ascii="Times New Roman" w:hAnsi="Times New Roman"/>
                <w:webHidden/>
                <w:sz w:val="18"/>
                <w:szCs w:val="18"/>
              </w:rPr>
              <w:tab/>
            </w:r>
            <w:r w:rsidR="008D72AE" w:rsidRPr="008D72AE">
              <w:rPr>
                <w:rFonts w:ascii="Times New Roman" w:hAnsi="Times New Roman"/>
                <w:webHidden/>
                <w:sz w:val="18"/>
                <w:szCs w:val="18"/>
              </w:rPr>
              <w:fldChar w:fldCharType="begin"/>
            </w:r>
            <w:r w:rsidR="008D72AE" w:rsidRPr="008D72AE">
              <w:rPr>
                <w:rFonts w:ascii="Times New Roman" w:hAnsi="Times New Roman"/>
                <w:webHidden/>
                <w:sz w:val="18"/>
                <w:szCs w:val="18"/>
              </w:rPr>
              <w:instrText xml:space="preserve"> PAGEREF _Toc456095941 \h </w:instrText>
            </w:r>
            <w:r w:rsidR="008D72AE" w:rsidRPr="008D72AE">
              <w:rPr>
                <w:rFonts w:ascii="Times New Roman" w:hAnsi="Times New Roman"/>
                <w:webHidden/>
                <w:sz w:val="18"/>
                <w:szCs w:val="18"/>
              </w:rPr>
            </w:r>
            <w:r w:rsidR="008D72AE" w:rsidRPr="008D72AE">
              <w:rPr>
                <w:rFonts w:ascii="Times New Roman" w:hAnsi="Times New Roman"/>
                <w:webHidden/>
                <w:sz w:val="18"/>
                <w:szCs w:val="18"/>
              </w:rPr>
              <w:fldChar w:fldCharType="separate"/>
            </w:r>
            <w:r w:rsidR="008D72AE" w:rsidRPr="008D72AE">
              <w:rPr>
                <w:rFonts w:ascii="Times New Roman" w:hAnsi="Times New Roman"/>
                <w:webHidden/>
                <w:sz w:val="18"/>
                <w:szCs w:val="18"/>
              </w:rPr>
              <w:t>108</w:t>
            </w:r>
            <w:r w:rsidR="008D72AE" w:rsidRPr="008D72AE">
              <w:rPr>
                <w:rFonts w:ascii="Times New Roman" w:hAnsi="Times New Roman"/>
                <w:webHidden/>
                <w:sz w:val="18"/>
                <w:szCs w:val="18"/>
              </w:rPr>
              <w:fldChar w:fldCharType="end"/>
            </w:r>
          </w:hyperlink>
        </w:p>
        <w:p w:rsidR="008D72AE" w:rsidRPr="008D72AE" w:rsidRDefault="00CC2E5C">
          <w:pPr>
            <w:pStyle w:val="TOC1"/>
            <w:tabs>
              <w:tab w:val="left" w:pos="440"/>
            </w:tabs>
            <w:rPr>
              <w:rFonts w:ascii="Times New Roman" w:eastAsiaTheme="minorEastAsia" w:hAnsi="Times New Roman"/>
              <w:b w:val="0"/>
              <w:bCs w:val="0"/>
              <w:caps w:val="0"/>
              <w:sz w:val="18"/>
              <w:szCs w:val="18"/>
              <w:lang w:eastAsia="en-GB"/>
            </w:rPr>
          </w:pPr>
          <w:hyperlink w:anchor="_Toc456095942" w:history="1">
            <w:r w:rsidR="008D72AE" w:rsidRPr="008D72AE">
              <w:rPr>
                <w:rStyle w:val="Hyperlink"/>
                <w:rFonts w:ascii="Times New Roman" w:eastAsiaTheme="majorEastAsia" w:hAnsi="Times New Roman"/>
                <w:sz w:val="18"/>
                <w:szCs w:val="18"/>
              </w:rPr>
              <w:t>7.</w:t>
            </w:r>
            <w:r w:rsidR="008D72AE" w:rsidRPr="008D72AE">
              <w:rPr>
                <w:rFonts w:ascii="Times New Roman" w:eastAsiaTheme="minorEastAsia" w:hAnsi="Times New Roman"/>
                <w:b w:val="0"/>
                <w:bCs w:val="0"/>
                <w:caps w:val="0"/>
                <w:sz w:val="18"/>
                <w:szCs w:val="18"/>
                <w:lang w:eastAsia="en-GB"/>
              </w:rPr>
              <w:tab/>
            </w:r>
            <w:r w:rsidR="008D72AE" w:rsidRPr="008D72AE">
              <w:rPr>
                <w:rStyle w:val="Hyperlink"/>
                <w:rFonts w:ascii="Times New Roman" w:eastAsiaTheme="majorEastAsia" w:hAnsi="Times New Roman"/>
                <w:sz w:val="18"/>
                <w:szCs w:val="18"/>
              </w:rPr>
              <w:t>ZAKLJUČĆI</w:t>
            </w:r>
            <w:r w:rsidR="008D72AE" w:rsidRPr="008D72AE">
              <w:rPr>
                <w:rFonts w:ascii="Times New Roman" w:hAnsi="Times New Roman"/>
                <w:webHidden/>
                <w:sz w:val="18"/>
                <w:szCs w:val="18"/>
              </w:rPr>
              <w:tab/>
            </w:r>
            <w:r w:rsidR="008D72AE" w:rsidRPr="008D72AE">
              <w:rPr>
                <w:rFonts w:ascii="Times New Roman" w:hAnsi="Times New Roman"/>
                <w:webHidden/>
                <w:sz w:val="18"/>
                <w:szCs w:val="18"/>
              </w:rPr>
              <w:fldChar w:fldCharType="begin"/>
            </w:r>
            <w:r w:rsidR="008D72AE" w:rsidRPr="008D72AE">
              <w:rPr>
                <w:rFonts w:ascii="Times New Roman" w:hAnsi="Times New Roman"/>
                <w:webHidden/>
                <w:sz w:val="18"/>
                <w:szCs w:val="18"/>
              </w:rPr>
              <w:instrText xml:space="preserve"> PAGEREF _Toc456095942 \h </w:instrText>
            </w:r>
            <w:r w:rsidR="008D72AE" w:rsidRPr="008D72AE">
              <w:rPr>
                <w:rFonts w:ascii="Times New Roman" w:hAnsi="Times New Roman"/>
                <w:webHidden/>
                <w:sz w:val="18"/>
                <w:szCs w:val="18"/>
              </w:rPr>
            </w:r>
            <w:r w:rsidR="008D72AE" w:rsidRPr="008D72AE">
              <w:rPr>
                <w:rFonts w:ascii="Times New Roman" w:hAnsi="Times New Roman"/>
                <w:webHidden/>
                <w:sz w:val="18"/>
                <w:szCs w:val="18"/>
              </w:rPr>
              <w:fldChar w:fldCharType="separate"/>
            </w:r>
            <w:r w:rsidR="008D72AE" w:rsidRPr="008D72AE">
              <w:rPr>
                <w:rFonts w:ascii="Times New Roman" w:hAnsi="Times New Roman"/>
                <w:webHidden/>
                <w:sz w:val="18"/>
                <w:szCs w:val="18"/>
              </w:rPr>
              <w:t>129</w:t>
            </w:r>
            <w:r w:rsidR="008D72AE" w:rsidRPr="008D72AE">
              <w:rPr>
                <w:rFonts w:ascii="Times New Roman" w:hAnsi="Times New Roman"/>
                <w:webHidden/>
                <w:sz w:val="18"/>
                <w:szCs w:val="18"/>
              </w:rPr>
              <w:fldChar w:fldCharType="end"/>
            </w:r>
          </w:hyperlink>
        </w:p>
        <w:p w:rsidR="008D72AE" w:rsidRPr="008D72AE" w:rsidRDefault="00CC2E5C">
          <w:pPr>
            <w:pStyle w:val="TOC1"/>
            <w:tabs>
              <w:tab w:val="left" w:pos="440"/>
            </w:tabs>
            <w:rPr>
              <w:rFonts w:ascii="Times New Roman" w:eastAsiaTheme="minorEastAsia" w:hAnsi="Times New Roman"/>
              <w:b w:val="0"/>
              <w:bCs w:val="0"/>
              <w:caps w:val="0"/>
              <w:sz w:val="18"/>
              <w:szCs w:val="18"/>
              <w:lang w:eastAsia="en-GB"/>
            </w:rPr>
          </w:pPr>
          <w:hyperlink w:anchor="_Toc456095943" w:history="1">
            <w:r w:rsidR="008D72AE" w:rsidRPr="008D72AE">
              <w:rPr>
                <w:rStyle w:val="Hyperlink"/>
                <w:rFonts w:ascii="Times New Roman" w:eastAsiaTheme="majorEastAsia" w:hAnsi="Times New Roman"/>
                <w:sz w:val="18"/>
                <w:szCs w:val="18"/>
              </w:rPr>
              <w:t>8.</w:t>
            </w:r>
            <w:r w:rsidR="008D72AE" w:rsidRPr="008D72AE">
              <w:rPr>
                <w:rFonts w:ascii="Times New Roman" w:eastAsiaTheme="minorEastAsia" w:hAnsi="Times New Roman"/>
                <w:b w:val="0"/>
                <w:bCs w:val="0"/>
                <w:caps w:val="0"/>
                <w:sz w:val="18"/>
                <w:szCs w:val="18"/>
                <w:lang w:eastAsia="en-GB"/>
              </w:rPr>
              <w:tab/>
            </w:r>
            <w:r w:rsidR="008D72AE" w:rsidRPr="008D72AE">
              <w:rPr>
                <w:rStyle w:val="Hyperlink"/>
                <w:rFonts w:ascii="Times New Roman" w:eastAsiaTheme="majorEastAsia" w:hAnsi="Times New Roman"/>
                <w:sz w:val="18"/>
                <w:szCs w:val="18"/>
              </w:rPr>
              <w:t>PREPORUKE</w:t>
            </w:r>
            <w:r w:rsidR="008D72AE" w:rsidRPr="008D72AE">
              <w:rPr>
                <w:rFonts w:ascii="Times New Roman" w:hAnsi="Times New Roman"/>
                <w:webHidden/>
                <w:sz w:val="18"/>
                <w:szCs w:val="18"/>
              </w:rPr>
              <w:tab/>
            </w:r>
            <w:r w:rsidR="008D72AE" w:rsidRPr="008D72AE">
              <w:rPr>
                <w:rFonts w:ascii="Times New Roman" w:hAnsi="Times New Roman"/>
                <w:webHidden/>
                <w:sz w:val="18"/>
                <w:szCs w:val="18"/>
              </w:rPr>
              <w:fldChar w:fldCharType="begin"/>
            </w:r>
            <w:r w:rsidR="008D72AE" w:rsidRPr="008D72AE">
              <w:rPr>
                <w:rFonts w:ascii="Times New Roman" w:hAnsi="Times New Roman"/>
                <w:webHidden/>
                <w:sz w:val="18"/>
                <w:szCs w:val="18"/>
              </w:rPr>
              <w:instrText xml:space="preserve"> PAGEREF _Toc456095943 \h </w:instrText>
            </w:r>
            <w:r w:rsidR="008D72AE" w:rsidRPr="008D72AE">
              <w:rPr>
                <w:rFonts w:ascii="Times New Roman" w:hAnsi="Times New Roman"/>
                <w:webHidden/>
                <w:sz w:val="18"/>
                <w:szCs w:val="18"/>
              </w:rPr>
            </w:r>
            <w:r w:rsidR="008D72AE" w:rsidRPr="008D72AE">
              <w:rPr>
                <w:rFonts w:ascii="Times New Roman" w:hAnsi="Times New Roman"/>
                <w:webHidden/>
                <w:sz w:val="18"/>
                <w:szCs w:val="18"/>
              </w:rPr>
              <w:fldChar w:fldCharType="separate"/>
            </w:r>
            <w:r w:rsidR="008D72AE" w:rsidRPr="008D72AE">
              <w:rPr>
                <w:rFonts w:ascii="Times New Roman" w:hAnsi="Times New Roman"/>
                <w:webHidden/>
                <w:sz w:val="18"/>
                <w:szCs w:val="18"/>
              </w:rPr>
              <w:t>131</w:t>
            </w:r>
            <w:r w:rsidR="008D72AE" w:rsidRPr="008D72AE">
              <w:rPr>
                <w:rFonts w:ascii="Times New Roman" w:hAnsi="Times New Roman"/>
                <w:webHidden/>
                <w:sz w:val="18"/>
                <w:szCs w:val="18"/>
              </w:rPr>
              <w:fldChar w:fldCharType="end"/>
            </w:r>
          </w:hyperlink>
        </w:p>
        <w:p w:rsidR="008D72AE" w:rsidRPr="008D72AE" w:rsidRDefault="00CC2E5C">
          <w:pPr>
            <w:pStyle w:val="TOC1"/>
            <w:rPr>
              <w:rFonts w:ascii="Times New Roman" w:eastAsiaTheme="minorEastAsia" w:hAnsi="Times New Roman"/>
              <w:b w:val="0"/>
              <w:bCs w:val="0"/>
              <w:caps w:val="0"/>
              <w:sz w:val="18"/>
              <w:szCs w:val="18"/>
              <w:lang w:eastAsia="en-GB"/>
            </w:rPr>
          </w:pPr>
          <w:hyperlink w:anchor="_Toc456095944" w:history="1">
            <w:r w:rsidR="008D72AE" w:rsidRPr="008D72AE">
              <w:rPr>
                <w:rStyle w:val="Hyperlink"/>
                <w:rFonts w:ascii="Times New Roman" w:eastAsiaTheme="majorEastAsia" w:hAnsi="Times New Roman"/>
                <w:sz w:val="18"/>
                <w:szCs w:val="18"/>
                <w:lang w:val="bs-Latn-BA"/>
              </w:rPr>
              <w:t xml:space="preserve">9. </w:t>
            </w:r>
            <w:r w:rsidR="008D72AE">
              <w:rPr>
                <w:rStyle w:val="Hyperlink"/>
                <w:rFonts w:ascii="Times New Roman" w:eastAsiaTheme="majorEastAsia" w:hAnsi="Times New Roman"/>
                <w:sz w:val="18"/>
                <w:szCs w:val="18"/>
                <w:lang w:val="bs-Latn-BA"/>
              </w:rPr>
              <w:t xml:space="preserve">      </w:t>
            </w:r>
            <w:r w:rsidR="008D72AE" w:rsidRPr="008D72AE">
              <w:rPr>
                <w:rStyle w:val="Hyperlink"/>
                <w:rFonts w:ascii="Times New Roman" w:eastAsiaTheme="majorEastAsia" w:hAnsi="Times New Roman"/>
                <w:sz w:val="18"/>
                <w:szCs w:val="18"/>
                <w:lang w:val="bs-Latn-BA"/>
              </w:rPr>
              <w:t>REFERENCE</w:t>
            </w:r>
            <w:r w:rsidR="008D72AE" w:rsidRPr="008D72AE">
              <w:rPr>
                <w:rFonts w:ascii="Times New Roman" w:hAnsi="Times New Roman"/>
                <w:webHidden/>
                <w:sz w:val="18"/>
                <w:szCs w:val="18"/>
              </w:rPr>
              <w:tab/>
            </w:r>
            <w:r w:rsidR="008D72AE" w:rsidRPr="008D72AE">
              <w:rPr>
                <w:rFonts w:ascii="Times New Roman" w:hAnsi="Times New Roman"/>
                <w:webHidden/>
                <w:sz w:val="18"/>
                <w:szCs w:val="18"/>
              </w:rPr>
              <w:fldChar w:fldCharType="begin"/>
            </w:r>
            <w:r w:rsidR="008D72AE" w:rsidRPr="008D72AE">
              <w:rPr>
                <w:rFonts w:ascii="Times New Roman" w:hAnsi="Times New Roman"/>
                <w:webHidden/>
                <w:sz w:val="18"/>
                <w:szCs w:val="18"/>
              </w:rPr>
              <w:instrText xml:space="preserve"> PAGEREF _Toc456095944 \h </w:instrText>
            </w:r>
            <w:r w:rsidR="008D72AE" w:rsidRPr="008D72AE">
              <w:rPr>
                <w:rFonts w:ascii="Times New Roman" w:hAnsi="Times New Roman"/>
                <w:webHidden/>
                <w:sz w:val="18"/>
                <w:szCs w:val="18"/>
              </w:rPr>
            </w:r>
            <w:r w:rsidR="008D72AE" w:rsidRPr="008D72AE">
              <w:rPr>
                <w:rFonts w:ascii="Times New Roman" w:hAnsi="Times New Roman"/>
                <w:webHidden/>
                <w:sz w:val="18"/>
                <w:szCs w:val="18"/>
              </w:rPr>
              <w:fldChar w:fldCharType="separate"/>
            </w:r>
            <w:r w:rsidR="008D72AE" w:rsidRPr="008D72AE">
              <w:rPr>
                <w:rFonts w:ascii="Times New Roman" w:hAnsi="Times New Roman"/>
                <w:webHidden/>
                <w:sz w:val="18"/>
                <w:szCs w:val="18"/>
              </w:rPr>
              <w:t>133</w:t>
            </w:r>
            <w:r w:rsidR="008D72AE" w:rsidRPr="008D72AE">
              <w:rPr>
                <w:rFonts w:ascii="Times New Roman" w:hAnsi="Times New Roman"/>
                <w:webHidden/>
                <w:sz w:val="18"/>
                <w:szCs w:val="18"/>
              </w:rPr>
              <w:fldChar w:fldCharType="end"/>
            </w:r>
          </w:hyperlink>
        </w:p>
        <w:p w:rsidR="00DE178E" w:rsidRPr="0050445F" w:rsidRDefault="00DE178E" w:rsidP="000C0138">
          <w:pPr>
            <w:spacing w:line="276" w:lineRule="auto"/>
            <w:rPr>
              <w:rFonts w:ascii="Times New Roman" w:hAnsi="Times New Roman"/>
              <w:sz w:val="20"/>
              <w:szCs w:val="20"/>
            </w:rPr>
          </w:pPr>
          <w:r w:rsidRPr="008D72AE">
            <w:rPr>
              <w:rFonts w:ascii="Times New Roman" w:hAnsi="Times New Roman"/>
              <w:b/>
              <w:bCs/>
              <w:noProof/>
              <w:sz w:val="18"/>
              <w:szCs w:val="18"/>
            </w:rPr>
            <w:fldChar w:fldCharType="end"/>
          </w:r>
        </w:p>
      </w:sdtContent>
    </w:sdt>
    <w:p w:rsidR="008106C3" w:rsidRPr="00B46174" w:rsidRDefault="00021055" w:rsidP="00B46174">
      <w:pPr>
        <w:rPr>
          <w:color w:val="FFFFFF" w:themeColor="background1"/>
        </w:rPr>
      </w:pPr>
      <w:r w:rsidRPr="00B46174">
        <w:rPr>
          <w:color w:val="FFFFFF" w:themeColor="background1"/>
        </w:rPr>
        <w:lastRenderedPageBreak/>
        <w:t>EDGOVOR</w:t>
      </w:r>
    </w:p>
    <w:p w:rsidR="00B46174" w:rsidRDefault="00B46174" w:rsidP="00B46174">
      <w:pPr>
        <w:pStyle w:val="Poglavlje1"/>
        <w:numPr>
          <w:ilvl w:val="0"/>
          <w:numId w:val="0"/>
        </w:numPr>
        <w:ind w:left="720"/>
      </w:pPr>
      <w:bookmarkStart w:id="0" w:name="_Toc456095894"/>
      <w:r>
        <w:t>PREDGOVOR</w:t>
      </w:r>
      <w:bookmarkEnd w:id="0"/>
    </w:p>
    <w:p w:rsidR="00A131AD" w:rsidRPr="00155F80" w:rsidRDefault="00A131AD" w:rsidP="000C0138">
      <w:pPr>
        <w:spacing w:line="276" w:lineRule="auto"/>
        <w:rPr>
          <w:rFonts w:ascii="Times New Roman" w:hAnsi="Times New Roman"/>
        </w:rPr>
      </w:pPr>
      <w:r w:rsidRPr="00155F80">
        <w:rPr>
          <w:rFonts w:ascii="Times New Roman" w:hAnsi="Times New Roman"/>
        </w:rPr>
        <w:t xml:space="preserve">Temeljem Zakona o zdravstvenoj zaštiti, Zavod za javno zdravstvo Federacije BiH predstavlja ovlaštenu ustanovu za obavljanje javnozdravstvene djelatnosti za </w:t>
      </w:r>
      <w:r w:rsidR="00DA519D">
        <w:rPr>
          <w:rFonts w:ascii="Times New Roman" w:hAnsi="Times New Roman"/>
        </w:rPr>
        <w:t>razinu</w:t>
      </w:r>
      <w:r w:rsidRPr="00155F80">
        <w:rPr>
          <w:rFonts w:ascii="Times New Roman" w:hAnsi="Times New Roman"/>
        </w:rPr>
        <w:t xml:space="preserve"> Federacije BiH, u okviru koje </w:t>
      </w:r>
      <w:r w:rsidR="00DA519D">
        <w:rPr>
          <w:rFonts w:ascii="Times New Roman" w:hAnsi="Times New Roman"/>
        </w:rPr>
        <w:t>važan</w:t>
      </w:r>
      <w:r w:rsidRPr="00155F80">
        <w:rPr>
          <w:rFonts w:ascii="Times New Roman" w:hAnsi="Times New Roman"/>
        </w:rPr>
        <w:t xml:space="preserve"> </w:t>
      </w:r>
      <w:r w:rsidR="00DA519D">
        <w:rPr>
          <w:rFonts w:ascii="Times New Roman" w:hAnsi="Times New Roman"/>
        </w:rPr>
        <w:t>udio</w:t>
      </w:r>
      <w:r w:rsidRPr="00155F80">
        <w:rPr>
          <w:rFonts w:ascii="Times New Roman" w:hAnsi="Times New Roman"/>
        </w:rPr>
        <w:t xml:space="preserve"> predstavlja praćenje i analiza zdravstvenog stanja stanovništva i organizacije zdravstvene zaštite u Federaciji BiH. </w:t>
      </w:r>
    </w:p>
    <w:p w:rsidR="00A131AD" w:rsidRPr="00155F80" w:rsidRDefault="00A131AD" w:rsidP="000C0138">
      <w:pPr>
        <w:spacing w:line="276" w:lineRule="auto"/>
        <w:rPr>
          <w:rFonts w:ascii="Times New Roman" w:hAnsi="Times New Roman"/>
        </w:rPr>
      </w:pPr>
    </w:p>
    <w:p w:rsidR="00A131AD" w:rsidRPr="00155F80" w:rsidRDefault="00A131AD" w:rsidP="000C0138">
      <w:pPr>
        <w:spacing w:line="276" w:lineRule="auto"/>
        <w:rPr>
          <w:rFonts w:ascii="Times New Roman" w:hAnsi="Times New Roman"/>
        </w:rPr>
      </w:pPr>
      <w:r w:rsidRPr="00155F80">
        <w:rPr>
          <w:rFonts w:ascii="Times New Roman" w:hAnsi="Times New Roman"/>
        </w:rPr>
        <w:t xml:space="preserve">Publikacija „Zdravstveno stanje stanovništva i organizacija zdravstvene zaštite u Federaciji BiH, koju svake godine priprema Zavod za javno zdravstvo Federacije BiH, predstavlja stručnu analizu  odabranih pokazatelja zdravstvenog stanja stanovništva, sa preporukama za prioritetne intervencije u zdravstvenom i drugim sektorima </w:t>
      </w:r>
      <w:r w:rsidR="00DA519D">
        <w:rPr>
          <w:rFonts w:ascii="Times New Roman" w:hAnsi="Times New Roman"/>
        </w:rPr>
        <w:t>važnim</w:t>
      </w:r>
      <w:r w:rsidRPr="00155F80">
        <w:rPr>
          <w:rFonts w:ascii="Times New Roman" w:hAnsi="Times New Roman"/>
        </w:rPr>
        <w:t xml:space="preserve"> za zdravlje zajednice. </w:t>
      </w:r>
    </w:p>
    <w:p w:rsidR="00A131AD" w:rsidRPr="00155F80" w:rsidRDefault="00A131AD" w:rsidP="000C0138">
      <w:pPr>
        <w:spacing w:line="276" w:lineRule="auto"/>
        <w:rPr>
          <w:rFonts w:ascii="Times New Roman" w:hAnsi="Times New Roman"/>
        </w:rPr>
      </w:pPr>
    </w:p>
    <w:p w:rsidR="00A131AD" w:rsidRPr="00155F80" w:rsidRDefault="00A131AD" w:rsidP="000C0138">
      <w:pPr>
        <w:spacing w:line="276" w:lineRule="auto"/>
        <w:rPr>
          <w:rFonts w:ascii="Times New Roman" w:hAnsi="Times New Roman"/>
        </w:rPr>
      </w:pPr>
      <w:r w:rsidRPr="00155F80">
        <w:rPr>
          <w:rFonts w:ascii="Times New Roman" w:hAnsi="Times New Roman"/>
        </w:rPr>
        <w:t xml:space="preserve">Konceptualni okvir publikacije se nije značajno mjenjao u odnosu na prethodne godine. </w:t>
      </w:r>
      <w:r w:rsidR="00DA519D">
        <w:rPr>
          <w:rFonts w:ascii="Times New Roman" w:hAnsi="Times New Roman"/>
        </w:rPr>
        <w:t>Temeljem</w:t>
      </w:r>
      <w:r w:rsidRPr="00155F80">
        <w:rPr>
          <w:rFonts w:ascii="Times New Roman" w:hAnsi="Times New Roman"/>
        </w:rPr>
        <w:t xml:space="preserve"> Programa statističkih istraživanja u </w:t>
      </w:r>
      <w:r w:rsidR="00DA519D">
        <w:rPr>
          <w:rFonts w:ascii="Times New Roman" w:hAnsi="Times New Roman"/>
        </w:rPr>
        <w:t>području</w:t>
      </w:r>
      <w:r w:rsidRPr="00155F80">
        <w:rPr>
          <w:rFonts w:ascii="Times New Roman" w:hAnsi="Times New Roman"/>
        </w:rPr>
        <w:t xml:space="preserve"> zdravstva od interesa za Federaciju Bosne i Hercegovine, sakupljaju se poda</w:t>
      </w:r>
      <w:r w:rsidR="00DA519D">
        <w:rPr>
          <w:rFonts w:ascii="Times New Roman" w:hAnsi="Times New Roman"/>
        </w:rPr>
        <w:t>t</w:t>
      </w:r>
      <w:r w:rsidRPr="00155F80">
        <w:rPr>
          <w:rFonts w:ascii="Times New Roman" w:hAnsi="Times New Roman"/>
        </w:rPr>
        <w:t>ci putem redov</w:t>
      </w:r>
      <w:r w:rsidR="00DA519D">
        <w:rPr>
          <w:rFonts w:ascii="Times New Roman" w:hAnsi="Times New Roman"/>
        </w:rPr>
        <w:t>it</w:t>
      </w:r>
      <w:r w:rsidRPr="00155F80">
        <w:rPr>
          <w:rFonts w:ascii="Times New Roman" w:hAnsi="Times New Roman"/>
        </w:rPr>
        <w:t>e zdravstveno statističke evidencije, koji uz pokazatelje  istraživanja urađenih od strane Zavoda za javno zdravstvo Federacije BiH u suradnji s</w:t>
      </w:r>
      <w:r w:rsidR="00DA519D">
        <w:rPr>
          <w:rFonts w:ascii="Times New Roman" w:hAnsi="Times New Roman"/>
        </w:rPr>
        <w:t xml:space="preserve"> mjerodavnim</w:t>
      </w:r>
      <w:r w:rsidRPr="00155F80">
        <w:rPr>
          <w:rFonts w:ascii="Times New Roman" w:hAnsi="Times New Roman"/>
        </w:rPr>
        <w:t xml:space="preserve"> međunarodnim i domaćim organizacijama kao i kantonalni</w:t>
      </w:r>
      <w:r w:rsidR="00E31193">
        <w:rPr>
          <w:rFonts w:ascii="Times New Roman" w:hAnsi="Times New Roman"/>
        </w:rPr>
        <w:t xml:space="preserve">m zavodima za javno zdravstvo, </w:t>
      </w:r>
      <w:r w:rsidRPr="00155F80">
        <w:rPr>
          <w:rFonts w:ascii="Times New Roman" w:hAnsi="Times New Roman"/>
        </w:rPr>
        <w:t>pre</w:t>
      </w:r>
      <w:r w:rsidR="002B2A7F">
        <w:rPr>
          <w:rFonts w:ascii="Times New Roman" w:hAnsi="Times New Roman"/>
        </w:rPr>
        <w:t>dstavljaju osnovu respektabilne</w:t>
      </w:r>
      <w:r w:rsidR="00E31193">
        <w:rPr>
          <w:rFonts w:ascii="Times New Roman" w:hAnsi="Times New Roman"/>
        </w:rPr>
        <w:t xml:space="preserve"> analize</w:t>
      </w:r>
      <w:r w:rsidRPr="00155F80">
        <w:rPr>
          <w:rFonts w:ascii="Times New Roman" w:hAnsi="Times New Roman"/>
        </w:rPr>
        <w:t xml:space="preserve"> zdravstvenog stanja stanovništa </w:t>
      </w:r>
      <w:r w:rsidR="002B2A7F">
        <w:rPr>
          <w:rFonts w:ascii="Times New Roman" w:hAnsi="Times New Roman"/>
        </w:rPr>
        <w:t xml:space="preserve">i organizacije zdravstvene zaštite </w:t>
      </w:r>
      <w:r w:rsidRPr="00155F80">
        <w:rPr>
          <w:rFonts w:ascii="Times New Roman" w:hAnsi="Times New Roman"/>
        </w:rPr>
        <w:t xml:space="preserve">na </w:t>
      </w:r>
      <w:r w:rsidR="00DA519D">
        <w:rPr>
          <w:rFonts w:ascii="Times New Roman" w:hAnsi="Times New Roman"/>
        </w:rPr>
        <w:t>razini</w:t>
      </w:r>
      <w:r w:rsidRPr="00155F80">
        <w:rPr>
          <w:rFonts w:ascii="Times New Roman" w:hAnsi="Times New Roman"/>
        </w:rPr>
        <w:t xml:space="preserve"> Federacije BiH</w:t>
      </w:r>
      <w:r w:rsidR="00467BD1">
        <w:rPr>
          <w:rFonts w:ascii="Times New Roman" w:hAnsi="Times New Roman"/>
        </w:rPr>
        <w:t>,</w:t>
      </w:r>
      <w:r w:rsidRPr="00155F80">
        <w:rPr>
          <w:rFonts w:ascii="Times New Roman" w:hAnsi="Times New Roman"/>
        </w:rPr>
        <w:t xml:space="preserve"> kao </w:t>
      </w:r>
      <w:r w:rsidR="00467BD1">
        <w:rPr>
          <w:rFonts w:ascii="Times New Roman" w:hAnsi="Times New Roman"/>
        </w:rPr>
        <w:t>razine</w:t>
      </w:r>
      <w:r w:rsidRPr="00155F80">
        <w:rPr>
          <w:rFonts w:ascii="Times New Roman" w:hAnsi="Times New Roman"/>
        </w:rPr>
        <w:t xml:space="preserve"> kantona, za </w:t>
      </w:r>
      <w:r w:rsidR="00467BD1">
        <w:rPr>
          <w:rFonts w:ascii="Times New Roman" w:hAnsi="Times New Roman"/>
        </w:rPr>
        <w:t>razdoblje</w:t>
      </w:r>
      <w:r w:rsidRPr="00155F80">
        <w:rPr>
          <w:rFonts w:ascii="Times New Roman" w:hAnsi="Times New Roman"/>
        </w:rPr>
        <w:t xml:space="preserve"> 2010-2015. godine.</w:t>
      </w:r>
    </w:p>
    <w:p w:rsidR="00A131AD" w:rsidRPr="00155F80" w:rsidRDefault="00A131AD" w:rsidP="000C0138">
      <w:pPr>
        <w:spacing w:line="276" w:lineRule="auto"/>
        <w:rPr>
          <w:rFonts w:ascii="Times New Roman" w:hAnsi="Times New Roman"/>
        </w:rPr>
      </w:pPr>
    </w:p>
    <w:p w:rsidR="00A131AD" w:rsidRPr="00155F80" w:rsidRDefault="00A131AD" w:rsidP="000C0138">
      <w:pPr>
        <w:spacing w:line="276" w:lineRule="auto"/>
        <w:rPr>
          <w:rFonts w:ascii="Times New Roman" w:hAnsi="Times New Roman"/>
        </w:rPr>
      </w:pPr>
      <w:r w:rsidRPr="00155F80">
        <w:rPr>
          <w:rFonts w:ascii="Times New Roman" w:hAnsi="Times New Roman"/>
        </w:rPr>
        <w:t>Analizirani poda</w:t>
      </w:r>
      <w:r w:rsidR="00467BD1">
        <w:rPr>
          <w:rFonts w:ascii="Times New Roman" w:hAnsi="Times New Roman"/>
        </w:rPr>
        <w:t>t</w:t>
      </w:r>
      <w:r w:rsidRPr="00155F80">
        <w:rPr>
          <w:rFonts w:ascii="Times New Roman" w:hAnsi="Times New Roman"/>
        </w:rPr>
        <w:t xml:space="preserve">ci u ovoj publikaciji ukazuju na to da je zdravlje stanovništva Federacije BiH slično drugim zemljama u </w:t>
      </w:r>
      <w:r w:rsidR="00467BD1">
        <w:rPr>
          <w:rFonts w:ascii="Times New Roman" w:hAnsi="Times New Roman"/>
        </w:rPr>
        <w:t>regiji</w:t>
      </w:r>
      <w:r w:rsidRPr="00155F80">
        <w:rPr>
          <w:rFonts w:ascii="Times New Roman" w:hAnsi="Times New Roman"/>
        </w:rPr>
        <w:t>, pod značajnim utjecajem zdravstvenih, demografskih i socijalno-</w:t>
      </w:r>
      <w:r w:rsidR="00467BD1">
        <w:rPr>
          <w:rFonts w:ascii="Times New Roman" w:hAnsi="Times New Roman"/>
        </w:rPr>
        <w:t>gospodarskih</w:t>
      </w:r>
      <w:r w:rsidRPr="00155F80">
        <w:rPr>
          <w:rFonts w:ascii="Times New Roman" w:hAnsi="Times New Roman"/>
        </w:rPr>
        <w:t xml:space="preserve"> tranzicija. </w:t>
      </w:r>
    </w:p>
    <w:p w:rsidR="00A131AD" w:rsidRPr="00155F80" w:rsidRDefault="00A131AD" w:rsidP="000C0138">
      <w:pPr>
        <w:spacing w:line="276" w:lineRule="auto"/>
        <w:rPr>
          <w:rFonts w:ascii="Times New Roman" w:hAnsi="Times New Roman"/>
        </w:rPr>
      </w:pPr>
    </w:p>
    <w:p w:rsidR="00A131AD" w:rsidRPr="00155F80" w:rsidRDefault="00A131AD" w:rsidP="000C0138">
      <w:pPr>
        <w:spacing w:line="276" w:lineRule="auto"/>
        <w:rPr>
          <w:rFonts w:ascii="Times New Roman" w:hAnsi="Times New Roman"/>
        </w:rPr>
      </w:pPr>
      <w:r w:rsidRPr="00155F80">
        <w:rPr>
          <w:rFonts w:ascii="Times New Roman" w:hAnsi="Times New Roman"/>
        </w:rPr>
        <w:t>Održava se trend negativnog prirodnog  prira</w:t>
      </w:r>
      <w:r w:rsidR="00467BD1">
        <w:rPr>
          <w:rFonts w:ascii="Times New Roman" w:hAnsi="Times New Roman"/>
        </w:rPr>
        <w:t>sta</w:t>
      </w:r>
      <w:r w:rsidRPr="00155F80">
        <w:rPr>
          <w:rFonts w:ascii="Times New Roman" w:hAnsi="Times New Roman"/>
        </w:rPr>
        <w:t xml:space="preserve"> u većini kantona u Federaciji BiH,  koji još jednom naglašavaju izostanak strateškog pristupa u populacijskoj politici. Povećanje procentualnog </w:t>
      </w:r>
      <w:r w:rsidR="00243A26">
        <w:rPr>
          <w:rFonts w:ascii="Times New Roman" w:hAnsi="Times New Roman"/>
        </w:rPr>
        <w:t>udjela</w:t>
      </w:r>
      <w:r w:rsidRPr="00155F80">
        <w:rPr>
          <w:rFonts w:ascii="Times New Roman" w:hAnsi="Times New Roman"/>
        </w:rPr>
        <w:t xml:space="preserve"> </w:t>
      </w:r>
      <w:r w:rsidR="00AC4F6E">
        <w:rPr>
          <w:rFonts w:ascii="Times New Roman" w:hAnsi="Times New Roman"/>
        </w:rPr>
        <w:t>osoba</w:t>
      </w:r>
      <w:r w:rsidRPr="00155F80">
        <w:rPr>
          <w:rFonts w:ascii="Times New Roman" w:hAnsi="Times New Roman"/>
        </w:rPr>
        <w:t xml:space="preserve"> treće dobi u ukupnom stanovništu u Federaciji BiH argumentira potrebu intersektor</w:t>
      </w:r>
      <w:r w:rsidR="00AC4F6E">
        <w:rPr>
          <w:rFonts w:ascii="Times New Roman" w:hAnsi="Times New Roman"/>
        </w:rPr>
        <w:t>skih</w:t>
      </w:r>
      <w:r w:rsidRPr="00155F80">
        <w:rPr>
          <w:rFonts w:ascii="Times New Roman" w:hAnsi="Times New Roman"/>
        </w:rPr>
        <w:t xml:space="preserve"> programa u zajednici i afirmaciju mreža centara za zdravo starenje kao dobru praksu započetu u pojedinim kantonima u Federaciji BiH. U </w:t>
      </w:r>
      <w:r w:rsidR="00AC4F6E">
        <w:rPr>
          <w:rFonts w:ascii="Times New Roman" w:hAnsi="Times New Roman"/>
        </w:rPr>
        <w:t>pobolu</w:t>
      </w:r>
      <w:r w:rsidRPr="00155F80">
        <w:rPr>
          <w:rFonts w:ascii="Times New Roman" w:hAnsi="Times New Roman"/>
        </w:rPr>
        <w:t xml:space="preserve"> i smrtnosti dominiraju </w:t>
      </w:r>
      <w:r w:rsidR="00AC4F6E">
        <w:rPr>
          <w:rFonts w:ascii="Times New Roman" w:hAnsi="Times New Roman"/>
        </w:rPr>
        <w:t>k</w:t>
      </w:r>
      <w:r w:rsidRPr="00155F80">
        <w:rPr>
          <w:rFonts w:ascii="Times New Roman" w:hAnsi="Times New Roman"/>
        </w:rPr>
        <w:t xml:space="preserve">ronična nezarazna oboljenja i </w:t>
      </w:r>
      <w:r w:rsidR="00AC4F6E">
        <w:rPr>
          <w:rFonts w:ascii="Times New Roman" w:hAnsi="Times New Roman"/>
        </w:rPr>
        <w:t>čimbenici</w:t>
      </w:r>
      <w:r w:rsidRPr="00155F80">
        <w:rPr>
          <w:rFonts w:ascii="Times New Roman" w:hAnsi="Times New Roman"/>
        </w:rPr>
        <w:t xml:space="preserve"> rizika vezani za ponašanje i životne navike</w:t>
      </w:r>
      <w:r w:rsidR="00AC4F6E">
        <w:rPr>
          <w:rFonts w:ascii="Times New Roman" w:hAnsi="Times New Roman"/>
        </w:rPr>
        <w:t>,</w:t>
      </w:r>
      <w:r w:rsidRPr="00155F80">
        <w:rPr>
          <w:rFonts w:ascii="Times New Roman" w:hAnsi="Times New Roman"/>
        </w:rPr>
        <w:t xml:space="preserve"> kao i okolišni </w:t>
      </w:r>
      <w:r w:rsidR="00AC4F6E">
        <w:rPr>
          <w:rFonts w:ascii="Times New Roman" w:hAnsi="Times New Roman"/>
        </w:rPr>
        <w:t>čimbenici</w:t>
      </w:r>
      <w:r w:rsidRPr="00155F80">
        <w:rPr>
          <w:rFonts w:ascii="Times New Roman" w:hAnsi="Times New Roman"/>
        </w:rPr>
        <w:t xml:space="preserve"> rizi</w:t>
      </w:r>
      <w:r w:rsidR="00E31193">
        <w:rPr>
          <w:rFonts w:ascii="Times New Roman" w:hAnsi="Times New Roman"/>
        </w:rPr>
        <w:t>ka,</w:t>
      </w:r>
      <w:r w:rsidR="00055C26">
        <w:rPr>
          <w:rFonts w:ascii="Times New Roman" w:hAnsi="Times New Roman"/>
        </w:rPr>
        <w:t xml:space="preserve"> koji potvrđuju opravdanost s</w:t>
      </w:r>
      <w:r w:rsidR="00AC4F6E">
        <w:rPr>
          <w:rFonts w:ascii="Times New Roman" w:hAnsi="Times New Roman"/>
        </w:rPr>
        <w:t>ustavnih</w:t>
      </w:r>
      <w:r w:rsidR="00055C26">
        <w:rPr>
          <w:rFonts w:ascii="Times New Roman" w:hAnsi="Times New Roman"/>
        </w:rPr>
        <w:t xml:space="preserve"> preventivno–promotivnih</w:t>
      </w:r>
      <w:r w:rsidRPr="00155F80">
        <w:rPr>
          <w:rFonts w:ascii="Times New Roman" w:hAnsi="Times New Roman"/>
        </w:rPr>
        <w:t xml:space="preserve"> intervencija</w:t>
      </w:r>
      <w:r w:rsidR="00055C26">
        <w:rPr>
          <w:rFonts w:ascii="Times New Roman" w:hAnsi="Times New Roman"/>
        </w:rPr>
        <w:t>,</w:t>
      </w:r>
      <w:r w:rsidRPr="00155F80">
        <w:rPr>
          <w:rFonts w:ascii="Times New Roman" w:hAnsi="Times New Roman"/>
        </w:rPr>
        <w:t xml:space="preserve"> </w:t>
      </w:r>
      <w:r w:rsidR="00E31193">
        <w:rPr>
          <w:rFonts w:ascii="Times New Roman" w:hAnsi="Times New Roman"/>
        </w:rPr>
        <w:t xml:space="preserve">a </w:t>
      </w:r>
      <w:r w:rsidRPr="00155F80">
        <w:rPr>
          <w:rFonts w:ascii="Times New Roman" w:hAnsi="Times New Roman"/>
        </w:rPr>
        <w:t xml:space="preserve">koje bi trebale biti prioritet za unapređenje zdravlja stanovništva i organizaciju zdravstvene zaštite u Federaciji BiH.    </w:t>
      </w:r>
    </w:p>
    <w:p w:rsidR="00A131AD" w:rsidRPr="00155F80" w:rsidRDefault="00A131AD" w:rsidP="000C0138">
      <w:pPr>
        <w:spacing w:line="276" w:lineRule="auto"/>
        <w:rPr>
          <w:rFonts w:ascii="Times New Roman" w:hAnsi="Times New Roman"/>
        </w:rPr>
      </w:pPr>
    </w:p>
    <w:p w:rsidR="00A131AD" w:rsidRPr="00155F80" w:rsidRDefault="00A131AD" w:rsidP="000C0138">
      <w:pPr>
        <w:spacing w:line="276" w:lineRule="auto"/>
        <w:rPr>
          <w:rFonts w:ascii="Times New Roman" w:hAnsi="Times New Roman"/>
        </w:rPr>
      </w:pPr>
      <w:r w:rsidRPr="00155F80">
        <w:rPr>
          <w:rFonts w:ascii="Times New Roman" w:hAnsi="Times New Roman"/>
        </w:rPr>
        <w:t xml:space="preserve">Iskreno se nadamo da  će pokazatelji sadržani u ovoj publikaciji biti prepoznati od strane </w:t>
      </w:r>
      <w:r w:rsidR="00AC4F6E">
        <w:rPr>
          <w:rFonts w:ascii="Times New Roman" w:hAnsi="Times New Roman"/>
        </w:rPr>
        <w:t>mjerodavnih</w:t>
      </w:r>
      <w:r w:rsidRPr="00155F80">
        <w:rPr>
          <w:rFonts w:ascii="Times New Roman" w:hAnsi="Times New Roman"/>
        </w:rPr>
        <w:t xml:space="preserve"> ustanova i  donosi</w:t>
      </w:r>
      <w:r w:rsidR="00AC4F6E">
        <w:rPr>
          <w:rFonts w:ascii="Times New Roman" w:hAnsi="Times New Roman"/>
        </w:rPr>
        <w:t>telja</w:t>
      </w:r>
      <w:r w:rsidRPr="00155F80">
        <w:rPr>
          <w:rFonts w:ascii="Times New Roman" w:hAnsi="Times New Roman"/>
        </w:rPr>
        <w:t xml:space="preserve"> odluka  na svim </w:t>
      </w:r>
      <w:r w:rsidR="00AC4F6E">
        <w:rPr>
          <w:rFonts w:ascii="Times New Roman" w:hAnsi="Times New Roman"/>
        </w:rPr>
        <w:t>razinama</w:t>
      </w:r>
      <w:r w:rsidRPr="00155F80">
        <w:rPr>
          <w:rFonts w:ascii="Times New Roman" w:hAnsi="Times New Roman"/>
        </w:rPr>
        <w:t xml:space="preserve">,  ne samo kao respektabilna analiza podataka </w:t>
      </w:r>
      <w:r w:rsidR="00055C26">
        <w:rPr>
          <w:rFonts w:ascii="Times New Roman" w:hAnsi="Times New Roman"/>
        </w:rPr>
        <w:t>nego kao i stručno argumentirana</w:t>
      </w:r>
      <w:r w:rsidRPr="00155F80">
        <w:rPr>
          <w:rFonts w:ascii="Times New Roman" w:hAnsi="Times New Roman"/>
        </w:rPr>
        <w:t xml:space="preserve"> osnova za donošenje odluka koje će smanjiti nejednakosti u zdravlju stanovništva, om</w:t>
      </w:r>
      <w:r w:rsidR="00055C26">
        <w:rPr>
          <w:rFonts w:ascii="Times New Roman" w:hAnsi="Times New Roman"/>
        </w:rPr>
        <w:t>ogućiti promociju prava, obveza</w:t>
      </w:r>
      <w:r w:rsidRPr="00155F80">
        <w:rPr>
          <w:rFonts w:ascii="Times New Roman" w:hAnsi="Times New Roman"/>
        </w:rPr>
        <w:t xml:space="preserve"> i odgovornosti pacijenata, te unaprijediti  organizaciju  zdravstvene zaštite  u Federaciji BiH, na putu ka zdravijoj zajednici kojoj težimo.  </w:t>
      </w:r>
    </w:p>
    <w:p w:rsidR="00A131AD" w:rsidRPr="00155F80" w:rsidRDefault="00BA5C1D" w:rsidP="000C0138">
      <w:pPr>
        <w:spacing w:line="276" w:lineRule="auto"/>
        <w:ind w:left="7080" w:firstLine="708"/>
        <w:rPr>
          <w:rFonts w:ascii="Times New Roman" w:hAnsi="Times New Roman"/>
        </w:rPr>
      </w:pPr>
      <w:r w:rsidRPr="00BA5C1D">
        <w:rPr>
          <w:rFonts w:ascii="Times New Roman" w:hAnsi="Times New Roman"/>
          <w:noProof/>
          <w:lang w:val="bs-Latn-BA" w:eastAsia="bs-Latn-BA"/>
        </w:rPr>
        <w:drawing>
          <wp:anchor distT="0" distB="0" distL="114300" distR="114300" simplePos="0" relativeHeight="251680768" behindDoc="0" locked="0" layoutInCell="1" allowOverlap="1" wp14:anchorId="3C1702A7" wp14:editId="59CDA3B9">
            <wp:simplePos x="0" y="0"/>
            <wp:positionH relativeFrom="column">
              <wp:posOffset>2113509</wp:posOffset>
            </wp:positionH>
            <wp:positionV relativeFrom="paragraph">
              <wp:posOffset>10795</wp:posOffset>
            </wp:positionV>
            <wp:extent cx="2461260" cy="1754505"/>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fakepath-potpis (1).png"/>
                    <pic:cNvPicPr/>
                  </pic:nvPicPr>
                  <pic:blipFill>
                    <a:blip r:embed="rId10">
                      <a:extLst>
                        <a:ext uri="{28A0092B-C50C-407E-A947-70E740481C1C}">
                          <a14:useLocalDpi xmlns:a14="http://schemas.microsoft.com/office/drawing/2010/main" val="0"/>
                        </a:ext>
                      </a:extLst>
                    </a:blip>
                    <a:stretch>
                      <a:fillRect/>
                    </a:stretch>
                  </pic:blipFill>
                  <pic:spPr>
                    <a:xfrm>
                      <a:off x="0" y="0"/>
                      <a:ext cx="2461260" cy="1754505"/>
                    </a:xfrm>
                    <a:prstGeom prst="rect">
                      <a:avLst/>
                    </a:prstGeom>
                  </pic:spPr>
                </pic:pic>
              </a:graphicData>
            </a:graphic>
            <wp14:sizeRelH relativeFrom="page">
              <wp14:pctWidth>0</wp14:pctWidth>
            </wp14:sizeRelH>
            <wp14:sizeRelV relativeFrom="page">
              <wp14:pctHeight>0</wp14:pctHeight>
            </wp14:sizeRelV>
          </wp:anchor>
        </w:drawing>
      </w:r>
    </w:p>
    <w:p w:rsidR="00A131AD" w:rsidRPr="00155F80" w:rsidRDefault="00A131AD" w:rsidP="000C0138">
      <w:pPr>
        <w:spacing w:line="276" w:lineRule="auto"/>
        <w:ind w:left="7080" w:firstLine="708"/>
        <w:rPr>
          <w:rFonts w:ascii="Times New Roman" w:hAnsi="Times New Roman"/>
        </w:rPr>
      </w:pPr>
    </w:p>
    <w:p w:rsidR="00A131AD" w:rsidRPr="00155F80" w:rsidRDefault="00BC71F8" w:rsidP="000C0138">
      <w:pPr>
        <w:spacing w:line="276" w:lineRule="auto"/>
        <w:ind w:left="7080" w:firstLine="708"/>
        <w:rPr>
          <w:rFonts w:ascii="Times New Roman" w:hAnsi="Times New Roman"/>
        </w:rPr>
      </w:pPr>
      <w:r w:rsidRPr="00BA5C1D">
        <w:rPr>
          <w:rFonts w:ascii="Times New Roman" w:hAnsi="Times New Roman"/>
          <w:noProof/>
          <w:lang w:val="bs-Latn-BA" w:eastAsia="bs-Latn-BA"/>
        </w:rPr>
        <mc:AlternateContent>
          <mc:Choice Requires="wps">
            <w:drawing>
              <wp:anchor distT="45720" distB="45720" distL="114300" distR="114300" simplePos="0" relativeHeight="251682816" behindDoc="0" locked="0" layoutInCell="1" allowOverlap="1" wp14:anchorId="0916FA44" wp14:editId="518BC65D">
                <wp:simplePos x="0" y="0"/>
                <wp:positionH relativeFrom="column">
                  <wp:posOffset>4052417</wp:posOffset>
                </wp:positionH>
                <wp:positionV relativeFrom="paragraph">
                  <wp:posOffset>226695</wp:posOffset>
                </wp:positionV>
                <wp:extent cx="1455420" cy="140462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5420" cy="1404620"/>
                        </a:xfrm>
                        <a:prstGeom prst="rect">
                          <a:avLst/>
                        </a:prstGeom>
                        <a:noFill/>
                        <a:ln w="9525">
                          <a:noFill/>
                          <a:miter lim="800000"/>
                          <a:headEnd/>
                          <a:tailEnd/>
                        </a:ln>
                      </wps:spPr>
                      <wps:txbx>
                        <w:txbxContent>
                          <w:p w:rsidR="00BC71F8" w:rsidRDefault="00BC71F8" w:rsidP="00BC71F8">
                            <w:pPr>
                              <w:jc w:val="center"/>
                            </w:pPr>
                            <w:r>
                              <w:t>RAVNATELJ</w:t>
                            </w:r>
                          </w:p>
                          <w:p w:rsidR="00BC71F8" w:rsidRDefault="00BC71F8" w:rsidP="00BC71F8">
                            <w:pPr>
                              <w:jc w:val="center"/>
                            </w:pPr>
                            <w:r>
                              <w:t>Prim. dr Davor Pehar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5="http://schemas.microsoft.com/office/word/2012/wordml">
            <w:pict>
              <v:shapetype w14:anchorId="0916FA44" id="_x0000_t202" coordsize="21600,21600" o:spt="202" path="m,l,21600r21600,l21600,xe">
                <v:stroke joinstyle="miter"/>
                <v:path gradientshapeok="t" o:connecttype="rect"/>
              </v:shapetype>
              <v:shape id="Text Box 2" o:spid="_x0000_s1026" type="#_x0000_t202" style="position:absolute;left:0;text-align:left;margin-left:319.1pt;margin-top:17.85pt;width:114.6pt;height:110.6pt;z-index:2516828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" filled="f" stroked="f">
                <v:textbox style="mso-fit-shape-to-text:t">
                  <w:txbxContent>
                    <w:p w:rsidR="00BC71F8" w:rsidRDefault="00BC71F8" w:rsidP="00BC71F8">
                      <w:pPr>
                        <w:jc w:val="center"/>
                      </w:pPr>
                      <w:r>
                        <w:t>RAVNATELJ</w:t>
                      </w:r>
                    </w:p>
                    <w:p w:rsidR="00BC71F8" w:rsidRDefault="00BC71F8" w:rsidP="00BC71F8">
                      <w:pPr>
                        <w:jc w:val="center"/>
                      </w:pPr>
                      <w:r>
                        <w:t>Prim. dr Davor Pehar</w:t>
                      </w:r>
                    </w:p>
                  </w:txbxContent>
                </v:textbox>
                <w10:wrap type="square"/>
              </v:shape>
            </w:pict>
          </mc:Fallback>
        </mc:AlternateContent>
      </w:r>
    </w:p>
    <w:p w:rsidR="00A131AD" w:rsidRPr="00155F80" w:rsidRDefault="00A131AD" w:rsidP="000C0138">
      <w:pPr>
        <w:spacing w:line="276" w:lineRule="auto"/>
        <w:ind w:left="7080" w:firstLine="708"/>
        <w:rPr>
          <w:rFonts w:ascii="Times New Roman" w:hAnsi="Times New Roman"/>
        </w:rPr>
      </w:pPr>
    </w:p>
    <w:p w:rsidR="00E54072" w:rsidRDefault="00E54072" w:rsidP="003E3695">
      <w:pPr>
        <w:pStyle w:val="Poglavlje1"/>
        <w:numPr>
          <w:ilvl w:val="0"/>
          <w:numId w:val="0"/>
        </w:numPr>
        <w:ind w:left="720"/>
        <w:rPr>
          <w:rFonts w:eastAsiaTheme="minorHAnsi"/>
        </w:rPr>
      </w:pPr>
      <w:bookmarkStart w:id="1" w:name="_Toc456095895"/>
    </w:p>
    <w:p w:rsidR="00CC2E5C" w:rsidRDefault="00CC2E5C" w:rsidP="003E3695">
      <w:pPr>
        <w:pStyle w:val="Poglavlje1"/>
        <w:numPr>
          <w:ilvl w:val="0"/>
          <w:numId w:val="0"/>
        </w:numPr>
        <w:ind w:left="720"/>
        <w:rPr>
          <w:rFonts w:eastAsiaTheme="minorHAnsi"/>
        </w:rPr>
      </w:pPr>
    </w:p>
    <w:p w:rsidR="00CB071F" w:rsidRPr="00021055" w:rsidRDefault="00021055" w:rsidP="003E3695">
      <w:pPr>
        <w:pStyle w:val="Poglavlje1"/>
        <w:numPr>
          <w:ilvl w:val="0"/>
          <w:numId w:val="0"/>
        </w:numPr>
        <w:ind w:left="720"/>
        <w:rPr>
          <w:rFonts w:eastAsiaTheme="minorHAnsi"/>
        </w:rPr>
      </w:pPr>
      <w:bookmarkStart w:id="2" w:name="_GoBack"/>
      <w:bookmarkEnd w:id="2"/>
      <w:r w:rsidRPr="00021055">
        <w:rPr>
          <w:rFonts w:eastAsiaTheme="minorHAnsi"/>
        </w:rPr>
        <w:lastRenderedPageBreak/>
        <w:t>SAŽETAK</w:t>
      </w:r>
      <w:bookmarkEnd w:id="1"/>
    </w:p>
    <w:p w:rsidR="00CB071F" w:rsidRDefault="00CB071F" w:rsidP="003E3695">
      <w:pPr>
        <w:spacing w:line="276" w:lineRule="auto"/>
        <w:rPr>
          <w:rFonts w:ascii="Times New Roman" w:hAnsi="Times New Roman"/>
        </w:rPr>
      </w:pPr>
      <w:r w:rsidRPr="003E3695">
        <w:rPr>
          <w:rFonts w:ascii="Times New Roman" w:hAnsi="Times New Roman"/>
        </w:rPr>
        <w:t>Zdravstvena zaštita i zdravlje stanovništva ne ovise isključivo o djelovanju zdravstvenog s</w:t>
      </w:r>
      <w:r w:rsidR="00AC4F6E">
        <w:rPr>
          <w:rFonts w:ascii="Times New Roman" w:hAnsi="Times New Roman"/>
        </w:rPr>
        <w:t>ustava</w:t>
      </w:r>
      <w:r w:rsidRPr="003E3695">
        <w:rPr>
          <w:rFonts w:ascii="Times New Roman" w:hAnsi="Times New Roman"/>
        </w:rPr>
        <w:t xml:space="preserve"> i ne mogu se promatrati odvojeno od demografskih, socioekonomskih i ekoloških pokazatelja. </w:t>
      </w:r>
    </w:p>
    <w:p w:rsidR="003E3695" w:rsidRPr="003E3695" w:rsidRDefault="003E3695" w:rsidP="003E3695">
      <w:pPr>
        <w:spacing w:line="276" w:lineRule="auto"/>
        <w:rPr>
          <w:rFonts w:ascii="Times New Roman" w:eastAsiaTheme="minorHAnsi" w:hAnsi="Times New Roman"/>
          <w:lang w:val="bs-Latn-BA"/>
        </w:rPr>
      </w:pPr>
    </w:p>
    <w:p w:rsidR="00CB071F" w:rsidRPr="003E3695" w:rsidRDefault="00CB071F" w:rsidP="003E3695">
      <w:pPr>
        <w:spacing w:after="160" w:line="276" w:lineRule="auto"/>
        <w:rPr>
          <w:rFonts w:ascii="Times New Roman" w:eastAsiaTheme="minorHAnsi" w:hAnsi="Times New Roman"/>
          <w:b/>
          <w:lang w:val="bs-Latn-BA"/>
        </w:rPr>
      </w:pPr>
      <w:r w:rsidRPr="003E3695">
        <w:rPr>
          <w:rFonts w:ascii="Times New Roman" w:eastAsiaTheme="minorHAnsi" w:hAnsi="Times New Roman"/>
          <w:b/>
          <w:lang w:val="bs-Latn-BA"/>
        </w:rPr>
        <w:t>Stanovništvo</w:t>
      </w:r>
    </w:p>
    <w:p w:rsidR="00CB071F" w:rsidRPr="003E3695" w:rsidRDefault="00CB071F" w:rsidP="003E3695">
      <w:pPr>
        <w:spacing w:line="276" w:lineRule="auto"/>
        <w:rPr>
          <w:rFonts w:ascii="Times New Roman" w:hAnsi="Times New Roman"/>
        </w:rPr>
      </w:pPr>
      <w:r w:rsidRPr="003E3695">
        <w:rPr>
          <w:rFonts w:ascii="Times New Roman" w:hAnsi="Times New Roman"/>
        </w:rPr>
        <w:t xml:space="preserve">Prema procjeni Federalnog zavoda za statistiku, u </w:t>
      </w:r>
      <w:r w:rsidR="00AC4F6E">
        <w:rPr>
          <w:rFonts w:ascii="Times New Roman" w:hAnsi="Times New Roman"/>
        </w:rPr>
        <w:t xml:space="preserve">razdoblju </w:t>
      </w:r>
      <w:r w:rsidRPr="003E3695">
        <w:rPr>
          <w:rFonts w:ascii="Times New Roman" w:hAnsi="Times New Roman"/>
        </w:rPr>
        <w:t xml:space="preserve">2010.-2015. godine u Federaciji BiH  bilježi se negativan demografski trend, odnosno smanjenje ukupnog broja stanovnika, uz skoro jednak udio žena i muškaraca. </w:t>
      </w:r>
      <w:r w:rsidRPr="003E3695">
        <w:rPr>
          <w:rFonts w:ascii="Times New Roman" w:eastAsiaTheme="minorHAnsi" w:hAnsi="Times New Roman"/>
          <w:lang w:val="bs-Latn-BA"/>
        </w:rPr>
        <w:t>Kao i u zemljama okruženja i E</w:t>
      </w:r>
      <w:r w:rsidR="00AC4F6E">
        <w:rPr>
          <w:rFonts w:ascii="Times New Roman" w:eastAsiaTheme="minorHAnsi" w:hAnsi="Times New Roman"/>
          <w:lang w:val="bs-Latn-BA"/>
        </w:rPr>
        <w:t>u</w:t>
      </w:r>
      <w:r w:rsidRPr="003E3695">
        <w:rPr>
          <w:rFonts w:ascii="Times New Roman" w:eastAsiaTheme="minorHAnsi" w:hAnsi="Times New Roman"/>
          <w:lang w:val="bs-Latn-BA"/>
        </w:rPr>
        <w:t>ropsk</w:t>
      </w:r>
      <w:r w:rsidR="00AC4F6E">
        <w:rPr>
          <w:rFonts w:ascii="Times New Roman" w:eastAsiaTheme="minorHAnsi" w:hAnsi="Times New Roman"/>
          <w:lang w:val="bs-Latn-BA"/>
        </w:rPr>
        <w:t>e</w:t>
      </w:r>
      <w:r w:rsidRPr="003E3695">
        <w:rPr>
          <w:rFonts w:ascii="Times New Roman" w:eastAsiaTheme="minorHAnsi" w:hAnsi="Times New Roman"/>
          <w:lang w:val="bs-Latn-BA"/>
        </w:rPr>
        <w:t xml:space="preserve"> regi</w:t>
      </w:r>
      <w:r w:rsidR="00AC4F6E">
        <w:rPr>
          <w:rFonts w:ascii="Times New Roman" w:eastAsiaTheme="minorHAnsi" w:hAnsi="Times New Roman"/>
          <w:lang w:val="bs-Latn-BA"/>
        </w:rPr>
        <w:t>je</w:t>
      </w:r>
      <w:r w:rsidRPr="003E3695">
        <w:rPr>
          <w:rFonts w:ascii="Times New Roman" w:eastAsiaTheme="minorHAnsi" w:hAnsi="Times New Roman"/>
          <w:lang w:val="bs-Latn-BA"/>
        </w:rPr>
        <w:t>, evidentan je trend starenja stanovništva. Stopa nataliteta se kontinuirano smanjuje, stopa općeg mortaliteta ima trend porasta, te je posljedica negativna vrijednost stope prirodnog prira</w:t>
      </w:r>
      <w:r w:rsidR="00AC4F6E">
        <w:rPr>
          <w:rFonts w:ascii="Times New Roman" w:eastAsiaTheme="minorHAnsi" w:hAnsi="Times New Roman"/>
          <w:lang w:val="bs-Latn-BA"/>
        </w:rPr>
        <w:t>sta</w:t>
      </w:r>
      <w:r w:rsidRPr="003E3695">
        <w:rPr>
          <w:rFonts w:ascii="Times New Roman" w:eastAsiaTheme="minorHAnsi" w:hAnsi="Times New Roman"/>
          <w:lang w:val="bs-Latn-BA"/>
        </w:rPr>
        <w:t xml:space="preserve"> (-1%0) u 2015. godini, kada je čak devet kantona, sa izuzetkom </w:t>
      </w:r>
      <w:r w:rsidR="00AC4F6E">
        <w:rPr>
          <w:rFonts w:ascii="Times New Roman" w:eastAsiaTheme="minorHAnsi" w:hAnsi="Times New Roman"/>
          <w:lang w:val="bs-Latn-BA"/>
        </w:rPr>
        <w:t>K</w:t>
      </w:r>
      <w:r w:rsidRPr="003E3695">
        <w:rPr>
          <w:rFonts w:ascii="Times New Roman" w:eastAsiaTheme="minorHAnsi" w:hAnsi="Times New Roman"/>
          <w:lang w:val="bs-Latn-BA"/>
        </w:rPr>
        <w:t>antona Sarajevo, imalo negativnu stopu prirodnog prira</w:t>
      </w:r>
      <w:r w:rsidR="00AC4F6E">
        <w:rPr>
          <w:rFonts w:ascii="Times New Roman" w:eastAsiaTheme="minorHAnsi" w:hAnsi="Times New Roman"/>
          <w:lang w:val="bs-Latn-BA"/>
        </w:rPr>
        <w:t>sta</w:t>
      </w:r>
      <w:r w:rsidRPr="003E3695">
        <w:rPr>
          <w:rFonts w:ascii="Times New Roman" w:eastAsiaTheme="minorHAnsi" w:hAnsi="Times New Roman"/>
          <w:lang w:val="bs-Latn-BA"/>
        </w:rPr>
        <w:t>.</w:t>
      </w:r>
    </w:p>
    <w:p w:rsidR="00CB071F" w:rsidRPr="003E3695" w:rsidRDefault="00CB071F" w:rsidP="003E3695">
      <w:pPr>
        <w:spacing w:line="276" w:lineRule="auto"/>
        <w:rPr>
          <w:rFonts w:ascii="Times New Roman" w:hAnsi="Times New Roman"/>
        </w:rPr>
      </w:pPr>
    </w:p>
    <w:p w:rsidR="00CB071F" w:rsidRPr="003E3695" w:rsidRDefault="00CB071F" w:rsidP="003E3695">
      <w:pPr>
        <w:spacing w:line="276" w:lineRule="auto"/>
        <w:rPr>
          <w:rFonts w:ascii="Times New Roman" w:hAnsi="Times New Roman"/>
        </w:rPr>
      </w:pPr>
      <w:r w:rsidRPr="003E3695">
        <w:rPr>
          <w:rFonts w:ascii="Times New Roman" w:hAnsi="Times New Roman"/>
        </w:rPr>
        <w:t>Socioekonomski u</w:t>
      </w:r>
      <w:r w:rsidR="00AC4F6E">
        <w:rPr>
          <w:rFonts w:ascii="Times New Roman" w:hAnsi="Times New Roman"/>
        </w:rPr>
        <w:t>vjeti</w:t>
      </w:r>
      <w:r w:rsidRPr="003E3695">
        <w:rPr>
          <w:rFonts w:ascii="Times New Roman" w:hAnsi="Times New Roman"/>
        </w:rPr>
        <w:t xml:space="preserve"> u Fedearaciji BiH su još uvijek nepovoljni, stopa nezaposlenosti iznosi 29,1% (za muškarce 25,7%, za žene 32,4%), a prosječna neto plaća u 2015. godini je bila 830 KM.</w:t>
      </w:r>
    </w:p>
    <w:p w:rsidR="00CB071F" w:rsidRPr="003E3695" w:rsidRDefault="00CB071F" w:rsidP="003E3695">
      <w:pPr>
        <w:spacing w:line="276" w:lineRule="auto"/>
        <w:rPr>
          <w:rFonts w:ascii="Times New Roman" w:hAnsi="Times New Roman"/>
        </w:rPr>
      </w:pPr>
    </w:p>
    <w:p w:rsidR="00CB071F" w:rsidRPr="003E3695" w:rsidRDefault="00CB071F" w:rsidP="003E3695">
      <w:pPr>
        <w:spacing w:after="160" w:line="276" w:lineRule="auto"/>
        <w:rPr>
          <w:rFonts w:ascii="Times New Roman" w:eastAsiaTheme="minorHAnsi" w:hAnsi="Times New Roman"/>
          <w:b/>
          <w:lang w:val="bs-Latn-BA"/>
        </w:rPr>
      </w:pPr>
      <w:r w:rsidRPr="003E3695">
        <w:rPr>
          <w:rFonts w:ascii="Times New Roman" w:eastAsiaTheme="minorHAnsi" w:hAnsi="Times New Roman"/>
          <w:b/>
          <w:lang w:val="bs-Latn-BA"/>
        </w:rPr>
        <w:t>Mortalitet i morbiditet</w:t>
      </w:r>
    </w:p>
    <w:p w:rsidR="00CB071F" w:rsidRPr="003E3695" w:rsidRDefault="00CB071F" w:rsidP="003E3695">
      <w:pPr>
        <w:spacing w:after="160" w:line="276" w:lineRule="auto"/>
        <w:rPr>
          <w:rFonts w:ascii="Times New Roman" w:eastAsiaTheme="minorHAnsi" w:hAnsi="Times New Roman"/>
          <w:lang w:val="bs-Latn-BA"/>
        </w:rPr>
      </w:pPr>
      <w:r w:rsidRPr="003E3695">
        <w:rPr>
          <w:rFonts w:ascii="Times New Roman" w:eastAsiaTheme="minorHAnsi" w:hAnsi="Times New Roman"/>
          <w:lang w:val="bs-Latn-BA"/>
        </w:rPr>
        <w:t>Vodeći uzroci umiranja stanovništva Federacije BiH su oboljenja k</w:t>
      </w:r>
      <w:r w:rsidR="00AC4F6E">
        <w:rPr>
          <w:rFonts w:ascii="Times New Roman" w:eastAsiaTheme="minorHAnsi" w:hAnsi="Times New Roman"/>
          <w:lang w:val="bs-Latn-BA"/>
        </w:rPr>
        <w:t>rvožilnog</w:t>
      </w:r>
      <w:r w:rsidRPr="003E3695">
        <w:rPr>
          <w:rFonts w:ascii="Times New Roman" w:eastAsiaTheme="minorHAnsi" w:hAnsi="Times New Roman"/>
          <w:lang w:val="bs-Latn-BA"/>
        </w:rPr>
        <w:t xml:space="preserve"> s</w:t>
      </w:r>
      <w:r w:rsidR="00AC4F6E">
        <w:rPr>
          <w:rFonts w:ascii="Times New Roman" w:eastAsiaTheme="minorHAnsi" w:hAnsi="Times New Roman"/>
          <w:lang w:val="bs-Latn-BA"/>
        </w:rPr>
        <w:t>ustava</w:t>
      </w:r>
      <w:r w:rsidRPr="003E3695">
        <w:rPr>
          <w:rFonts w:ascii="Times New Roman" w:eastAsiaTheme="minorHAnsi" w:hAnsi="Times New Roman"/>
          <w:lang w:val="bs-Latn-BA"/>
        </w:rPr>
        <w:t xml:space="preserve"> (53,8%) i maligne neoplazme (21,0%), te endokrina i metabolička oboljenja sa poremećajima u </w:t>
      </w:r>
      <w:r w:rsidR="001C3C90">
        <w:rPr>
          <w:rFonts w:ascii="Times New Roman" w:eastAsiaTheme="minorHAnsi" w:hAnsi="Times New Roman"/>
          <w:lang w:val="bs-Latn-BA"/>
        </w:rPr>
        <w:t>prehrani</w:t>
      </w:r>
      <w:r w:rsidRPr="003E3695">
        <w:rPr>
          <w:rFonts w:ascii="Times New Roman" w:eastAsiaTheme="minorHAnsi" w:hAnsi="Times New Roman"/>
          <w:lang w:val="bs-Latn-BA"/>
        </w:rPr>
        <w:t xml:space="preserve"> (5,5%). Od oboljenja iz ovih grupa umire </w:t>
      </w:r>
      <w:r w:rsidR="001C3C90">
        <w:rPr>
          <w:rFonts w:ascii="Times New Roman" w:eastAsiaTheme="minorHAnsi" w:hAnsi="Times New Roman"/>
          <w:lang w:val="bs-Latn-BA"/>
        </w:rPr>
        <w:t>više od</w:t>
      </w:r>
      <w:r w:rsidRPr="003E3695">
        <w:rPr>
          <w:rFonts w:ascii="Times New Roman" w:eastAsiaTheme="minorHAnsi" w:hAnsi="Times New Roman"/>
          <w:lang w:val="bs-Latn-BA"/>
        </w:rPr>
        <w:t xml:space="preserve"> tri četvrtine od ukupnog broja umrlih godišnje.</w:t>
      </w:r>
    </w:p>
    <w:p w:rsidR="00CB071F" w:rsidRPr="003E3695" w:rsidRDefault="001C3C90" w:rsidP="003E3695">
      <w:pPr>
        <w:spacing w:after="160" w:line="276" w:lineRule="auto"/>
        <w:rPr>
          <w:rFonts w:ascii="Times New Roman" w:eastAsiaTheme="minorHAnsi" w:hAnsi="Times New Roman"/>
          <w:lang w:val="bs-Latn-BA"/>
        </w:rPr>
      </w:pPr>
      <w:r>
        <w:rPr>
          <w:rFonts w:ascii="Times New Roman" w:eastAsiaTheme="minorHAnsi" w:hAnsi="Times New Roman"/>
          <w:lang w:val="bs-Latn-BA"/>
        </w:rPr>
        <w:t>K</w:t>
      </w:r>
      <w:r w:rsidR="00CB071F" w:rsidRPr="003E3695">
        <w:rPr>
          <w:rFonts w:ascii="Times New Roman" w:eastAsiaTheme="minorHAnsi" w:hAnsi="Times New Roman"/>
          <w:lang w:val="bs-Latn-BA"/>
        </w:rPr>
        <w:t>ronične bolesti pokazuju rast stope obolijevanja, što se posebno odnosi na hipertenzivna oboljenja, dijabetes i dorzopatije.</w:t>
      </w:r>
    </w:p>
    <w:p w:rsidR="00CB071F" w:rsidRPr="003E3695" w:rsidRDefault="00CB071F" w:rsidP="003E3695">
      <w:pPr>
        <w:spacing w:after="160" w:line="276" w:lineRule="auto"/>
        <w:rPr>
          <w:rFonts w:ascii="Times New Roman" w:eastAsiaTheme="minorHAnsi" w:hAnsi="Times New Roman"/>
          <w:lang w:val="bs-Latn-BA"/>
        </w:rPr>
      </w:pPr>
      <w:r w:rsidRPr="003E3695">
        <w:rPr>
          <w:rFonts w:ascii="Times New Roman" w:hAnsi="Times New Roman"/>
          <w:lang w:val="pl-PL"/>
        </w:rPr>
        <w:t xml:space="preserve">Među vodećim zaraznim bolestima najviše je onih iz grupe respiratornih zaraznih bolesti (gripa/bolesti slične gripi, varičele, streptokokna angina, TBC respiratornog sustava, morbili, scarlatina i infektivna mononukleoza). Na visokom trećem mjestu je akutni enterokolitis, te na petom mjestu skabijes. </w:t>
      </w:r>
    </w:p>
    <w:p w:rsidR="00CB071F" w:rsidRPr="003E3695" w:rsidRDefault="00CB071F" w:rsidP="003E3695">
      <w:pPr>
        <w:spacing w:line="276" w:lineRule="auto"/>
        <w:rPr>
          <w:rFonts w:ascii="Times New Roman" w:hAnsi="Times New Roman"/>
        </w:rPr>
      </w:pPr>
      <w:r w:rsidRPr="003E3695">
        <w:rPr>
          <w:rFonts w:ascii="Times New Roman" w:hAnsi="Times New Roman"/>
        </w:rPr>
        <w:t xml:space="preserve">Evidentiran je niži obuhvat </w:t>
      </w:r>
      <w:r w:rsidR="001C3C90">
        <w:rPr>
          <w:rFonts w:ascii="Times New Roman" w:hAnsi="Times New Roman"/>
        </w:rPr>
        <w:t xml:space="preserve">cijepljenjem </w:t>
      </w:r>
      <w:r w:rsidRPr="003E3695">
        <w:rPr>
          <w:rFonts w:ascii="Times New Roman" w:hAnsi="Times New Roman"/>
        </w:rPr>
        <w:t xml:space="preserve">u 2015. godini u odnosu na prethodne godine, što vodi ka padu kvaliteta kolektivnog imuniteta populacije protiv određenih zaraznih bolesti i prijeti ponovnim sporadičnim ili epidemijskim javljanjem </w:t>
      </w:r>
      <w:r w:rsidR="001C3C90">
        <w:rPr>
          <w:rFonts w:ascii="Times New Roman" w:hAnsi="Times New Roman"/>
        </w:rPr>
        <w:t xml:space="preserve">cijepljenjem </w:t>
      </w:r>
      <w:r w:rsidRPr="003E3695">
        <w:rPr>
          <w:rFonts w:ascii="Times New Roman" w:hAnsi="Times New Roman"/>
        </w:rPr>
        <w:t>preventabilnih bolesti</w:t>
      </w:r>
      <w:r w:rsidR="001C3C90">
        <w:rPr>
          <w:rFonts w:ascii="Times New Roman" w:hAnsi="Times New Roman"/>
        </w:rPr>
        <w:t>.</w:t>
      </w:r>
    </w:p>
    <w:p w:rsidR="00CB071F" w:rsidRPr="003E3695" w:rsidRDefault="00CB071F" w:rsidP="003E3695">
      <w:pPr>
        <w:spacing w:after="160" w:line="276" w:lineRule="auto"/>
        <w:rPr>
          <w:rFonts w:ascii="Times New Roman" w:eastAsiaTheme="minorHAnsi" w:hAnsi="Times New Roman"/>
          <w:lang w:val="bs-Latn-BA"/>
        </w:rPr>
      </w:pPr>
    </w:p>
    <w:p w:rsidR="00CB071F" w:rsidRPr="003E3695" w:rsidRDefault="001C3C90" w:rsidP="003E3695">
      <w:pPr>
        <w:spacing w:after="160" w:line="276" w:lineRule="auto"/>
        <w:rPr>
          <w:rFonts w:ascii="Times New Roman" w:eastAsiaTheme="minorHAnsi" w:hAnsi="Times New Roman"/>
          <w:b/>
          <w:lang w:val="bs-Latn-BA"/>
        </w:rPr>
      </w:pPr>
      <w:r>
        <w:rPr>
          <w:rFonts w:ascii="Times New Roman" w:eastAsiaTheme="minorHAnsi" w:hAnsi="Times New Roman"/>
          <w:b/>
          <w:lang w:val="bs-Latn-BA"/>
        </w:rPr>
        <w:t>Čimbenici</w:t>
      </w:r>
      <w:r w:rsidR="00CB071F" w:rsidRPr="003E3695">
        <w:rPr>
          <w:rFonts w:ascii="Times New Roman" w:eastAsiaTheme="minorHAnsi" w:hAnsi="Times New Roman"/>
          <w:b/>
          <w:lang w:val="bs-Latn-BA"/>
        </w:rPr>
        <w:t xml:space="preserve"> rizika po zdravlje</w:t>
      </w:r>
    </w:p>
    <w:p w:rsidR="00CB071F" w:rsidRPr="003E3695" w:rsidRDefault="00CB071F" w:rsidP="003E3695">
      <w:pPr>
        <w:tabs>
          <w:tab w:val="left" w:pos="550"/>
        </w:tabs>
        <w:spacing w:before="120" w:line="276" w:lineRule="auto"/>
        <w:rPr>
          <w:rFonts w:ascii="Times New Roman" w:hAnsi="Times New Roman"/>
          <w:noProof/>
          <w:lang w:val="hr-HR" w:eastAsia="de-DE"/>
        </w:rPr>
      </w:pPr>
      <w:r w:rsidRPr="003E3695">
        <w:rPr>
          <w:rFonts w:ascii="Times New Roman" w:hAnsi="Times New Roman"/>
          <w:noProof/>
          <w:lang w:val="hr-HR" w:eastAsia="de-DE"/>
        </w:rPr>
        <w:t>Zna</w:t>
      </w:r>
      <w:r w:rsidR="00EE5188">
        <w:rPr>
          <w:rFonts w:ascii="Times New Roman" w:hAnsi="Times New Roman"/>
          <w:noProof/>
          <w:lang w:val="hr-HR" w:eastAsia="de-DE"/>
        </w:rPr>
        <w:t>tna</w:t>
      </w:r>
      <w:r w:rsidRPr="003E3695">
        <w:rPr>
          <w:rFonts w:ascii="Times New Roman" w:hAnsi="Times New Roman"/>
          <w:noProof/>
          <w:lang w:val="hr-HR" w:eastAsia="de-DE"/>
        </w:rPr>
        <w:t xml:space="preserve"> je prisutnost </w:t>
      </w:r>
      <w:r w:rsidR="001C3C90">
        <w:rPr>
          <w:rFonts w:ascii="Times New Roman" w:hAnsi="Times New Roman"/>
          <w:noProof/>
          <w:lang w:val="hr-HR" w:eastAsia="de-DE"/>
        </w:rPr>
        <w:t>čimbenika</w:t>
      </w:r>
      <w:r w:rsidRPr="003E3695">
        <w:rPr>
          <w:rFonts w:ascii="Times New Roman" w:hAnsi="Times New Roman"/>
          <w:noProof/>
          <w:lang w:val="hr-HR" w:eastAsia="de-DE"/>
        </w:rPr>
        <w:t xml:space="preserve"> rizika po zdravlje stanovništva: duhan konzumira 44,1% odraslih, alkohol  28,8%, preko petine (21,2%) odraslih je </w:t>
      </w:r>
      <w:r w:rsidR="001C3C90">
        <w:rPr>
          <w:rFonts w:ascii="Times New Roman" w:hAnsi="Times New Roman"/>
          <w:noProof/>
          <w:lang w:val="hr-HR" w:eastAsia="de-DE"/>
        </w:rPr>
        <w:t>pretilo</w:t>
      </w:r>
      <w:r w:rsidRPr="003E3695">
        <w:rPr>
          <w:rFonts w:ascii="Times New Roman" w:hAnsi="Times New Roman"/>
          <w:noProof/>
          <w:lang w:val="hr-HR" w:eastAsia="de-DE"/>
        </w:rPr>
        <w:t xml:space="preserve">, a </w:t>
      </w:r>
      <w:r w:rsidR="00671193">
        <w:rPr>
          <w:rFonts w:ascii="Times New Roman" w:hAnsi="Times New Roman"/>
          <w:noProof/>
          <w:lang w:val="hr-HR" w:eastAsia="de-DE"/>
        </w:rPr>
        <w:t>tjelesno</w:t>
      </w:r>
      <w:r w:rsidRPr="003E3695">
        <w:rPr>
          <w:rFonts w:ascii="Times New Roman" w:hAnsi="Times New Roman"/>
          <w:noProof/>
          <w:lang w:val="hr-HR" w:eastAsia="de-DE"/>
        </w:rPr>
        <w:t xml:space="preserve"> aktivnih je samo </w:t>
      </w:r>
      <w:r w:rsidRPr="003E3695">
        <w:rPr>
          <w:rFonts w:ascii="Times New Roman" w:eastAsiaTheme="minorHAnsi" w:hAnsi="Times New Roman"/>
          <w:lang w:val="hr-HR"/>
        </w:rPr>
        <w:t>24,6% stanovnika.</w:t>
      </w:r>
    </w:p>
    <w:p w:rsidR="00CB071F" w:rsidRPr="003E3695" w:rsidRDefault="00CB071F" w:rsidP="003E3695">
      <w:pPr>
        <w:spacing w:line="276" w:lineRule="auto"/>
        <w:rPr>
          <w:rFonts w:ascii="Times New Roman" w:hAnsi="Times New Roman"/>
        </w:rPr>
      </w:pPr>
    </w:p>
    <w:p w:rsidR="00CB071F" w:rsidRPr="003E3695" w:rsidRDefault="001C3C90" w:rsidP="003E3695">
      <w:pPr>
        <w:spacing w:line="276" w:lineRule="auto"/>
        <w:rPr>
          <w:rFonts w:ascii="Times New Roman" w:hAnsi="Times New Roman"/>
          <w:lang w:val="bs-Latn-BA"/>
        </w:rPr>
      </w:pPr>
      <w:r>
        <w:rPr>
          <w:rFonts w:ascii="Times New Roman" w:hAnsi="Times New Roman"/>
        </w:rPr>
        <w:t>Onečišćena</w:t>
      </w:r>
      <w:r w:rsidR="00CB071F" w:rsidRPr="003E3695">
        <w:rPr>
          <w:rFonts w:ascii="Times New Roman" w:hAnsi="Times New Roman"/>
          <w:lang w:val="bs-Latn-BA"/>
        </w:rPr>
        <w:t xml:space="preserve"> </w:t>
      </w:r>
      <w:r w:rsidR="00CB071F" w:rsidRPr="003E3695">
        <w:rPr>
          <w:rFonts w:ascii="Times New Roman" w:hAnsi="Times New Roman"/>
        </w:rPr>
        <w:t>voda</w:t>
      </w:r>
      <w:r w:rsidR="00CB071F" w:rsidRPr="003E3695">
        <w:rPr>
          <w:rFonts w:ascii="Times New Roman" w:hAnsi="Times New Roman"/>
          <w:lang w:val="bs-Latn-BA"/>
        </w:rPr>
        <w:t xml:space="preserve">, </w:t>
      </w:r>
      <w:r w:rsidR="00CB071F" w:rsidRPr="003E3695">
        <w:rPr>
          <w:rFonts w:ascii="Times New Roman" w:hAnsi="Times New Roman"/>
        </w:rPr>
        <w:t>hrana</w:t>
      </w:r>
      <w:r w:rsidR="00CB071F" w:rsidRPr="003E3695">
        <w:rPr>
          <w:rFonts w:ascii="Times New Roman" w:hAnsi="Times New Roman"/>
          <w:lang w:val="bs-Latn-BA"/>
        </w:rPr>
        <w:t xml:space="preserve">, </w:t>
      </w:r>
      <w:r w:rsidR="00CB071F" w:rsidRPr="003E3695">
        <w:rPr>
          <w:rFonts w:ascii="Times New Roman" w:hAnsi="Times New Roman"/>
        </w:rPr>
        <w:t>zrak</w:t>
      </w:r>
      <w:r w:rsidR="00CB071F" w:rsidRPr="003E3695">
        <w:rPr>
          <w:rFonts w:ascii="Times New Roman" w:hAnsi="Times New Roman"/>
          <w:lang w:val="bs-Latn-BA"/>
        </w:rPr>
        <w:t xml:space="preserve"> </w:t>
      </w:r>
      <w:r w:rsidR="00CB071F" w:rsidRPr="003E3695">
        <w:rPr>
          <w:rFonts w:ascii="Times New Roman" w:hAnsi="Times New Roman"/>
        </w:rPr>
        <w:t>i</w:t>
      </w:r>
      <w:r w:rsidR="00CB071F" w:rsidRPr="003E3695">
        <w:rPr>
          <w:rFonts w:ascii="Times New Roman" w:hAnsi="Times New Roman"/>
          <w:lang w:val="bs-Latn-BA"/>
        </w:rPr>
        <w:t xml:space="preserve"> </w:t>
      </w:r>
      <w:r w:rsidR="00CB071F" w:rsidRPr="003E3695">
        <w:rPr>
          <w:rFonts w:ascii="Times New Roman" w:hAnsi="Times New Roman"/>
        </w:rPr>
        <w:t>otpadne</w:t>
      </w:r>
      <w:r w:rsidR="00CB071F" w:rsidRPr="003E3695">
        <w:rPr>
          <w:rFonts w:ascii="Times New Roman" w:hAnsi="Times New Roman"/>
          <w:lang w:val="bs-Latn-BA"/>
        </w:rPr>
        <w:t xml:space="preserve"> </w:t>
      </w:r>
      <w:r w:rsidR="00CB071F" w:rsidRPr="003E3695">
        <w:rPr>
          <w:rFonts w:ascii="Times New Roman" w:hAnsi="Times New Roman"/>
        </w:rPr>
        <w:t>materije</w:t>
      </w:r>
      <w:r w:rsidR="00CB071F" w:rsidRPr="003E3695">
        <w:rPr>
          <w:rFonts w:ascii="Times New Roman" w:hAnsi="Times New Roman"/>
          <w:lang w:val="bs-Latn-BA"/>
        </w:rPr>
        <w:t xml:space="preserve"> </w:t>
      </w:r>
      <w:r w:rsidR="00CB071F" w:rsidRPr="003E3695">
        <w:rPr>
          <w:rFonts w:ascii="Times New Roman" w:hAnsi="Times New Roman"/>
        </w:rPr>
        <w:t>spadaju</w:t>
      </w:r>
      <w:r w:rsidR="00CB071F" w:rsidRPr="003E3695">
        <w:rPr>
          <w:rFonts w:ascii="Times New Roman" w:hAnsi="Times New Roman"/>
          <w:lang w:val="bs-Latn-BA"/>
        </w:rPr>
        <w:t xml:space="preserve"> </w:t>
      </w:r>
      <w:r w:rsidR="00CB071F" w:rsidRPr="003E3695">
        <w:rPr>
          <w:rFonts w:ascii="Times New Roman" w:hAnsi="Times New Roman"/>
        </w:rPr>
        <w:t>u</w:t>
      </w:r>
      <w:r w:rsidR="00CB071F" w:rsidRPr="003E3695">
        <w:rPr>
          <w:rFonts w:ascii="Times New Roman" w:hAnsi="Times New Roman"/>
          <w:lang w:val="bs-Latn-BA"/>
        </w:rPr>
        <w:t xml:space="preserve"> </w:t>
      </w:r>
      <w:r w:rsidR="00CB071F" w:rsidRPr="003E3695">
        <w:rPr>
          <w:rFonts w:ascii="Times New Roman" w:hAnsi="Times New Roman"/>
        </w:rPr>
        <w:t>vode</w:t>
      </w:r>
      <w:r w:rsidR="00CB071F" w:rsidRPr="003E3695">
        <w:rPr>
          <w:rFonts w:ascii="Times New Roman" w:hAnsi="Times New Roman"/>
          <w:lang w:val="bs-Latn-BA"/>
        </w:rPr>
        <w:t>ć</w:t>
      </w:r>
      <w:r w:rsidR="00CB071F" w:rsidRPr="003E3695">
        <w:rPr>
          <w:rFonts w:ascii="Times New Roman" w:hAnsi="Times New Roman"/>
        </w:rPr>
        <w:t>e</w:t>
      </w:r>
      <w:r w:rsidR="00CB071F" w:rsidRPr="003E3695">
        <w:rPr>
          <w:rFonts w:ascii="Times New Roman" w:hAnsi="Times New Roman"/>
          <w:lang w:val="bs-Latn-BA"/>
        </w:rPr>
        <w:t xml:space="preserve"> </w:t>
      </w:r>
      <w:r w:rsidR="00CB071F" w:rsidRPr="003E3695">
        <w:rPr>
          <w:rFonts w:ascii="Times New Roman" w:hAnsi="Times New Roman"/>
        </w:rPr>
        <w:t>javno</w:t>
      </w:r>
      <w:r w:rsidR="00CB071F" w:rsidRPr="003E3695">
        <w:rPr>
          <w:rFonts w:ascii="Times New Roman" w:hAnsi="Times New Roman"/>
          <w:lang w:val="bs-Latn-BA"/>
        </w:rPr>
        <w:t xml:space="preserve"> </w:t>
      </w:r>
      <w:r w:rsidR="00CB071F" w:rsidRPr="003E3695">
        <w:rPr>
          <w:rFonts w:ascii="Times New Roman" w:hAnsi="Times New Roman"/>
        </w:rPr>
        <w:t>zdravstvene</w:t>
      </w:r>
      <w:r w:rsidR="00CB071F" w:rsidRPr="003E3695">
        <w:rPr>
          <w:rFonts w:ascii="Times New Roman" w:hAnsi="Times New Roman"/>
          <w:lang w:val="bs-Latn-BA"/>
        </w:rPr>
        <w:t xml:space="preserve"> </w:t>
      </w:r>
      <w:r w:rsidR="00CB071F" w:rsidRPr="003E3695">
        <w:rPr>
          <w:rFonts w:ascii="Times New Roman" w:hAnsi="Times New Roman"/>
        </w:rPr>
        <w:t>probleme</w:t>
      </w:r>
      <w:r w:rsidR="00CB071F" w:rsidRPr="003E3695">
        <w:rPr>
          <w:rFonts w:ascii="Times New Roman" w:hAnsi="Times New Roman"/>
          <w:lang w:val="bs-Latn-BA"/>
        </w:rPr>
        <w:t xml:space="preserve"> </w:t>
      </w:r>
      <w:r w:rsidR="00CB071F" w:rsidRPr="003E3695">
        <w:rPr>
          <w:rFonts w:ascii="Times New Roman" w:hAnsi="Times New Roman"/>
        </w:rPr>
        <w:t>koji</w:t>
      </w:r>
      <w:r w:rsidR="00CB071F" w:rsidRPr="003E3695">
        <w:rPr>
          <w:rFonts w:ascii="Times New Roman" w:hAnsi="Times New Roman"/>
          <w:lang w:val="bs-Latn-BA"/>
        </w:rPr>
        <w:t xml:space="preserve"> </w:t>
      </w:r>
      <w:r w:rsidR="00CB071F" w:rsidRPr="003E3695">
        <w:rPr>
          <w:rFonts w:ascii="Times New Roman" w:hAnsi="Times New Roman"/>
        </w:rPr>
        <w:t>zahtijevaju</w:t>
      </w:r>
      <w:r w:rsidR="00CB071F" w:rsidRPr="003E3695">
        <w:rPr>
          <w:rFonts w:ascii="Times New Roman" w:hAnsi="Times New Roman"/>
          <w:lang w:val="bs-Latn-BA"/>
        </w:rPr>
        <w:t xml:space="preserve"> </w:t>
      </w:r>
      <w:r w:rsidR="00CB071F" w:rsidRPr="003E3695">
        <w:rPr>
          <w:rFonts w:ascii="Times New Roman" w:hAnsi="Times New Roman"/>
        </w:rPr>
        <w:t>stalni</w:t>
      </w:r>
      <w:r w:rsidR="00CB071F" w:rsidRPr="003E3695">
        <w:rPr>
          <w:rFonts w:ascii="Times New Roman" w:hAnsi="Times New Roman"/>
          <w:lang w:val="bs-Latn-BA"/>
        </w:rPr>
        <w:t xml:space="preserve"> </w:t>
      </w:r>
      <w:r w:rsidR="00CB071F" w:rsidRPr="003E3695">
        <w:rPr>
          <w:rFonts w:ascii="Times New Roman" w:hAnsi="Times New Roman"/>
        </w:rPr>
        <w:t>nadzor</w:t>
      </w:r>
      <w:r w:rsidR="00CB071F" w:rsidRPr="003E3695">
        <w:rPr>
          <w:rFonts w:ascii="Times New Roman" w:hAnsi="Times New Roman"/>
          <w:lang w:val="bs-Latn-BA"/>
        </w:rPr>
        <w:t xml:space="preserve">. </w:t>
      </w:r>
      <w:r w:rsidR="00CB071F" w:rsidRPr="003E3695">
        <w:rPr>
          <w:rFonts w:ascii="Times New Roman" w:hAnsi="Times New Roman"/>
        </w:rPr>
        <w:t>Na području Federacije BiH, na centralni s</w:t>
      </w:r>
      <w:r>
        <w:rPr>
          <w:rFonts w:ascii="Times New Roman" w:hAnsi="Times New Roman"/>
        </w:rPr>
        <w:t>ustav</w:t>
      </w:r>
      <w:r w:rsidR="00CB071F" w:rsidRPr="003E3695">
        <w:rPr>
          <w:rFonts w:ascii="Times New Roman" w:hAnsi="Times New Roman"/>
        </w:rPr>
        <w:t xml:space="preserve"> vodo</w:t>
      </w:r>
      <w:r>
        <w:rPr>
          <w:rFonts w:ascii="Times New Roman" w:hAnsi="Times New Roman"/>
        </w:rPr>
        <w:t>opskrbe</w:t>
      </w:r>
      <w:r w:rsidR="00CB071F" w:rsidRPr="003E3695">
        <w:rPr>
          <w:rFonts w:ascii="Times New Roman" w:hAnsi="Times New Roman"/>
        </w:rPr>
        <w:t xml:space="preserve"> priključeno </w:t>
      </w:r>
      <w:r>
        <w:rPr>
          <w:rFonts w:ascii="Times New Roman" w:hAnsi="Times New Roman"/>
        </w:rPr>
        <w:t xml:space="preserve">je </w:t>
      </w:r>
      <w:r w:rsidR="00CB071F" w:rsidRPr="003E3695">
        <w:rPr>
          <w:rFonts w:ascii="Times New Roman" w:hAnsi="Times New Roman"/>
        </w:rPr>
        <w:t>60% stanovništva, a poboljšane izvore vode za piće (voda iz vodovoda, zaštićeni bunar, zaštićeni izvor) koristi 99,6% stanovništva. Na kanalizaci</w:t>
      </w:r>
      <w:r>
        <w:rPr>
          <w:rFonts w:ascii="Times New Roman" w:hAnsi="Times New Roman"/>
        </w:rPr>
        <w:t>jski sustav</w:t>
      </w:r>
      <w:r w:rsidR="00CB071F" w:rsidRPr="003E3695">
        <w:rPr>
          <w:rFonts w:ascii="Times New Roman" w:hAnsi="Times New Roman"/>
        </w:rPr>
        <w:t xml:space="preserve"> priključeno </w:t>
      </w:r>
      <w:r>
        <w:rPr>
          <w:rFonts w:ascii="Times New Roman" w:hAnsi="Times New Roman"/>
        </w:rPr>
        <w:t xml:space="preserve">je </w:t>
      </w:r>
      <w:r w:rsidR="00CB071F" w:rsidRPr="003E3695">
        <w:rPr>
          <w:rFonts w:ascii="Times New Roman" w:hAnsi="Times New Roman"/>
        </w:rPr>
        <w:t xml:space="preserve">57,5% stanovništva. </w:t>
      </w:r>
    </w:p>
    <w:p w:rsidR="00CB071F" w:rsidRPr="003E3695" w:rsidRDefault="00CB071F" w:rsidP="003E3695">
      <w:pPr>
        <w:spacing w:after="160" w:line="276" w:lineRule="auto"/>
        <w:rPr>
          <w:rFonts w:ascii="Times New Roman" w:eastAsiaTheme="minorHAnsi" w:hAnsi="Times New Roman"/>
          <w:lang w:val="bs-Latn-BA"/>
        </w:rPr>
      </w:pPr>
    </w:p>
    <w:p w:rsidR="00CB071F" w:rsidRPr="003E3695" w:rsidRDefault="00CB071F" w:rsidP="003E3695">
      <w:pPr>
        <w:spacing w:line="276" w:lineRule="auto"/>
        <w:rPr>
          <w:rFonts w:ascii="Times New Roman" w:hAnsi="Times New Roman"/>
        </w:rPr>
      </w:pPr>
      <w:r w:rsidRPr="003E3695">
        <w:rPr>
          <w:rFonts w:ascii="Times New Roman" w:hAnsi="Times New Roman"/>
        </w:rPr>
        <w:t xml:space="preserve">Nepropisno uklanjanje opasnih otpadnih materija, naročito industrijskog i medicinskog otpada, predstavlja jednu od najozbiljnijih prijetnji zdravlju stanovništva. Na komunalnim deponijama se odlaže 55% potencijalno infektivnog, 23% </w:t>
      </w:r>
      <w:r w:rsidR="00294C0A">
        <w:rPr>
          <w:rFonts w:ascii="Times New Roman" w:hAnsi="Times New Roman"/>
        </w:rPr>
        <w:t>k</w:t>
      </w:r>
      <w:r w:rsidRPr="003E3695">
        <w:rPr>
          <w:rFonts w:ascii="Times New Roman" w:hAnsi="Times New Roman"/>
        </w:rPr>
        <w:t xml:space="preserve">emijskog i 20% farmaceutskog otpada iz zdravstvenih ustanova. </w:t>
      </w:r>
    </w:p>
    <w:p w:rsidR="00CB071F" w:rsidRPr="003E3695" w:rsidRDefault="00CB071F" w:rsidP="003E3695">
      <w:pPr>
        <w:spacing w:line="276" w:lineRule="auto"/>
        <w:rPr>
          <w:rFonts w:ascii="Times New Roman" w:hAnsi="Times New Roman"/>
        </w:rPr>
      </w:pPr>
      <w:r w:rsidRPr="003E3695">
        <w:rPr>
          <w:rFonts w:ascii="Times New Roman" w:hAnsi="Times New Roman"/>
        </w:rPr>
        <w:t>Nekontroli</w:t>
      </w:r>
      <w:r w:rsidR="00294C0A">
        <w:rPr>
          <w:rFonts w:ascii="Times New Roman" w:hAnsi="Times New Roman"/>
        </w:rPr>
        <w:t>r</w:t>
      </w:r>
      <w:r w:rsidRPr="003E3695">
        <w:rPr>
          <w:rFonts w:ascii="Times New Roman" w:hAnsi="Times New Roman"/>
        </w:rPr>
        <w:t>ano odlaganje i stvaranje „divljih deponija“ karakteristično je za čvrsti otpad, dok se tečne otpadne materije u većini slučajeva ulijevaju u vodotoke bez prethodnog prečišćavanja.</w:t>
      </w:r>
    </w:p>
    <w:p w:rsidR="00CB071F" w:rsidRPr="003E3695" w:rsidRDefault="00CB071F" w:rsidP="003E3695">
      <w:pPr>
        <w:spacing w:after="160" w:line="276" w:lineRule="auto"/>
        <w:rPr>
          <w:rFonts w:ascii="Times New Roman" w:eastAsiaTheme="minorHAnsi" w:hAnsi="Times New Roman"/>
          <w:lang w:val="bs-Latn-BA"/>
        </w:rPr>
      </w:pPr>
    </w:p>
    <w:p w:rsidR="00CB071F" w:rsidRPr="003E3695" w:rsidRDefault="00CB071F" w:rsidP="003E3695">
      <w:pPr>
        <w:spacing w:line="276" w:lineRule="auto"/>
        <w:rPr>
          <w:rFonts w:ascii="Times New Roman" w:hAnsi="Times New Roman"/>
        </w:rPr>
      </w:pPr>
      <w:r w:rsidRPr="003E3695">
        <w:rPr>
          <w:rFonts w:ascii="Times New Roman" w:hAnsi="Times New Roman"/>
        </w:rPr>
        <w:t>U</w:t>
      </w:r>
      <w:r w:rsidRPr="003E3695">
        <w:rPr>
          <w:rFonts w:ascii="Times New Roman" w:hAnsi="Times New Roman"/>
          <w:lang w:val="bs-Latn-BA"/>
        </w:rPr>
        <w:t xml:space="preserve"> </w:t>
      </w:r>
      <w:r w:rsidR="00294C0A">
        <w:rPr>
          <w:rFonts w:ascii="Times New Roman" w:hAnsi="Times New Roman"/>
        </w:rPr>
        <w:t>razdoblju</w:t>
      </w:r>
      <w:r w:rsidRPr="003E3695">
        <w:rPr>
          <w:rFonts w:ascii="Times New Roman" w:hAnsi="Times New Roman"/>
          <w:lang w:val="bs-Latn-BA"/>
        </w:rPr>
        <w:t xml:space="preserve"> 2013-2015. </w:t>
      </w:r>
      <w:r w:rsidRPr="003E3695">
        <w:rPr>
          <w:rFonts w:ascii="Times New Roman" w:hAnsi="Times New Roman"/>
        </w:rPr>
        <w:t>godine</w:t>
      </w:r>
      <w:r w:rsidRPr="003E3695">
        <w:rPr>
          <w:rFonts w:ascii="Times New Roman" w:hAnsi="Times New Roman"/>
          <w:lang w:val="bs-Latn-BA"/>
        </w:rPr>
        <w:t xml:space="preserve">, </w:t>
      </w:r>
      <w:r w:rsidRPr="003E3695">
        <w:rPr>
          <w:rFonts w:ascii="Times New Roman" w:hAnsi="Times New Roman"/>
        </w:rPr>
        <w:t>na</w:t>
      </w:r>
      <w:r w:rsidRPr="003E3695">
        <w:rPr>
          <w:rFonts w:ascii="Times New Roman" w:hAnsi="Times New Roman"/>
          <w:lang w:val="bs-Latn-BA"/>
        </w:rPr>
        <w:t xml:space="preserve"> </w:t>
      </w:r>
      <w:r w:rsidRPr="003E3695">
        <w:rPr>
          <w:rFonts w:ascii="Times New Roman" w:hAnsi="Times New Roman"/>
        </w:rPr>
        <w:t>podru</w:t>
      </w:r>
      <w:r w:rsidRPr="003E3695">
        <w:rPr>
          <w:rFonts w:ascii="Times New Roman" w:hAnsi="Times New Roman"/>
          <w:lang w:val="bs-Latn-BA"/>
        </w:rPr>
        <w:t>č</w:t>
      </w:r>
      <w:r w:rsidRPr="003E3695">
        <w:rPr>
          <w:rFonts w:ascii="Times New Roman" w:hAnsi="Times New Roman"/>
        </w:rPr>
        <w:t>ju</w:t>
      </w:r>
      <w:r w:rsidRPr="003E3695">
        <w:rPr>
          <w:rFonts w:ascii="Times New Roman" w:hAnsi="Times New Roman"/>
          <w:lang w:val="bs-Latn-BA"/>
        </w:rPr>
        <w:t xml:space="preserve"> </w:t>
      </w:r>
      <w:r w:rsidRPr="003E3695">
        <w:rPr>
          <w:rFonts w:ascii="Times New Roman" w:hAnsi="Times New Roman"/>
        </w:rPr>
        <w:t>Federacije</w:t>
      </w:r>
      <w:r w:rsidRPr="003E3695">
        <w:rPr>
          <w:rFonts w:ascii="Times New Roman" w:hAnsi="Times New Roman"/>
          <w:lang w:val="bs-Latn-BA"/>
        </w:rPr>
        <w:t xml:space="preserve"> </w:t>
      </w:r>
      <w:r w:rsidRPr="003E3695">
        <w:rPr>
          <w:rFonts w:ascii="Times New Roman" w:hAnsi="Times New Roman"/>
        </w:rPr>
        <w:t>BiH</w:t>
      </w:r>
      <w:r w:rsidRPr="003E3695">
        <w:rPr>
          <w:rFonts w:ascii="Times New Roman" w:hAnsi="Times New Roman"/>
          <w:lang w:val="bs-Latn-BA"/>
        </w:rPr>
        <w:t xml:space="preserve"> </w:t>
      </w:r>
      <w:r w:rsidRPr="003E3695">
        <w:rPr>
          <w:rFonts w:ascii="Times New Roman" w:hAnsi="Times New Roman"/>
        </w:rPr>
        <w:t>od</w:t>
      </w:r>
      <w:r w:rsidRPr="003E3695">
        <w:rPr>
          <w:rFonts w:ascii="Times New Roman" w:hAnsi="Times New Roman"/>
          <w:lang w:val="bs-Latn-BA"/>
        </w:rPr>
        <w:t xml:space="preserve"> </w:t>
      </w:r>
      <w:r w:rsidRPr="003E3695">
        <w:rPr>
          <w:rFonts w:ascii="Times New Roman" w:hAnsi="Times New Roman"/>
        </w:rPr>
        <w:t>mina</w:t>
      </w:r>
      <w:r w:rsidRPr="003E3695">
        <w:rPr>
          <w:rFonts w:ascii="Times New Roman" w:hAnsi="Times New Roman"/>
          <w:lang w:val="bs-Latn-BA"/>
        </w:rPr>
        <w:t xml:space="preserve"> </w:t>
      </w:r>
      <w:r w:rsidRPr="003E3695">
        <w:rPr>
          <w:rFonts w:ascii="Times New Roman" w:hAnsi="Times New Roman"/>
        </w:rPr>
        <w:t>i</w:t>
      </w:r>
      <w:r w:rsidRPr="003E3695">
        <w:rPr>
          <w:rFonts w:ascii="Times New Roman" w:hAnsi="Times New Roman"/>
          <w:lang w:val="bs-Latn-BA"/>
        </w:rPr>
        <w:t xml:space="preserve"> </w:t>
      </w:r>
      <w:r w:rsidRPr="003E3695">
        <w:rPr>
          <w:rFonts w:ascii="Times New Roman" w:hAnsi="Times New Roman"/>
        </w:rPr>
        <w:t>eksplozivnih</w:t>
      </w:r>
      <w:r w:rsidRPr="003E3695">
        <w:rPr>
          <w:rFonts w:ascii="Times New Roman" w:hAnsi="Times New Roman"/>
          <w:lang w:val="bs-Latn-BA"/>
        </w:rPr>
        <w:t xml:space="preserve"> </w:t>
      </w:r>
      <w:r w:rsidRPr="003E3695">
        <w:rPr>
          <w:rFonts w:ascii="Times New Roman" w:hAnsi="Times New Roman"/>
        </w:rPr>
        <w:t>sredstava</w:t>
      </w:r>
      <w:r w:rsidRPr="003E3695">
        <w:rPr>
          <w:rFonts w:ascii="Times New Roman" w:hAnsi="Times New Roman"/>
          <w:lang w:val="bs-Latn-BA"/>
        </w:rPr>
        <w:t xml:space="preserve"> </w:t>
      </w:r>
      <w:r w:rsidRPr="003E3695">
        <w:rPr>
          <w:rFonts w:ascii="Times New Roman" w:hAnsi="Times New Roman"/>
        </w:rPr>
        <w:t>povrije</w:t>
      </w:r>
      <w:r w:rsidRPr="003E3695">
        <w:rPr>
          <w:rFonts w:ascii="Times New Roman" w:hAnsi="Times New Roman"/>
          <w:lang w:val="bs-Latn-BA"/>
        </w:rPr>
        <w:t>đ</w:t>
      </w:r>
      <w:r w:rsidRPr="003E3695">
        <w:rPr>
          <w:rFonts w:ascii="Times New Roman" w:hAnsi="Times New Roman"/>
        </w:rPr>
        <w:t>eno</w:t>
      </w:r>
      <w:r w:rsidRPr="003E3695">
        <w:rPr>
          <w:rFonts w:ascii="Times New Roman" w:hAnsi="Times New Roman"/>
          <w:lang w:val="bs-Latn-BA"/>
        </w:rPr>
        <w:t xml:space="preserve"> </w:t>
      </w:r>
      <w:r w:rsidRPr="003E3695">
        <w:rPr>
          <w:rFonts w:ascii="Times New Roman" w:hAnsi="Times New Roman"/>
        </w:rPr>
        <w:t>je 15</w:t>
      </w:r>
      <w:r w:rsidRPr="003E3695">
        <w:rPr>
          <w:rFonts w:ascii="Times New Roman" w:hAnsi="Times New Roman"/>
          <w:lang w:val="bs-Latn-BA"/>
        </w:rPr>
        <w:t xml:space="preserve">, </w:t>
      </w:r>
      <w:r w:rsidRPr="003E3695">
        <w:rPr>
          <w:rFonts w:ascii="Times New Roman" w:hAnsi="Times New Roman"/>
        </w:rPr>
        <w:t>dok</w:t>
      </w:r>
      <w:r w:rsidRPr="003E3695">
        <w:rPr>
          <w:rFonts w:ascii="Times New Roman" w:hAnsi="Times New Roman"/>
          <w:lang w:val="bs-Latn-BA"/>
        </w:rPr>
        <w:t xml:space="preserve"> </w:t>
      </w:r>
      <w:r w:rsidRPr="003E3695">
        <w:rPr>
          <w:rFonts w:ascii="Times New Roman" w:hAnsi="Times New Roman"/>
        </w:rPr>
        <w:t>je</w:t>
      </w:r>
      <w:r w:rsidRPr="003E3695">
        <w:rPr>
          <w:rFonts w:ascii="Times New Roman" w:hAnsi="Times New Roman"/>
          <w:lang w:val="bs-Latn-BA"/>
        </w:rPr>
        <w:t xml:space="preserve"> </w:t>
      </w:r>
      <w:r w:rsidRPr="003E3695">
        <w:rPr>
          <w:rFonts w:ascii="Times New Roman" w:hAnsi="Times New Roman"/>
        </w:rPr>
        <w:t>smrtno</w:t>
      </w:r>
      <w:r w:rsidRPr="003E3695">
        <w:rPr>
          <w:rFonts w:ascii="Times New Roman" w:hAnsi="Times New Roman"/>
          <w:lang w:val="bs-Latn-BA"/>
        </w:rPr>
        <w:t xml:space="preserve"> </w:t>
      </w:r>
      <w:r w:rsidRPr="003E3695">
        <w:rPr>
          <w:rFonts w:ascii="Times New Roman" w:hAnsi="Times New Roman"/>
        </w:rPr>
        <w:t>stradalo</w:t>
      </w:r>
      <w:r w:rsidRPr="003E3695">
        <w:rPr>
          <w:rFonts w:ascii="Times New Roman" w:hAnsi="Times New Roman"/>
          <w:lang w:val="bs-Latn-BA"/>
        </w:rPr>
        <w:t xml:space="preserve"> 8 </w:t>
      </w:r>
      <w:r w:rsidRPr="003E3695">
        <w:rPr>
          <w:rFonts w:ascii="Times New Roman" w:hAnsi="Times New Roman"/>
        </w:rPr>
        <w:t>osoba</w:t>
      </w:r>
      <w:r w:rsidRPr="003E3695">
        <w:rPr>
          <w:rFonts w:ascii="Times New Roman" w:hAnsi="Times New Roman"/>
          <w:lang w:val="bs-Latn-BA"/>
        </w:rPr>
        <w:t>.</w:t>
      </w:r>
    </w:p>
    <w:p w:rsidR="00CB071F" w:rsidRPr="003E3695" w:rsidRDefault="00CB071F" w:rsidP="003E3695">
      <w:pPr>
        <w:spacing w:line="276" w:lineRule="auto"/>
        <w:rPr>
          <w:rFonts w:ascii="Times New Roman" w:hAnsi="Times New Roman"/>
        </w:rPr>
      </w:pPr>
    </w:p>
    <w:p w:rsidR="00CB071F" w:rsidRPr="003E3695" w:rsidRDefault="00CB071F" w:rsidP="003E3695">
      <w:pPr>
        <w:spacing w:after="160" w:line="276" w:lineRule="auto"/>
        <w:rPr>
          <w:rFonts w:ascii="Times New Roman" w:eastAsiaTheme="minorHAnsi" w:hAnsi="Times New Roman"/>
          <w:b/>
          <w:lang w:val="bs-Latn-BA"/>
        </w:rPr>
      </w:pPr>
      <w:r w:rsidRPr="003E3695">
        <w:rPr>
          <w:rFonts w:ascii="Times New Roman" w:eastAsiaTheme="minorHAnsi" w:hAnsi="Times New Roman"/>
          <w:b/>
          <w:lang w:val="bs-Latn-BA"/>
        </w:rPr>
        <w:t>Organizacija zdravstvene zaštite</w:t>
      </w:r>
    </w:p>
    <w:p w:rsidR="00CB071F" w:rsidRPr="003E3695" w:rsidRDefault="00CB071F" w:rsidP="003E3695">
      <w:pPr>
        <w:spacing w:line="276" w:lineRule="auto"/>
        <w:rPr>
          <w:rFonts w:ascii="Times New Roman" w:hAnsi="Times New Roman"/>
        </w:rPr>
      </w:pPr>
      <w:r w:rsidRPr="003E3695">
        <w:rPr>
          <w:rFonts w:ascii="Times New Roman" w:hAnsi="Times New Roman"/>
        </w:rPr>
        <w:t xml:space="preserve">U poređenju sa prosjekom </w:t>
      </w:r>
      <w:r w:rsidR="00294C0A">
        <w:rPr>
          <w:rFonts w:ascii="Times New Roman" w:hAnsi="Times New Roman"/>
        </w:rPr>
        <w:t>eu</w:t>
      </w:r>
      <w:r w:rsidRPr="003E3695">
        <w:rPr>
          <w:rFonts w:ascii="Times New Roman" w:hAnsi="Times New Roman"/>
        </w:rPr>
        <w:t>ropsk</w:t>
      </w:r>
      <w:r w:rsidR="00294C0A">
        <w:rPr>
          <w:rFonts w:ascii="Times New Roman" w:hAnsi="Times New Roman"/>
        </w:rPr>
        <w:t>e</w:t>
      </w:r>
      <w:r w:rsidRPr="003E3695">
        <w:rPr>
          <w:rFonts w:ascii="Times New Roman" w:hAnsi="Times New Roman"/>
        </w:rPr>
        <w:t xml:space="preserve"> regi</w:t>
      </w:r>
      <w:r w:rsidR="00294C0A">
        <w:rPr>
          <w:rFonts w:ascii="Times New Roman" w:hAnsi="Times New Roman"/>
        </w:rPr>
        <w:t>je</w:t>
      </w:r>
      <w:r w:rsidRPr="00F311A8">
        <w:rPr>
          <w:rFonts w:ascii="Times New Roman" w:hAnsi="Times New Roman"/>
        </w:rPr>
        <w:t>, o</w:t>
      </w:r>
      <w:r w:rsidR="00294C0A" w:rsidRPr="00F311A8">
        <w:rPr>
          <w:rFonts w:ascii="Times New Roman" w:hAnsi="Times New Roman"/>
        </w:rPr>
        <w:t>siguranost</w:t>
      </w:r>
      <w:r w:rsidRPr="00F311A8">
        <w:rPr>
          <w:rFonts w:ascii="Times New Roman" w:hAnsi="Times New Roman"/>
        </w:rPr>
        <w:t xml:space="preserve"> stanovništva zdravstvenim </w:t>
      </w:r>
      <w:r w:rsidR="00294C0A" w:rsidRPr="00F311A8">
        <w:rPr>
          <w:rFonts w:ascii="Times New Roman" w:hAnsi="Times New Roman"/>
        </w:rPr>
        <w:t>djelatnicima</w:t>
      </w:r>
      <w:r w:rsidRPr="00F311A8">
        <w:rPr>
          <w:rFonts w:ascii="Times New Roman" w:hAnsi="Times New Roman"/>
        </w:rPr>
        <w:t xml:space="preserve"> u </w:t>
      </w:r>
      <w:r w:rsidRPr="003E3695">
        <w:rPr>
          <w:rFonts w:ascii="Times New Roman" w:hAnsi="Times New Roman"/>
        </w:rPr>
        <w:t xml:space="preserve">Federaciji BiH je niska. </w:t>
      </w:r>
      <w:r w:rsidRPr="003E3695">
        <w:rPr>
          <w:rFonts w:ascii="Times New Roman" w:eastAsiaTheme="minorHAnsi" w:hAnsi="Times New Roman"/>
          <w:lang w:val="bs-Latn-BA"/>
        </w:rPr>
        <w:t>Prema poda</w:t>
      </w:r>
      <w:r w:rsidR="00294C0A">
        <w:rPr>
          <w:rFonts w:ascii="Times New Roman" w:eastAsiaTheme="minorHAnsi" w:hAnsi="Times New Roman"/>
          <w:lang w:val="bs-Latn-BA"/>
        </w:rPr>
        <w:t>t</w:t>
      </w:r>
      <w:r w:rsidRPr="003E3695">
        <w:rPr>
          <w:rFonts w:ascii="Times New Roman" w:eastAsiaTheme="minorHAnsi" w:hAnsi="Times New Roman"/>
          <w:lang w:val="bs-Latn-BA"/>
        </w:rPr>
        <w:t>cima redov</w:t>
      </w:r>
      <w:r w:rsidR="00294C0A">
        <w:rPr>
          <w:rFonts w:ascii="Times New Roman" w:eastAsiaTheme="minorHAnsi" w:hAnsi="Times New Roman"/>
          <w:lang w:val="bs-Latn-BA"/>
        </w:rPr>
        <w:t>it</w:t>
      </w:r>
      <w:r w:rsidRPr="003E3695">
        <w:rPr>
          <w:rFonts w:ascii="Times New Roman" w:eastAsiaTheme="minorHAnsi" w:hAnsi="Times New Roman"/>
          <w:lang w:val="bs-Latn-BA"/>
        </w:rPr>
        <w:t xml:space="preserve">e zdravstvene statistike, u 2015. godini je u zdravstvenim ustanovama u javnom sektoru bilo zaposleno ukupno 26.435 </w:t>
      </w:r>
      <w:r w:rsidR="00C861DA">
        <w:rPr>
          <w:rFonts w:ascii="Times New Roman" w:eastAsiaTheme="minorHAnsi" w:hAnsi="Times New Roman"/>
          <w:lang w:val="bs-Latn-BA"/>
        </w:rPr>
        <w:t>uposlenika</w:t>
      </w:r>
      <w:r w:rsidRPr="003E3695">
        <w:rPr>
          <w:rFonts w:ascii="Times New Roman" w:eastAsiaTheme="minorHAnsi" w:hAnsi="Times New Roman"/>
          <w:lang w:val="bs-Latn-BA"/>
        </w:rPr>
        <w:t xml:space="preserve"> (stopa 1.132/100.000 stanovnika), što u odnosu na 2010. godinu predstavlja povećanje za 3,4%. U zavodima zdravstvenog osiguranja i reosiguranja u Federaciji BiH su u 2015. godini bila </w:t>
      </w:r>
      <w:r w:rsidR="00294C0A">
        <w:rPr>
          <w:rFonts w:ascii="Times New Roman" w:eastAsiaTheme="minorHAnsi" w:hAnsi="Times New Roman"/>
          <w:lang w:val="bs-Latn-BA"/>
        </w:rPr>
        <w:t>u</w:t>
      </w:r>
      <w:r w:rsidRPr="003E3695">
        <w:rPr>
          <w:rFonts w:ascii="Times New Roman" w:eastAsiaTheme="minorHAnsi" w:hAnsi="Times New Roman"/>
          <w:lang w:val="bs-Latn-BA"/>
        </w:rPr>
        <w:t xml:space="preserve">poslena 833 </w:t>
      </w:r>
      <w:r w:rsidR="00C861DA">
        <w:rPr>
          <w:rFonts w:ascii="Times New Roman" w:eastAsiaTheme="minorHAnsi" w:hAnsi="Times New Roman"/>
          <w:lang w:val="bs-Latn-BA"/>
        </w:rPr>
        <w:t>djelatnika</w:t>
      </w:r>
      <w:r w:rsidRPr="003E3695">
        <w:rPr>
          <w:rFonts w:ascii="Times New Roman" w:eastAsiaTheme="minorHAnsi" w:hAnsi="Times New Roman"/>
          <w:lang w:val="bs-Latn-BA"/>
        </w:rPr>
        <w:t>, a u privatnim zdravstvenim ustanovama/privatnoj praksi je registr</w:t>
      </w:r>
      <w:r w:rsidR="00294C0A">
        <w:rPr>
          <w:rFonts w:ascii="Times New Roman" w:eastAsiaTheme="minorHAnsi" w:hAnsi="Times New Roman"/>
          <w:lang w:val="bs-Latn-BA"/>
        </w:rPr>
        <w:t xml:space="preserve">irano </w:t>
      </w:r>
      <w:r w:rsidRPr="003E3695">
        <w:rPr>
          <w:rFonts w:ascii="Times New Roman" w:eastAsiaTheme="minorHAnsi" w:hAnsi="Times New Roman"/>
          <w:lang w:val="bs-Latn-BA"/>
        </w:rPr>
        <w:t xml:space="preserve">3.429 </w:t>
      </w:r>
      <w:r w:rsidR="00294C0A">
        <w:rPr>
          <w:rFonts w:ascii="Times New Roman" w:eastAsiaTheme="minorHAnsi" w:hAnsi="Times New Roman"/>
          <w:lang w:val="bs-Latn-BA"/>
        </w:rPr>
        <w:t>u</w:t>
      </w:r>
      <w:r w:rsidRPr="003E3695">
        <w:rPr>
          <w:rFonts w:ascii="Times New Roman" w:eastAsiaTheme="minorHAnsi" w:hAnsi="Times New Roman"/>
          <w:lang w:val="bs-Latn-BA"/>
        </w:rPr>
        <w:t>poslenih.</w:t>
      </w:r>
    </w:p>
    <w:p w:rsidR="00CB071F" w:rsidRPr="003E3695" w:rsidRDefault="00CB071F" w:rsidP="003E3695">
      <w:pPr>
        <w:spacing w:line="276" w:lineRule="auto"/>
        <w:rPr>
          <w:rFonts w:ascii="Times New Roman" w:hAnsi="Times New Roman"/>
        </w:rPr>
      </w:pPr>
    </w:p>
    <w:p w:rsidR="00CB071F" w:rsidRPr="003E3695" w:rsidRDefault="00CB071F" w:rsidP="003E3695">
      <w:pPr>
        <w:spacing w:line="276" w:lineRule="auto"/>
        <w:rPr>
          <w:rFonts w:ascii="Times New Roman" w:hAnsi="Times New Roman"/>
        </w:rPr>
      </w:pPr>
      <w:r w:rsidRPr="003E3695">
        <w:rPr>
          <w:rFonts w:ascii="Times New Roman" w:hAnsi="Times New Roman"/>
        </w:rPr>
        <w:t>Starosna struktura doktora medicine u FBiH je nepovoljna, tako je u 2015. godini četvrtina ukupnih  dok</w:t>
      </w:r>
      <w:r w:rsidR="00294C0A">
        <w:rPr>
          <w:rFonts w:ascii="Times New Roman" w:hAnsi="Times New Roman"/>
        </w:rPr>
        <w:t>tora medicine (25,5%) bila</w:t>
      </w:r>
      <w:r w:rsidRPr="003E3695">
        <w:rPr>
          <w:rFonts w:ascii="Times New Roman" w:hAnsi="Times New Roman"/>
        </w:rPr>
        <w:t xml:space="preserve"> starosti 55 i više godina,  uz preko četvrtinu doktora starosti 45-54 godine (26,2%). Zabrinjavajuća je činjenica da je preko polovine specijalista medicine rada (66,7%), radi</w:t>
      </w:r>
      <w:r w:rsidR="00294C0A">
        <w:rPr>
          <w:rFonts w:ascii="Times New Roman" w:hAnsi="Times New Roman"/>
        </w:rPr>
        <w:t>o</w:t>
      </w:r>
      <w:r w:rsidRPr="003E3695">
        <w:rPr>
          <w:rFonts w:ascii="Times New Roman" w:hAnsi="Times New Roman"/>
        </w:rPr>
        <w:t>logije (57,1%) i pneumoftiziologije (54,5%) starije od 55 godina, uz značajan procenat starijih među specijalistima ostalih disciplina. Uz ovo,</w:t>
      </w:r>
      <w:r w:rsidR="00294C0A">
        <w:rPr>
          <w:rFonts w:ascii="Times New Roman" w:hAnsi="Times New Roman"/>
        </w:rPr>
        <w:t xml:space="preserve"> </w:t>
      </w:r>
      <w:r w:rsidRPr="003E3695">
        <w:rPr>
          <w:rFonts w:ascii="Times New Roman" w:hAnsi="Times New Roman"/>
        </w:rPr>
        <w:t xml:space="preserve">čak dvije petine specijalista pedijatrije  (39,9%) i blizu četvrtine specijalista obiteljske medicine (24,3%) je starije od 55 godina.  </w:t>
      </w:r>
    </w:p>
    <w:p w:rsidR="00CB071F" w:rsidRPr="003E3695" w:rsidRDefault="00CB071F" w:rsidP="003E3695">
      <w:pPr>
        <w:autoSpaceDE w:val="0"/>
        <w:autoSpaceDN w:val="0"/>
        <w:adjustRightInd w:val="0"/>
        <w:spacing w:line="276" w:lineRule="auto"/>
        <w:rPr>
          <w:rFonts w:ascii="Times New Roman" w:eastAsiaTheme="minorHAnsi" w:hAnsi="Times New Roman"/>
          <w:lang w:val="bs-Latn-BA"/>
        </w:rPr>
      </w:pPr>
    </w:p>
    <w:p w:rsidR="00CB071F" w:rsidRPr="003E3695" w:rsidRDefault="00CB071F" w:rsidP="003E3695">
      <w:pPr>
        <w:autoSpaceDE w:val="0"/>
        <w:autoSpaceDN w:val="0"/>
        <w:adjustRightInd w:val="0"/>
        <w:spacing w:line="276" w:lineRule="auto"/>
        <w:rPr>
          <w:rFonts w:ascii="Times New Roman" w:eastAsiaTheme="minorHAnsi" w:hAnsi="Times New Roman"/>
          <w:lang w:val="bs-Latn-BA"/>
        </w:rPr>
      </w:pPr>
      <w:r w:rsidRPr="003E3695">
        <w:rPr>
          <w:rFonts w:ascii="Times New Roman" w:eastAsiaTheme="minorHAnsi" w:hAnsi="Times New Roman"/>
          <w:lang w:val="bs-Latn-BA"/>
        </w:rPr>
        <w:t xml:space="preserve">Iako Federacija BiH ima manji broj bolničkih postelja u odnosu na zemlje u okruženju i prosjek </w:t>
      </w:r>
      <w:r w:rsidR="00294C0A">
        <w:rPr>
          <w:rFonts w:ascii="Times New Roman" w:eastAsiaTheme="minorHAnsi" w:hAnsi="Times New Roman"/>
          <w:lang w:val="bs-Latn-BA"/>
        </w:rPr>
        <w:t>eu</w:t>
      </w:r>
      <w:r w:rsidRPr="003E3695">
        <w:rPr>
          <w:rFonts w:ascii="Times New Roman" w:eastAsiaTheme="minorHAnsi" w:hAnsi="Times New Roman"/>
          <w:lang w:val="bs-Latn-BA"/>
        </w:rPr>
        <w:t>ropsk</w:t>
      </w:r>
      <w:r w:rsidR="00294C0A">
        <w:rPr>
          <w:rFonts w:ascii="Times New Roman" w:eastAsiaTheme="minorHAnsi" w:hAnsi="Times New Roman"/>
          <w:lang w:val="bs-Latn-BA"/>
        </w:rPr>
        <w:t>e</w:t>
      </w:r>
      <w:r w:rsidRPr="003E3695">
        <w:rPr>
          <w:rFonts w:ascii="Times New Roman" w:eastAsiaTheme="minorHAnsi" w:hAnsi="Times New Roman"/>
          <w:lang w:val="bs-Latn-BA"/>
        </w:rPr>
        <w:t xml:space="preserve"> regi</w:t>
      </w:r>
      <w:r w:rsidR="00294C0A">
        <w:rPr>
          <w:rFonts w:ascii="Times New Roman" w:eastAsiaTheme="minorHAnsi" w:hAnsi="Times New Roman"/>
          <w:lang w:val="bs-Latn-BA"/>
        </w:rPr>
        <w:t>je</w:t>
      </w:r>
      <w:r w:rsidRPr="003E3695">
        <w:rPr>
          <w:rFonts w:ascii="Times New Roman" w:eastAsiaTheme="minorHAnsi" w:hAnsi="Times New Roman"/>
          <w:lang w:val="bs-Latn-BA"/>
        </w:rPr>
        <w:t>, evidentna je nedovoljna iskorištenost bolničkih kapaciteta, što ukazuje na potrebu njihove racionalizacije. Prosječna zauzetost postelja i dužina ležanja u bolnici u Federaciji BiH je u 2015. godini smanjena u odnosu na pre</w:t>
      </w:r>
      <w:r w:rsidR="00294C0A">
        <w:rPr>
          <w:rFonts w:ascii="Times New Roman" w:eastAsiaTheme="minorHAnsi" w:hAnsi="Times New Roman"/>
          <w:lang w:val="bs-Latn-BA"/>
        </w:rPr>
        <w:t>t</w:t>
      </w:r>
      <w:r w:rsidRPr="003E3695">
        <w:rPr>
          <w:rFonts w:ascii="Times New Roman" w:eastAsiaTheme="minorHAnsi" w:hAnsi="Times New Roman"/>
          <w:lang w:val="bs-Latn-BA"/>
        </w:rPr>
        <w:t>hodne godine.</w:t>
      </w:r>
    </w:p>
    <w:p w:rsidR="00CB071F" w:rsidRPr="003E3695" w:rsidRDefault="00CB071F" w:rsidP="003E3695">
      <w:pPr>
        <w:autoSpaceDE w:val="0"/>
        <w:autoSpaceDN w:val="0"/>
        <w:adjustRightInd w:val="0"/>
        <w:spacing w:line="276" w:lineRule="auto"/>
        <w:rPr>
          <w:rFonts w:ascii="Times New Roman" w:eastAsiaTheme="minorHAnsi" w:hAnsi="Times New Roman"/>
          <w:lang w:val="bs-Latn-BA"/>
        </w:rPr>
      </w:pPr>
    </w:p>
    <w:p w:rsidR="00CB071F" w:rsidRPr="003E3695" w:rsidRDefault="00CB071F" w:rsidP="003E3695">
      <w:pPr>
        <w:autoSpaceDE w:val="0"/>
        <w:autoSpaceDN w:val="0"/>
        <w:adjustRightInd w:val="0"/>
        <w:spacing w:line="276" w:lineRule="auto"/>
        <w:rPr>
          <w:rFonts w:ascii="Times New Roman" w:eastAsiaTheme="minorHAnsi" w:hAnsi="Times New Roman"/>
          <w:color w:val="FF0000"/>
          <w:lang w:val="bs-Latn-BA"/>
        </w:rPr>
      </w:pPr>
      <w:r w:rsidRPr="003E3695">
        <w:rPr>
          <w:rFonts w:ascii="Times New Roman" w:eastAsiaTheme="minorHAnsi" w:hAnsi="Times New Roman"/>
          <w:lang w:val="bs-Latn-BA"/>
        </w:rPr>
        <w:t xml:space="preserve">Nepostojanje sveobuhvatnih podataka iz privatnog sektora onemogućava potpuni uvid u zdravstveno stanje stanovništva i organizaciju zdravstvene zaštite u Federaciji BiH. </w:t>
      </w:r>
    </w:p>
    <w:p w:rsidR="00CB071F" w:rsidRPr="003E3695" w:rsidRDefault="00CB071F" w:rsidP="003E3695">
      <w:pPr>
        <w:spacing w:after="160" w:line="276" w:lineRule="auto"/>
        <w:rPr>
          <w:rFonts w:ascii="Times New Roman" w:eastAsiaTheme="minorHAnsi" w:hAnsi="Times New Roman"/>
          <w:color w:val="FF0000"/>
          <w:lang w:val="bs-Latn-BA"/>
        </w:rPr>
      </w:pPr>
    </w:p>
    <w:p w:rsidR="00CB071F" w:rsidRPr="003E3695" w:rsidRDefault="00CB071F" w:rsidP="003E3695">
      <w:pPr>
        <w:spacing w:after="160" w:line="276" w:lineRule="auto"/>
        <w:rPr>
          <w:rFonts w:ascii="Times New Roman" w:eastAsiaTheme="minorHAnsi" w:hAnsi="Times New Roman"/>
          <w:b/>
          <w:lang w:val="bs-Latn-BA"/>
        </w:rPr>
      </w:pPr>
      <w:r w:rsidRPr="003E3695">
        <w:rPr>
          <w:rFonts w:ascii="Times New Roman" w:eastAsiaTheme="minorHAnsi" w:hAnsi="Times New Roman"/>
          <w:b/>
          <w:lang w:val="bs-Latn-BA"/>
        </w:rPr>
        <w:t>Zaključci</w:t>
      </w:r>
    </w:p>
    <w:p w:rsidR="00CB071F" w:rsidRPr="003E3695" w:rsidRDefault="00CB071F" w:rsidP="003E3695">
      <w:pPr>
        <w:tabs>
          <w:tab w:val="left" w:pos="550"/>
        </w:tabs>
        <w:spacing w:before="120" w:line="276" w:lineRule="auto"/>
        <w:rPr>
          <w:rFonts w:ascii="Times New Roman" w:hAnsi="Times New Roman"/>
          <w:noProof/>
          <w:lang w:val="hr-HR" w:eastAsia="de-DE"/>
        </w:rPr>
      </w:pPr>
      <w:r w:rsidRPr="003E3695">
        <w:rPr>
          <w:rFonts w:ascii="Times New Roman" w:hAnsi="Times New Roman"/>
          <w:noProof/>
          <w:lang w:val="hr-HR" w:eastAsia="de-DE"/>
        </w:rPr>
        <w:t xml:space="preserve">Pokazatelji zdravstvenog stanja stanovništva Federacije BiH su </w:t>
      </w:r>
      <w:r w:rsidR="00294C0A">
        <w:rPr>
          <w:rFonts w:ascii="Times New Roman" w:hAnsi="Times New Roman"/>
          <w:noProof/>
          <w:lang w:val="hr-HR" w:eastAsia="de-DE"/>
        </w:rPr>
        <w:t>uglavnom</w:t>
      </w:r>
      <w:r w:rsidRPr="003E3695">
        <w:rPr>
          <w:rFonts w:ascii="Times New Roman" w:hAnsi="Times New Roman"/>
          <w:noProof/>
          <w:lang w:val="hr-HR" w:eastAsia="de-DE"/>
        </w:rPr>
        <w:t xml:space="preserve"> nepovoljni, što je povezano s još uvijek lošom socioekonomskom situacijom u zemlji, životnim navikama, u</w:t>
      </w:r>
      <w:r w:rsidR="00294C0A">
        <w:rPr>
          <w:rFonts w:ascii="Times New Roman" w:hAnsi="Times New Roman"/>
          <w:noProof/>
          <w:lang w:val="hr-HR" w:eastAsia="de-DE"/>
        </w:rPr>
        <w:t>vjetima</w:t>
      </w:r>
      <w:r w:rsidRPr="003E3695">
        <w:rPr>
          <w:rFonts w:ascii="Times New Roman" w:hAnsi="Times New Roman"/>
          <w:noProof/>
          <w:lang w:val="hr-HR" w:eastAsia="de-DE"/>
        </w:rPr>
        <w:t xml:space="preserve"> stanovanja, u</w:t>
      </w:r>
      <w:r w:rsidR="00294C0A">
        <w:rPr>
          <w:rFonts w:ascii="Times New Roman" w:hAnsi="Times New Roman"/>
          <w:noProof/>
          <w:lang w:val="hr-HR" w:eastAsia="de-DE"/>
        </w:rPr>
        <w:t>vjetima</w:t>
      </w:r>
      <w:r w:rsidRPr="003E3695">
        <w:rPr>
          <w:rFonts w:ascii="Times New Roman" w:hAnsi="Times New Roman"/>
          <w:noProof/>
          <w:lang w:val="hr-HR" w:eastAsia="de-DE"/>
        </w:rPr>
        <w:t xml:space="preserve"> na radnom mjestu, </w:t>
      </w:r>
      <w:r w:rsidR="00294C0A">
        <w:rPr>
          <w:rFonts w:ascii="Times New Roman" w:hAnsi="Times New Roman"/>
          <w:noProof/>
          <w:lang w:val="hr-HR" w:eastAsia="de-DE"/>
        </w:rPr>
        <w:t xml:space="preserve">okolišnim i </w:t>
      </w:r>
      <w:r w:rsidRPr="003E3695">
        <w:rPr>
          <w:rFonts w:ascii="Times New Roman" w:hAnsi="Times New Roman"/>
          <w:noProof/>
          <w:lang w:val="hr-HR" w:eastAsia="de-DE"/>
        </w:rPr>
        <w:t xml:space="preserve">mnogim drugim </w:t>
      </w:r>
      <w:r w:rsidR="00294C0A">
        <w:rPr>
          <w:rFonts w:ascii="Times New Roman" w:hAnsi="Times New Roman"/>
          <w:noProof/>
          <w:lang w:val="hr-HR" w:eastAsia="de-DE"/>
        </w:rPr>
        <w:t xml:space="preserve">čimbenicima. </w:t>
      </w:r>
    </w:p>
    <w:p w:rsidR="00CB071F" w:rsidRPr="003E3695" w:rsidRDefault="00CB071F" w:rsidP="003E3695">
      <w:pPr>
        <w:tabs>
          <w:tab w:val="left" w:pos="550"/>
        </w:tabs>
        <w:spacing w:before="120" w:line="276" w:lineRule="auto"/>
        <w:rPr>
          <w:rFonts w:ascii="Times New Roman" w:hAnsi="Times New Roman"/>
          <w:i/>
          <w:noProof/>
          <w:lang w:val="hr-HR" w:eastAsia="de-DE"/>
        </w:rPr>
      </w:pPr>
      <w:r w:rsidRPr="003E3695">
        <w:rPr>
          <w:rFonts w:ascii="Times New Roman" w:hAnsi="Times New Roman"/>
          <w:noProof/>
          <w:lang w:val="hr-HR" w:eastAsia="de-DE"/>
        </w:rPr>
        <w:t>Zna</w:t>
      </w:r>
      <w:r w:rsidR="00EE5188">
        <w:rPr>
          <w:rFonts w:ascii="Times New Roman" w:hAnsi="Times New Roman"/>
          <w:noProof/>
          <w:lang w:val="hr-HR" w:eastAsia="de-DE"/>
        </w:rPr>
        <w:t>t</w:t>
      </w:r>
      <w:r w:rsidRPr="003E3695">
        <w:rPr>
          <w:rFonts w:ascii="Times New Roman" w:hAnsi="Times New Roman"/>
          <w:noProof/>
          <w:lang w:val="hr-HR" w:eastAsia="de-DE"/>
        </w:rPr>
        <w:t xml:space="preserve">na je prisutnost </w:t>
      </w:r>
      <w:r w:rsidR="00294C0A">
        <w:rPr>
          <w:rFonts w:ascii="Times New Roman" w:hAnsi="Times New Roman"/>
          <w:noProof/>
          <w:lang w:val="hr-HR" w:eastAsia="de-DE"/>
        </w:rPr>
        <w:t>čimbenika</w:t>
      </w:r>
      <w:r w:rsidRPr="003E3695">
        <w:rPr>
          <w:rFonts w:ascii="Times New Roman" w:hAnsi="Times New Roman"/>
          <w:noProof/>
          <w:lang w:val="hr-HR" w:eastAsia="de-DE"/>
        </w:rPr>
        <w:t xml:space="preserve"> rizika po zdravlje stanovništva: konzum</w:t>
      </w:r>
      <w:r w:rsidR="00523C6C">
        <w:rPr>
          <w:rFonts w:ascii="Times New Roman" w:hAnsi="Times New Roman"/>
          <w:noProof/>
          <w:lang w:val="hr-HR" w:eastAsia="de-DE"/>
        </w:rPr>
        <w:t xml:space="preserve">acija </w:t>
      </w:r>
      <w:r w:rsidRPr="003E3695">
        <w:rPr>
          <w:rFonts w:ascii="Times New Roman" w:hAnsi="Times New Roman"/>
          <w:noProof/>
          <w:lang w:val="hr-HR" w:eastAsia="de-DE"/>
        </w:rPr>
        <w:t xml:space="preserve">duhana (44,1% odraslih) i alkohola (28,8% odraslih), nezdrava </w:t>
      </w:r>
      <w:r w:rsidR="00294C0A">
        <w:rPr>
          <w:rFonts w:ascii="Times New Roman" w:hAnsi="Times New Roman"/>
          <w:noProof/>
          <w:lang w:val="hr-HR" w:eastAsia="de-DE"/>
        </w:rPr>
        <w:t>prehrana</w:t>
      </w:r>
      <w:r w:rsidRPr="003E3695">
        <w:rPr>
          <w:rFonts w:ascii="Times New Roman" w:hAnsi="Times New Roman"/>
          <w:noProof/>
          <w:lang w:val="hr-HR" w:eastAsia="de-DE"/>
        </w:rPr>
        <w:t xml:space="preserve"> (21,2% odraslih gojazno), tjelesna neaktivnost (75,4%), stres itd.</w:t>
      </w:r>
    </w:p>
    <w:p w:rsidR="00CB071F" w:rsidRPr="003E3695" w:rsidRDefault="00CB071F" w:rsidP="003E3695">
      <w:pPr>
        <w:tabs>
          <w:tab w:val="left" w:pos="550"/>
        </w:tabs>
        <w:spacing w:before="120" w:line="276" w:lineRule="auto"/>
        <w:rPr>
          <w:rFonts w:ascii="Times New Roman" w:hAnsi="Times New Roman"/>
          <w:noProof/>
          <w:lang w:val="hr-HR" w:eastAsia="de-DE"/>
        </w:rPr>
      </w:pPr>
      <w:r w:rsidRPr="003E3695">
        <w:rPr>
          <w:rFonts w:ascii="Times New Roman" w:hAnsi="Times New Roman"/>
          <w:noProof/>
          <w:lang w:val="hr-HR" w:eastAsia="de-DE"/>
        </w:rPr>
        <w:t>Stanovništvo Federacije BiH najčešće obol</w:t>
      </w:r>
      <w:r w:rsidR="00523C6C">
        <w:rPr>
          <w:rFonts w:ascii="Times New Roman" w:hAnsi="Times New Roman"/>
          <w:noProof/>
          <w:lang w:val="hr-HR" w:eastAsia="de-DE"/>
        </w:rPr>
        <w:t>i</w:t>
      </w:r>
      <w:r w:rsidRPr="003E3695">
        <w:rPr>
          <w:rFonts w:ascii="Times New Roman" w:hAnsi="Times New Roman"/>
          <w:noProof/>
          <w:lang w:val="hr-HR" w:eastAsia="de-DE"/>
        </w:rPr>
        <w:t>jeva od nezaraznih bolest</w:t>
      </w:r>
      <w:r w:rsidR="00523C6C">
        <w:rPr>
          <w:rFonts w:ascii="Times New Roman" w:hAnsi="Times New Roman"/>
          <w:noProof/>
          <w:lang w:val="hr-HR" w:eastAsia="de-DE"/>
        </w:rPr>
        <w:t>i</w:t>
      </w:r>
      <w:r w:rsidRPr="003E3695">
        <w:rPr>
          <w:rFonts w:ascii="Times New Roman" w:hAnsi="Times New Roman"/>
          <w:noProof/>
          <w:lang w:val="hr-HR" w:eastAsia="de-DE"/>
        </w:rPr>
        <w:t xml:space="preserve">, dok je </w:t>
      </w:r>
      <w:r w:rsidR="00243A26">
        <w:rPr>
          <w:rFonts w:ascii="Times New Roman" w:hAnsi="Times New Roman"/>
          <w:noProof/>
          <w:lang w:val="hr-HR" w:eastAsia="de-DE"/>
        </w:rPr>
        <w:t>udio</w:t>
      </w:r>
      <w:r w:rsidRPr="003E3695">
        <w:rPr>
          <w:rFonts w:ascii="Times New Roman" w:hAnsi="Times New Roman"/>
          <w:noProof/>
          <w:lang w:val="hr-HR" w:eastAsia="de-DE"/>
        </w:rPr>
        <w:t xml:space="preserve"> zaraznih bolesti  i </w:t>
      </w:r>
      <w:r w:rsidR="00FE3B0D">
        <w:rPr>
          <w:rFonts w:ascii="Times New Roman" w:hAnsi="Times New Roman"/>
          <w:noProof/>
          <w:lang w:val="hr-HR" w:eastAsia="de-DE"/>
        </w:rPr>
        <w:t>ozljeda</w:t>
      </w:r>
      <w:r w:rsidRPr="003E3695">
        <w:rPr>
          <w:rFonts w:ascii="Times New Roman" w:hAnsi="Times New Roman"/>
          <w:noProof/>
          <w:lang w:val="hr-HR" w:eastAsia="de-DE"/>
        </w:rPr>
        <w:t xml:space="preserve"> značajno manj</w:t>
      </w:r>
      <w:r w:rsidR="00FE3B0D">
        <w:rPr>
          <w:rFonts w:ascii="Times New Roman" w:hAnsi="Times New Roman"/>
          <w:noProof/>
          <w:lang w:val="hr-HR" w:eastAsia="de-DE"/>
        </w:rPr>
        <w:t>i</w:t>
      </w:r>
      <w:r w:rsidRPr="003E3695">
        <w:rPr>
          <w:rFonts w:ascii="Times New Roman" w:hAnsi="Times New Roman"/>
          <w:noProof/>
          <w:lang w:val="hr-HR" w:eastAsia="de-DE"/>
        </w:rPr>
        <w:t>.</w:t>
      </w:r>
    </w:p>
    <w:p w:rsidR="00CB071F" w:rsidRPr="003E3695" w:rsidRDefault="00CB071F" w:rsidP="003E3695">
      <w:pPr>
        <w:tabs>
          <w:tab w:val="left" w:pos="550"/>
        </w:tabs>
        <w:spacing w:before="120" w:line="276" w:lineRule="auto"/>
        <w:rPr>
          <w:rFonts w:ascii="Times New Roman" w:hAnsi="Times New Roman"/>
          <w:i/>
          <w:noProof/>
          <w:lang w:val="hr-HR" w:eastAsia="de-DE"/>
        </w:rPr>
      </w:pPr>
      <w:r w:rsidRPr="003E3695">
        <w:rPr>
          <w:rFonts w:ascii="Times New Roman" w:hAnsi="Times New Roman"/>
          <w:noProof/>
          <w:lang w:val="hr-HR" w:eastAsia="de-DE"/>
        </w:rPr>
        <w:t xml:space="preserve">Vodeći uzroci smrti stanovništva Federacije BiH su iz grupe nezaraznih oboljenja, svaki drugi stanovnik umire od bolesti srca i krvnih </w:t>
      </w:r>
      <w:r w:rsidR="00523C6C">
        <w:rPr>
          <w:rFonts w:ascii="Times New Roman" w:hAnsi="Times New Roman"/>
          <w:noProof/>
          <w:lang w:val="hr-HR" w:eastAsia="de-DE"/>
        </w:rPr>
        <w:t>žila</w:t>
      </w:r>
      <w:r w:rsidRPr="003E3695">
        <w:rPr>
          <w:rFonts w:ascii="Times New Roman" w:hAnsi="Times New Roman"/>
          <w:noProof/>
          <w:lang w:val="hr-HR" w:eastAsia="de-DE"/>
        </w:rPr>
        <w:t xml:space="preserve">, a svaki peti od malignih neoplazmi. </w:t>
      </w:r>
    </w:p>
    <w:p w:rsidR="00CB071F" w:rsidRPr="003E3695" w:rsidRDefault="00CB071F" w:rsidP="003E3695">
      <w:pPr>
        <w:autoSpaceDE w:val="0"/>
        <w:autoSpaceDN w:val="0"/>
        <w:adjustRightInd w:val="0"/>
        <w:spacing w:line="276" w:lineRule="auto"/>
        <w:rPr>
          <w:rFonts w:ascii="Times New Roman" w:eastAsiaTheme="minorHAnsi" w:hAnsi="Times New Roman"/>
          <w:lang w:val="bs-Latn-BA"/>
        </w:rPr>
      </w:pPr>
    </w:p>
    <w:p w:rsidR="00CB071F" w:rsidRPr="003E3695" w:rsidRDefault="00CB071F" w:rsidP="003E3695">
      <w:pPr>
        <w:autoSpaceDE w:val="0"/>
        <w:autoSpaceDN w:val="0"/>
        <w:adjustRightInd w:val="0"/>
        <w:spacing w:line="276" w:lineRule="auto"/>
        <w:rPr>
          <w:rFonts w:ascii="Times New Roman" w:eastAsiaTheme="minorHAnsi" w:hAnsi="Times New Roman"/>
          <w:lang w:val="bs-Latn-BA"/>
        </w:rPr>
      </w:pPr>
      <w:r w:rsidRPr="003E3695">
        <w:rPr>
          <w:rFonts w:ascii="Times New Roman" w:eastAsiaTheme="minorHAnsi" w:hAnsi="Times New Roman"/>
          <w:lang w:val="bs-Latn-BA"/>
        </w:rPr>
        <w:t>Iako je reforma s</w:t>
      </w:r>
      <w:r w:rsidR="00523C6C">
        <w:rPr>
          <w:rFonts w:ascii="Times New Roman" w:eastAsiaTheme="minorHAnsi" w:hAnsi="Times New Roman"/>
          <w:lang w:val="bs-Latn-BA"/>
        </w:rPr>
        <w:t>ustava</w:t>
      </w:r>
      <w:r w:rsidRPr="003E3695">
        <w:rPr>
          <w:rFonts w:ascii="Times New Roman" w:eastAsiaTheme="minorHAnsi" w:hAnsi="Times New Roman"/>
          <w:lang w:val="bs-Latn-BA"/>
        </w:rPr>
        <w:t xml:space="preserve"> zdravstva u Federaciji BiH bazirana na jačanju primarne zdravstvene zaštite još uvijek su prisutne razlike u dostupnosti stanovništvu po kantonima Federacije BiH. </w:t>
      </w:r>
    </w:p>
    <w:p w:rsidR="00CB071F" w:rsidRPr="003E3695" w:rsidRDefault="00CB071F" w:rsidP="003E3695">
      <w:pPr>
        <w:autoSpaceDE w:val="0"/>
        <w:autoSpaceDN w:val="0"/>
        <w:adjustRightInd w:val="0"/>
        <w:spacing w:line="276" w:lineRule="auto"/>
        <w:rPr>
          <w:rFonts w:ascii="Times New Roman" w:eastAsiaTheme="minorHAnsi" w:hAnsi="Times New Roman"/>
          <w:lang w:val="bs-Latn-BA"/>
        </w:rPr>
      </w:pPr>
    </w:p>
    <w:p w:rsidR="00CB071F" w:rsidRPr="003E3695" w:rsidRDefault="00CB071F" w:rsidP="003E3695">
      <w:pPr>
        <w:autoSpaceDE w:val="0"/>
        <w:autoSpaceDN w:val="0"/>
        <w:adjustRightInd w:val="0"/>
        <w:spacing w:line="276" w:lineRule="auto"/>
        <w:rPr>
          <w:rFonts w:ascii="Times New Roman" w:eastAsiaTheme="minorHAnsi" w:hAnsi="Times New Roman"/>
          <w:lang w:val="bs-Latn-BA"/>
        </w:rPr>
      </w:pPr>
      <w:r w:rsidRPr="003E3695">
        <w:rPr>
          <w:rFonts w:ascii="Times New Roman" w:eastAsiaTheme="minorHAnsi" w:hAnsi="Times New Roman"/>
          <w:lang w:val="bs-Latn-BA"/>
        </w:rPr>
        <w:t xml:space="preserve">I pored značajnog broja educiranih doktora i medicinskih sestara, te unaprijeđene infrastrukture, implementacija obiteljske medicine još uvijek nije zadovoljavajuća. Razlozi su brojni, od evidentnog </w:t>
      </w:r>
      <w:r w:rsidRPr="003E3695">
        <w:rPr>
          <w:rFonts w:ascii="Times New Roman" w:eastAsiaTheme="minorHAnsi" w:hAnsi="Times New Roman"/>
          <w:lang w:val="bs-Latn-BA"/>
        </w:rPr>
        <w:lastRenderedPageBreak/>
        <w:t xml:space="preserve">problema nedostajućeg kadra i stalne fluktuacije </w:t>
      </w:r>
      <w:r w:rsidR="00523C6C">
        <w:rPr>
          <w:rFonts w:ascii="Times New Roman" w:eastAsiaTheme="minorHAnsi" w:hAnsi="Times New Roman"/>
          <w:lang w:val="bs-Latn-BA"/>
        </w:rPr>
        <w:t>u</w:t>
      </w:r>
      <w:r w:rsidRPr="003E3695">
        <w:rPr>
          <w:rFonts w:ascii="Times New Roman" w:eastAsiaTheme="minorHAnsi" w:hAnsi="Times New Roman"/>
          <w:lang w:val="bs-Latn-BA"/>
        </w:rPr>
        <w:t>poslenih, sporog procesa reorganizacije službi unutar domova zdravlja, ne</w:t>
      </w:r>
      <w:r w:rsidR="00751A8F">
        <w:rPr>
          <w:rFonts w:ascii="Times New Roman" w:eastAsiaTheme="minorHAnsi" w:hAnsi="Times New Roman"/>
          <w:lang w:val="bs-Latn-BA"/>
        </w:rPr>
        <w:t>poticajnih</w:t>
      </w:r>
      <w:r w:rsidRPr="003E3695">
        <w:rPr>
          <w:rFonts w:ascii="Times New Roman" w:eastAsiaTheme="minorHAnsi" w:hAnsi="Times New Roman"/>
          <w:lang w:val="bs-Latn-BA"/>
        </w:rPr>
        <w:t xml:space="preserve"> mehanizama plaćanja, nedostatka menadžerskih vještina i drugo. </w:t>
      </w:r>
    </w:p>
    <w:p w:rsidR="00CB071F" w:rsidRPr="003E3695" w:rsidRDefault="00CB071F" w:rsidP="003E3695">
      <w:pPr>
        <w:autoSpaceDE w:val="0"/>
        <w:autoSpaceDN w:val="0"/>
        <w:adjustRightInd w:val="0"/>
        <w:spacing w:line="276" w:lineRule="auto"/>
        <w:rPr>
          <w:rFonts w:ascii="Times New Roman" w:eastAsiaTheme="minorHAnsi" w:hAnsi="Times New Roman"/>
          <w:lang w:val="bs-Latn-BA"/>
        </w:rPr>
      </w:pPr>
    </w:p>
    <w:p w:rsidR="00CB071F" w:rsidRPr="003E3695" w:rsidRDefault="00CB071F" w:rsidP="003E3695">
      <w:pPr>
        <w:autoSpaceDE w:val="0"/>
        <w:autoSpaceDN w:val="0"/>
        <w:adjustRightInd w:val="0"/>
        <w:spacing w:line="276" w:lineRule="auto"/>
        <w:rPr>
          <w:rFonts w:ascii="Times New Roman" w:eastAsiaTheme="minorHAnsi" w:hAnsi="Times New Roman"/>
          <w:lang w:val="bs-Latn-BA"/>
        </w:rPr>
      </w:pPr>
      <w:r w:rsidRPr="003E3695">
        <w:rPr>
          <w:rFonts w:ascii="Times New Roman" w:eastAsiaTheme="minorHAnsi" w:hAnsi="Times New Roman"/>
          <w:lang w:val="bs-Latn-BA"/>
        </w:rPr>
        <w:t xml:space="preserve">Iako Federacija BiH ima manji broj bolničkih postelja u odnosu na zemlje u okruženju i prosjek </w:t>
      </w:r>
      <w:r w:rsidR="00523C6C">
        <w:rPr>
          <w:rFonts w:ascii="Times New Roman" w:eastAsiaTheme="minorHAnsi" w:hAnsi="Times New Roman"/>
          <w:lang w:val="bs-Latn-BA"/>
        </w:rPr>
        <w:t xml:space="preserve">europske </w:t>
      </w:r>
      <w:r w:rsidRPr="003E3695">
        <w:rPr>
          <w:rFonts w:ascii="Times New Roman" w:eastAsiaTheme="minorHAnsi" w:hAnsi="Times New Roman"/>
          <w:lang w:val="bs-Latn-BA"/>
        </w:rPr>
        <w:t>regi</w:t>
      </w:r>
      <w:r w:rsidR="00523C6C">
        <w:rPr>
          <w:rFonts w:ascii="Times New Roman" w:eastAsiaTheme="minorHAnsi" w:hAnsi="Times New Roman"/>
          <w:lang w:val="bs-Latn-BA"/>
        </w:rPr>
        <w:t>je</w:t>
      </w:r>
      <w:r w:rsidRPr="003E3695">
        <w:rPr>
          <w:rFonts w:ascii="Times New Roman" w:eastAsiaTheme="minorHAnsi" w:hAnsi="Times New Roman"/>
          <w:lang w:val="bs-Latn-BA"/>
        </w:rPr>
        <w:t>, evidentna je nedovoljna iskorištenost bolničkih kapaciteta, što ukazuje na potrebu njihove racionalizacije</w:t>
      </w:r>
      <w:r w:rsidR="003E3695">
        <w:rPr>
          <w:rFonts w:ascii="Times New Roman" w:eastAsiaTheme="minorHAnsi" w:hAnsi="Times New Roman"/>
          <w:lang w:val="bs-Latn-BA"/>
        </w:rPr>
        <w:t>.</w:t>
      </w:r>
    </w:p>
    <w:p w:rsidR="00CB071F" w:rsidRPr="003E3695" w:rsidRDefault="00CB071F" w:rsidP="003E3695">
      <w:pPr>
        <w:autoSpaceDE w:val="0"/>
        <w:autoSpaceDN w:val="0"/>
        <w:adjustRightInd w:val="0"/>
        <w:spacing w:line="276" w:lineRule="auto"/>
        <w:rPr>
          <w:rFonts w:ascii="Times New Roman" w:eastAsiaTheme="minorHAnsi" w:hAnsi="Times New Roman"/>
          <w:lang w:val="bs-Latn-BA"/>
        </w:rPr>
      </w:pPr>
    </w:p>
    <w:p w:rsidR="00CB071F" w:rsidRPr="003E3695" w:rsidRDefault="00CB071F" w:rsidP="003E3695">
      <w:pPr>
        <w:autoSpaceDE w:val="0"/>
        <w:autoSpaceDN w:val="0"/>
        <w:adjustRightInd w:val="0"/>
        <w:spacing w:line="276" w:lineRule="auto"/>
        <w:rPr>
          <w:rFonts w:ascii="Times New Roman" w:eastAsiaTheme="minorHAnsi" w:hAnsi="Times New Roman"/>
          <w:lang w:val="bs-Latn-BA"/>
        </w:rPr>
      </w:pPr>
      <w:r w:rsidRPr="003E3695">
        <w:rPr>
          <w:rFonts w:ascii="Times New Roman" w:eastAsiaTheme="minorHAnsi" w:hAnsi="Times New Roman"/>
          <w:lang w:val="bs-Latn-BA"/>
        </w:rPr>
        <w:t xml:space="preserve">Nepostojanje sveobuhvatnih podataka iz privatnog sektora onemogućava potpuni uvid u zdravstveno stanje stanovništva i organizaciju zdravstvene zaštite u Federaciji BiH. </w:t>
      </w:r>
    </w:p>
    <w:p w:rsidR="00CB071F" w:rsidRPr="003E3695" w:rsidRDefault="00CB071F" w:rsidP="003E3695">
      <w:pPr>
        <w:spacing w:after="160" w:line="276" w:lineRule="auto"/>
        <w:rPr>
          <w:rFonts w:ascii="Times New Roman" w:eastAsiaTheme="minorHAnsi" w:hAnsi="Times New Roman"/>
          <w:lang w:val="bs-Latn-BA"/>
        </w:rPr>
      </w:pPr>
    </w:p>
    <w:p w:rsidR="00CB071F" w:rsidRPr="003E3695" w:rsidRDefault="00CB071F" w:rsidP="003E3695">
      <w:pPr>
        <w:spacing w:after="160" w:line="276" w:lineRule="auto"/>
        <w:rPr>
          <w:rFonts w:ascii="Times New Roman" w:eastAsiaTheme="minorHAnsi" w:hAnsi="Times New Roman"/>
          <w:b/>
          <w:lang w:val="bs-Latn-BA"/>
        </w:rPr>
      </w:pPr>
      <w:r w:rsidRPr="003E3695">
        <w:rPr>
          <w:rFonts w:ascii="Times New Roman" w:eastAsiaTheme="minorHAnsi" w:hAnsi="Times New Roman"/>
          <w:b/>
          <w:lang w:val="bs-Latn-BA"/>
        </w:rPr>
        <w:t>Preporuke</w:t>
      </w:r>
    </w:p>
    <w:p w:rsidR="00021055" w:rsidRDefault="00021055" w:rsidP="003E3695">
      <w:pPr>
        <w:spacing w:after="160" w:line="276" w:lineRule="auto"/>
        <w:rPr>
          <w:rFonts w:ascii="Times New Roman" w:eastAsiaTheme="minorHAnsi" w:hAnsi="Times New Roman"/>
          <w:lang w:val="bs-Latn-BA"/>
        </w:rPr>
      </w:pPr>
      <w:r w:rsidRPr="003E3695">
        <w:rPr>
          <w:rFonts w:ascii="Times New Roman" w:eastAsiaTheme="minorHAnsi" w:hAnsi="Times New Roman"/>
          <w:lang w:val="bs-Latn-BA"/>
        </w:rPr>
        <w:t>S ciljem unapređenja zdravstvenog stanja stanovništva neophodno je realizirati niz</w:t>
      </w:r>
      <w:r w:rsidR="00D8295C">
        <w:rPr>
          <w:rFonts w:ascii="Times New Roman" w:eastAsiaTheme="minorHAnsi" w:hAnsi="Times New Roman"/>
          <w:lang w:val="bs-Latn-BA"/>
        </w:rPr>
        <w:t xml:space="preserve"> javnozdravstvenih intervencija, kao što su:</w:t>
      </w:r>
      <w:r w:rsidR="00D15A66">
        <w:rPr>
          <w:rFonts w:ascii="Times New Roman" w:eastAsiaTheme="minorHAnsi" w:hAnsi="Times New Roman"/>
          <w:lang w:val="bs-Latn-BA"/>
        </w:rPr>
        <w:t xml:space="preserve"> donošenje populaci</w:t>
      </w:r>
      <w:r w:rsidR="00D47537">
        <w:rPr>
          <w:rFonts w:ascii="Times New Roman" w:eastAsiaTheme="minorHAnsi" w:hAnsi="Times New Roman"/>
          <w:lang w:val="bs-Latn-BA"/>
        </w:rPr>
        <w:t>jske</w:t>
      </w:r>
      <w:r w:rsidR="00D15A66">
        <w:rPr>
          <w:rFonts w:ascii="Times New Roman" w:eastAsiaTheme="minorHAnsi" w:hAnsi="Times New Roman"/>
          <w:lang w:val="bs-Latn-BA"/>
        </w:rPr>
        <w:t xml:space="preserve"> politike</w:t>
      </w:r>
      <w:r w:rsidR="00D8295C">
        <w:rPr>
          <w:rFonts w:ascii="Times New Roman" w:eastAsiaTheme="minorHAnsi" w:hAnsi="Times New Roman"/>
          <w:lang w:val="bs-Latn-BA"/>
        </w:rPr>
        <w:t xml:space="preserve">, aktivnosti u </w:t>
      </w:r>
      <w:r w:rsidR="00D47537">
        <w:rPr>
          <w:rFonts w:ascii="Times New Roman" w:eastAsiaTheme="minorHAnsi" w:hAnsi="Times New Roman"/>
          <w:lang w:val="bs-Latn-BA"/>
        </w:rPr>
        <w:t>s</w:t>
      </w:r>
      <w:r w:rsidR="00D8295C">
        <w:rPr>
          <w:rFonts w:ascii="Times New Roman" w:eastAsiaTheme="minorHAnsi" w:hAnsi="Times New Roman"/>
          <w:lang w:val="bs-Latn-BA"/>
        </w:rPr>
        <w:t>vezi sa unapređenjem zdravlja starijih osoba, s</w:t>
      </w:r>
      <w:r w:rsidR="00D47537">
        <w:rPr>
          <w:rFonts w:ascii="Times New Roman" w:eastAsiaTheme="minorHAnsi" w:hAnsi="Times New Roman"/>
          <w:lang w:val="bs-Latn-BA"/>
        </w:rPr>
        <w:t>ustavni</w:t>
      </w:r>
      <w:r w:rsidR="00D8295C">
        <w:rPr>
          <w:rFonts w:ascii="Times New Roman" w:eastAsiaTheme="minorHAnsi" w:hAnsi="Times New Roman"/>
          <w:lang w:val="bs-Latn-BA"/>
        </w:rPr>
        <w:t xml:space="preserve"> pristup programima prevencije i nadzora vodećih rizika za najučestalija oboljenja, intersektorske promotivne intervencije na </w:t>
      </w:r>
      <w:r w:rsidR="00D47537">
        <w:rPr>
          <w:rFonts w:ascii="Times New Roman" w:eastAsiaTheme="minorHAnsi" w:hAnsi="Times New Roman"/>
          <w:lang w:val="bs-Latn-BA"/>
        </w:rPr>
        <w:t>razini</w:t>
      </w:r>
      <w:r w:rsidR="00D8295C">
        <w:rPr>
          <w:rFonts w:ascii="Times New Roman" w:eastAsiaTheme="minorHAnsi" w:hAnsi="Times New Roman"/>
          <w:lang w:val="bs-Latn-BA"/>
        </w:rPr>
        <w:t xml:space="preserve"> lokalne zajednice, jačanje nad</w:t>
      </w:r>
      <w:r w:rsidR="00D15A66">
        <w:rPr>
          <w:rFonts w:ascii="Times New Roman" w:eastAsiaTheme="minorHAnsi" w:hAnsi="Times New Roman"/>
          <w:lang w:val="bs-Latn-BA"/>
        </w:rPr>
        <w:t xml:space="preserve">zora nad zaraznim bolestima, </w:t>
      </w:r>
      <w:r w:rsidR="00D8295C">
        <w:rPr>
          <w:rFonts w:ascii="Times New Roman" w:eastAsiaTheme="minorHAnsi" w:hAnsi="Times New Roman"/>
          <w:lang w:val="bs-Latn-BA"/>
        </w:rPr>
        <w:t>osiguranje kontinuiranih mehanizama finan</w:t>
      </w:r>
      <w:r w:rsidR="00D47537">
        <w:rPr>
          <w:rFonts w:ascii="Times New Roman" w:eastAsiaTheme="minorHAnsi" w:hAnsi="Times New Roman"/>
          <w:lang w:val="bs-Latn-BA"/>
        </w:rPr>
        <w:t>c</w:t>
      </w:r>
      <w:r w:rsidR="00D8295C">
        <w:rPr>
          <w:rFonts w:ascii="Times New Roman" w:eastAsiaTheme="minorHAnsi" w:hAnsi="Times New Roman"/>
          <w:lang w:val="bs-Latn-BA"/>
        </w:rPr>
        <w:t>iranja za javnozdravstvene kampanje</w:t>
      </w:r>
      <w:r w:rsidR="00D15A66">
        <w:rPr>
          <w:rFonts w:ascii="Times New Roman" w:eastAsiaTheme="minorHAnsi" w:hAnsi="Times New Roman"/>
          <w:lang w:val="bs-Latn-BA"/>
        </w:rPr>
        <w:t xml:space="preserve"> i drugo. Uz ovo</w:t>
      </w:r>
      <w:r w:rsidR="00D8295C">
        <w:rPr>
          <w:rFonts w:ascii="Times New Roman" w:eastAsiaTheme="minorHAnsi" w:hAnsi="Times New Roman"/>
          <w:lang w:val="bs-Latn-BA"/>
        </w:rPr>
        <w:t xml:space="preserve">, </w:t>
      </w:r>
      <w:r w:rsidR="00D15A66">
        <w:rPr>
          <w:rFonts w:ascii="Times New Roman" w:eastAsiaTheme="minorHAnsi" w:hAnsi="Times New Roman"/>
          <w:lang w:val="bs-Latn-BA"/>
        </w:rPr>
        <w:t>važno</w:t>
      </w:r>
      <w:r w:rsidR="00D8295C">
        <w:rPr>
          <w:rFonts w:ascii="Times New Roman" w:eastAsiaTheme="minorHAnsi" w:hAnsi="Times New Roman"/>
          <w:lang w:val="bs-Latn-BA"/>
        </w:rPr>
        <w:t xml:space="preserve"> je usklađivanje postojeće i donošenje nove zakonske regulative</w:t>
      </w:r>
      <w:r w:rsidR="00791094">
        <w:rPr>
          <w:rFonts w:ascii="Times New Roman" w:eastAsiaTheme="minorHAnsi" w:hAnsi="Times New Roman"/>
          <w:lang w:val="bs-Latn-BA"/>
        </w:rPr>
        <w:t xml:space="preserve"> u </w:t>
      </w:r>
      <w:r w:rsidR="00D47537">
        <w:rPr>
          <w:rFonts w:ascii="Times New Roman" w:eastAsiaTheme="minorHAnsi" w:hAnsi="Times New Roman"/>
          <w:lang w:val="bs-Latn-BA"/>
        </w:rPr>
        <w:t>s</w:t>
      </w:r>
      <w:r w:rsidR="00791094">
        <w:rPr>
          <w:rFonts w:ascii="Times New Roman" w:eastAsiaTheme="minorHAnsi" w:hAnsi="Times New Roman"/>
          <w:lang w:val="bs-Latn-BA"/>
        </w:rPr>
        <w:t xml:space="preserve">vezi sa nadzorom </w:t>
      </w:r>
      <w:r w:rsidR="00D47537">
        <w:rPr>
          <w:rFonts w:ascii="Times New Roman" w:eastAsiaTheme="minorHAnsi" w:hAnsi="Times New Roman"/>
          <w:lang w:val="bs-Latn-BA"/>
        </w:rPr>
        <w:t xml:space="preserve">okolišnih čimbenika </w:t>
      </w:r>
      <w:r w:rsidR="00791094">
        <w:rPr>
          <w:rFonts w:ascii="Times New Roman" w:eastAsiaTheme="minorHAnsi" w:hAnsi="Times New Roman"/>
          <w:lang w:val="bs-Latn-BA"/>
        </w:rPr>
        <w:t xml:space="preserve">rizika, unapređenje laboratorijske opreme i kontinuirana edukacija </w:t>
      </w:r>
      <w:r w:rsidR="00D47537">
        <w:rPr>
          <w:rFonts w:ascii="Times New Roman" w:eastAsiaTheme="minorHAnsi" w:hAnsi="Times New Roman"/>
          <w:lang w:val="bs-Latn-BA"/>
        </w:rPr>
        <w:t>u</w:t>
      </w:r>
      <w:r w:rsidR="00791094">
        <w:rPr>
          <w:rFonts w:ascii="Times New Roman" w:eastAsiaTheme="minorHAnsi" w:hAnsi="Times New Roman"/>
          <w:lang w:val="bs-Latn-BA"/>
        </w:rPr>
        <w:t xml:space="preserve">poslenih. Također, </w:t>
      </w:r>
      <w:r w:rsidR="00D47537">
        <w:rPr>
          <w:rFonts w:ascii="Times New Roman" w:eastAsiaTheme="minorHAnsi" w:hAnsi="Times New Roman"/>
          <w:lang w:val="bs-Latn-BA"/>
        </w:rPr>
        <w:t>važna</w:t>
      </w:r>
      <w:r w:rsidR="00D15A66">
        <w:rPr>
          <w:rFonts w:ascii="Times New Roman" w:eastAsiaTheme="minorHAnsi" w:hAnsi="Times New Roman"/>
          <w:lang w:val="bs-Latn-BA"/>
        </w:rPr>
        <w:t xml:space="preserve"> je i </w:t>
      </w:r>
      <w:r w:rsidR="00791094">
        <w:rPr>
          <w:rFonts w:ascii="Times New Roman" w:eastAsiaTheme="minorHAnsi" w:hAnsi="Times New Roman"/>
          <w:lang w:val="bs-Latn-BA"/>
        </w:rPr>
        <w:t>konti</w:t>
      </w:r>
      <w:r w:rsidR="007E27E5">
        <w:rPr>
          <w:rFonts w:ascii="Times New Roman" w:eastAsiaTheme="minorHAnsi" w:hAnsi="Times New Roman"/>
          <w:lang w:val="bs-Latn-BA"/>
        </w:rPr>
        <w:t>nuirana intersektorska s</w:t>
      </w:r>
      <w:r w:rsidR="00D47537">
        <w:rPr>
          <w:rFonts w:ascii="Times New Roman" w:eastAsiaTheme="minorHAnsi" w:hAnsi="Times New Roman"/>
          <w:lang w:val="bs-Latn-BA"/>
        </w:rPr>
        <w:t>u</w:t>
      </w:r>
      <w:r w:rsidR="007E27E5">
        <w:rPr>
          <w:rFonts w:ascii="Times New Roman" w:eastAsiaTheme="minorHAnsi" w:hAnsi="Times New Roman"/>
          <w:lang w:val="bs-Latn-BA"/>
        </w:rPr>
        <w:t>radnja</w:t>
      </w:r>
      <w:r w:rsidR="00D15A66">
        <w:rPr>
          <w:rFonts w:ascii="Times New Roman" w:eastAsiaTheme="minorHAnsi" w:hAnsi="Times New Roman"/>
          <w:lang w:val="bs-Latn-BA"/>
        </w:rPr>
        <w:t xml:space="preserve"> po pitanjima promocije zdravlja i prevencije</w:t>
      </w:r>
      <w:r w:rsidR="007E27E5">
        <w:rPr>
          <w:rFonts w:ascii="Times New Roman" w:eastAsiaTheme="minorHAnsi" w:hAnsi="Times New Roman"/>
          <w:lang w:val="bs-Latn-BA"/>
        </w:rPr>
        <w:t>.</w:t>
      </w:r>
    </w:p>
    <w:p w:rsidR="00CB071F" w:rsidRPr="00CB071F" w:rsidRDefault="00D8295C" w:rsidP="00CB071F">
      <w:pPr>
        <w:spacing w:after="160" w:line="259" w:lineRule="auto"/>
        <w:rPr>
          <w:rFonts w:asciiTheme="minorHAnsi" w:eastAsiaTheme="minorHAnsi" w:hAnsiTheme="minorHAnsi" w:cstheme="minorBidi"/>
          <w:lang w:val="bs-Latn-BA"/>
        </w:rPr>
      </w:pPr>
      <w:r w:rsidRPr="00014349">
        <w:rPr>
          <w:rFonts w:ascii="Times New Roman" w:eastAsiaTheme="minorHAnsi" w:hAnsi="Times New Roman"/>
          <w:lang w:val="bs-Latn-BA"/>
        </w:rPr>
        <w:t>S ciljem unapređenja organizacije zdravstvene zaštite</w:t>
      </w:r>
      <w:r w:rsidR="00D15A66" w:rsidRPr="00014349">
        <w:rPr>
          <w:rFonts w:ascii="Times New Roman" w:eastAsiaTheme="minorHAnsi" w:hAnsi="Times New Roman"/>
          <w:lang w:val="bs-Latn-BA"/>
        </w:rPr>
        <w:t>, od v</w:t>
      </w:r>
      <w:r w:rsidR="007E27E5" w:rsidRPr="00014349">
        <w:rPr>
          <w:rFonts w:ascii="Times New Roman" w:eastAsiaTheme="minorHAnsi" w:hAnsi="Times New Roman"/>
          <w:lang w:val="bs-Latn-BA"/>
        </w:rPr>
        <w:t>elike važnosti je</w:t>
      </w:r>
      <w:r w:rsidR="007E27E5">
        <w:rPr>
          <w:rFonts w:ascii="Times New Roman" w:eastAsiaTheme="minorHAnsi" w:hAnsi="Times New Roman"/>
          <w:lang w:val="bs-Latn-BA"/>
        </w:rPr>
        <w:t xml:space="preserve"> </w:t>
      </w:r>
      <w:r w:rsidR="00C95E91">
        <w:rPr>
          <w:rFonts w:ascii="Times New Roman" w:eastAsiaTheme="minorHAnsi" w:hAnsi="Times New Roman"/>
          <w:lang w:val="bs-Latn-BA"/>
        </w:rPr>
        <w:t>unapređenje implementacije ciljeva S</w:t>
      </w:r>
      <w:r w:rsidR="00D15A66">
        <w:rPr>
          <w:rFonts w:ascii="Times New Roman" w:eastAsiaTheme="minorHAnsi" w:hAnsi="Times New Roman"/>
          <w:lang w:val="bs-Latn-BA"/>
        </w:rPr>
        <w:t>t</w:t>
      </w:r>
      <w:r w:rsidR="00C95E91">
        <w:rPr>
          <w:rFonts w:ascii="Times New Roman" w:eastAsiaTheme="minorHAnsi" w:hAnsi="Times New Roman"/>
          <w:lang w:val="bs-Latn-BA"/>
        </w:rPr>
        <w:t xml:space="preserve">rateškog plana razvoja zdravstva u Federaciji BiH, što se posebno odnosi na bržu reorganizaciju službi u domovima zdravlja i smanjenje razlika u dostupnosti timova primarne zdravstvene zaštite po kantonima, racionalizaciju bolničkih kapaciteta, uvođenje </w:t>
      </w:r>
      <w:r w:rsidR="00D47537">
        <w:rPr>
          <w:rFonts w:ascii="Times New Roman" w:eastAsiaTheme="minorHAnsi" w:hAnsi="Times New Roman"/>
          <w:lang w:val="bs-Latn-BA"/>
        </w:rPr>
        <w:t xml:space="preserve">poticajnih </w:t>
      </w:r>
      <w:r w:rsidR="00014349">
        <w:rPr>
          <w:rFonts w:ascii="Times New Roman" w:eastAsiaTheme="minorHAnsi" w:hAnsi="Times New Roman"/>
          <w:lang w:val="bs-Latn-BA"/>
        </w:rPr>
        <w:t xml:space="preserve">mehanizama plaćanja, kontinuiranu profesionalnu edukaciju </w:t>
      </w:r>
      <w:r w:rsidR="00D47537">
        <w:rPr>
          <w:rFonts w:ascii="Times New Roman" w:eastAsiaTheme="minorHAnsi" w:hAnsi="Times New Roman"/>
          <w:lang w:val="bs-Latn-BA"/>
        </w:rPr>
        <w:t>uposlenih, te po</w:t>
      </w:r>
      <w:r w:rsidR="00014349">
        <w:rPr>
          <w:rFonts w:ascii="Times New Roman" w:eastAsiaTheme="minorHAnsi" w:hAnsi="Times New Roman"/>
          <w:lang w:val="bs-Latn-BA"/>
        </w:rPr>
        <w:t xml:space="preserve">mlađivanje </w:t>
      </w:r>
      <w:r w:rsidR="00D47537">
        <w:rPr>
          <w:rFonts w:ascii="Times New Roman" w:eastAsiaTheme="minorHAnsi" w:hAnsi="Times New Roman"/>
          <w:lang w:val="bs-Latn-BA"/>
        </w:rPr>
        <w:t>osoblja</w:t>
      </w:r>
      <w:r w:rsidR="00014349">
        <w:rPr>
          <w:rFonts w:ascii="Times New Roman" w:eastAsiaTheme="minorHAnsi" w:hAnsi="Times New Roman"/>
          <w:lang w:val="bs-Latn-BA"/>
        </w:rPr>
        <w:t xml:space="preserve"> u zdravstvenim ustanovama. Također je neophodno kontinuirano raditi na informatizaciji u </w:t>
      </w:r>
      <w:r w:rsidR="000B2551">
        <w:rPr>
          <w:rFonts w:ascii="Times New Roman" w:eastAsiaTheme="minorHAnsi" w:hAnsi="Times New Roman"/>
          <w:lang w:val="bs-Latn-BA"/>
        </w:rPr>
        <w:t>sektoru zdravstva</w:t>
      </w:r>
      <w:r w:rsidR="00014349">
        <w:rPr>
          <w:rFonts w:ascii="Times New Roman" w:eastAsiaTheme="minorHAnsi" w:hAnsi="Times New Roman"/>
          <w:lang w:val="bs-Latn-BA"/>
        </w:rPr>
        <w:t>.</w:t>
      </w:r>
    </w:p>
    <w:p w:rsidR="00A131AD" w:rsidRDefault="00A131AD" w:rsidP="000C0138">
      <w:pPr>
        <w:spacing w:line="276" w:lineRule="auto"/>
        <w:ind w:left="6372" w:firstLine="708"/>
        <w:rPr>
          <w:rFonts w:ascii="Times New Roman" w:hAnsi="Times New Roman"/>
        </w:rPr>
      </w:pPr>
    </w:p>
    <w:p w:rsidR="00CB071F" w:rsidRPr="00155F80" w:rsidRDefault="00CB071F" w:rsidP="000C0138">
      <w:pPr>
        <w:spacing w:line="276" w:lineRule="auto"/>
        <w:ind w:left="6372" w:firstLine="708"/>
        <w:rPr>
          <w:rFonts w:ascii="Times New Roman" w:hAnsi="Times New Roman"/>
        </w:rPr>
      </w:pPr>
    </w:p>
    <w:p w:rsidR="00A131AD" w:rsidRPr="00155F80" w:rsidRDefault="00A131AD" w:rsidP="000C0138">
      <w:pPr>
        <w:spacing w:line="276" w:lineRule="auto"/>
        <w:ind w:left="6372" w:firstLine="708"/>
        <w:rPr>
          <w:rFonts w:ascii="Times New Roman" w:hAnsi="Times New Roman"/>
        </w:rPr>
      </w:pPr>
    </w:p>
    <w:p w:rsidR="00CB071F" w:rsidRDefault="00CB071F">
      <w:pPr>
        <w:spacing w:after="160" w:line="259" w:lineRule="auto"/>
        <w:jc w:val="left"/>
        <w:rPr>
          <w:rFonts w:ascii="Times New Roman" w:hAnsi="Times New Roman"/>
        </w:rPr>
      </w:pPr>
      <w:r>
        <w:rPr>
          <w:rFonts w:ascii="Times New Roman" w:hAnsi="Times New Roman"/>
        </w:rPr>
        <w:br w:type="page"/>
      </w:r>
    </w:p>
    <w:p w:rsidR="00A131AD" w:rsidRPr="00155F80" w:rsidRDefault="00A131AD" w:rsidP="000C0138">
      <w:pPr>
        <w:spacing w:line="276" w:lineRule="auto"/>
        <w:ind w:left="6372" w:firstLine="708"/>
        <w:rPr>
          <w:rFonts w:ascii="Times New Roman" w:hAnsi="Times New Roman"/>
        </w:rPr>
      </w:pPr>
    </w:p>
    <w:p w:rsidR="00A131AD" w:rsidRPr="00155F80" w:rsidRDefault="00D47537" w:rsidP="000C0138">
      <w:pPr>
        <w:pStyle w:val="Poglavlje1"/>
        <w:numPr>
          <w:ilvl w:val="0"/>
          <w:numId w:val="0"/>
        </w:numPr>
        <w:spacing w:line="276" w:lineRule="auto"/>
        <w:ind w:left="720"/>
      </w:pPr>
      <w:r>
        <w:t>KRATICE</w:t>
      </w:r>
    </w:p>
    <w:p w:rsidR="00A131AD" w:rsidRPr="00155F80" w:rsidRDefault="00A131AD" w:rsidP="000C0138">
      <w:pPr>
        <w:spacing w:line="276" w:lineRule="auto"/>
        <w:jc w:val="left"/>
        <w:rPr>
          <w:rFonts w:ascii="Times New Roman" w:hAnsi="Times New Roman"/>
          <w:lang w:val="bs-Latn-B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081"/>
        <w:gridCol w:w="6981"/>
      </w:tblGrid>
      <w:tr w:rsidR="00A131AD" w:rsidRPr="00155F80" w:rsidTr="00CE6ED4">
        <w:trPr>
          <w:trHeight w:val="271"/>
        </w:trPr>
        <w:tc>
          <w:tcPr>
            <w:tcW w:w="2081" w:type="dxa"/>
            <w:tcBorders>
              <w:top w:val="single" w:sz="4" w:space="0" w:color="auto"/>
              <w:left w:val="single" w:sz="4" w:space="0" w:color="auto"/>
              <w:bottom w:val="single" w:sz="4" w:space="0" w:color="auto"/>
              <w:right w:val="single" w:sz="4" w:space="0" w:color="auto"/>
            </w:tcBorders>
            <w:vAlign w:val="center"/>
            <w:hideMark/>
          </w:tcPr>
          <w:p w:rsidR="00A131AD" w:rsidRPr="00155F80" w:rsidRDefault="00A131AD" w:rsidP="000C0138">
            <w:pPr>
              <w:spacing w:before="60" w:line="276" w:lineRule="auto"/>
              <w:jc w:val="left"/>
              <w:rPr>
                <w:rFonts w:ascii="Times New Roman" w:hAnsi="Times New Roman"/>
                <w:lang w:val="bs-Latn-BA"/>
              </w:rPr>
            </w:pPr>
            <w:r w:rsidRPr="00155F80">
              <w:rPr>
                <w:rFonts w:ascii="Times New Roman" w:hAnsi="Times New Roman"/>
                <w:lang w:val="bs-Latn-BA"/>
              </w:rPr>
              <w:t>AIDS</w:t>
            </w:r>
          </w:p>
        </w:tc>
        <w:tc>
          <w:tcPr>
            <w:tcW w:w="6981" w:type="dxa"/>
            <w:tcBorders>
              <w:top w:val="single" w:sz="4" w:space="0" w:color="auto"/>
              <w:left w:val="single" w:sz="4" w:space="0" w:color="auto"/>
              <w:bottom w:val="single" w:sz="4" w:space="0" w:color="auto"/>
              <w:right w:val="single" w:sz="4" w:space="0" w:color="auto"/>
            </w:tcBorders>
            <w:vAlign w:val="center"/>
            <w:hideMark/>
          </w:tcPr>
          <w:p w:rsidR="00A131AD" w:rsidRPr="00155F80" w:rsidRDefault="00A131AD" w:rsidP="000C0138">
            <w:pPr>
              <w:spacing w:before="60" w:line="276" w:lineRule="auto"/>
              <w:jc w:val="left"/>
              <w:rPr>
                <w:rFonts w:ascii="Times New Roman" w:hAnsi="Times New Roman"/>
                <w:lang w:val="bs-Latn-BA"/>
              </w:rPr>
            </w:pPr>
            <w:r w:rsidRPr="00155F80">
              <w:rPr>
                <w:rFonts w:ascii="Times New Roman" w:hAnsi="Times New Roman"/>
                <w:lang w:val="bs-Latn-BA"/>
              </w:rPr>
              <w:t>Sindrom stečene imunodeficijencije</w:t>
            </w:r>
          </w:p>
        </w:tc>
      </w:tr>
      <w:tr w:rsidR="00A131AD" w:rsidRPr="00155F80" w:rsidTr="00CE6ED4">
        <w:trPr>
          <w:trHeight w:val="333"/>
        </w:trPr>
        <w:tc>
          <w:tcPr>
            <w:tcW w:w="2081" w:type="dxa"/>
            <w:tcBorders>
              <w:top w:val="single" w:sz="4" w:space="0" w:color="auto"/>
              <w:left w:val="single" w:sz="4" w:space="0" w:color="auto"/>
              <w:bottom w:val="single" w:sz="4" w:space="0" w:color="auto"/>
              <w:right w:val="single" w:sz="4" w:space="0" w:color="auto"/>
            </w:tcBorders>
            <w:vAlign w:val="center"/>
            <w:hideMark/>
          </w:tcPr>
          <w:p w:rsidR="00A131AD" w:rsidRPr="00155F80" w:rsidRDefault="00A131AD" w:rsidP="000C0138">
            <w:pPr>
              <w:spacing w:before="60" w:line="276" w:lineRule="auto"/>
              <w:jc w:val="left"/>
              <w:rPr>
                <w:rFonts w:ascii="Times New Roman" w:hAnsi="Times New Roman"/>
                <w:lang w:val="bs-Latn-BA"/>
              </w:rPr>
            </w:pPr>
            <w:r w:rsidRPr="00155F80">
              <w:rPr>
                <w:rFonts w:ascii="Times New Roman" w:hAnsi="Times New Roman"/>
                <w:lang w:val="bs-Latn-BA"/>
              </w:rPr>
              <w:t>BDP/GDP</w:t>
            </w:r>
          </w:p>
        </w:tc>
        <w:tc>
          <w:tcPr>
            <w:tcW w:w="6981" w:type="dxa"/>
            <w:tcBorders>
              <w:top w:val="single" w:sz="4" w:space="0" w:color="auto"/>
              <w:left w:val="single" w:sz="4" w:space="0" w:color="auto"/>
              <w:bottom w:val="single" w:sz="4" w:space="0" w:color="auto"/>
              <w:right w:val="single" w:sz="4" w:space="0" w:color="auto"/>
            </w:tcBorders>
            <w:vAlign w:val="center"/>
            <w:hideMark/>
          </w:tcPr>
          <w:p w:rsidR="00A131AD" w:rsidRPr="00155F80" w:rsidRDefault="00A131AD" w:rsidP="000C0138">
            <w:pPr>
              <w:spacing w:before="60" w:line="276" w:lineRule="auto"/>
              <w:jc w:val="left"/>
              <w:rPr>
                <w:rFonts w:ascii="Times New Roman" w:hAnsi="Times New Roman"/>
                <w:lang w:val="bs-Latn-BA"/>
              </w:rPr>
            </w:pPr>
            <w:r w:rsidRPr="00155F80">
              <w:rPr>
                <w:rFonts w:ascii="Times New Roman" w:hAnsi="Times New Roman"/>
                <w:lang w:val="bs-Latn-BA"/>
              </w:rPr>
              <w:t>Bruto domaći proizvod</w:t>
            </w:r>
          </w:p>
        </w:tc>
      </w:tr>
      <w:tr w:rsidR="00A131AD" w:rsidRPr="00155F80" w:rsidTr="00CE6ED4">
        <w:trPr>
          <w:trHeight w:val="271"/>
        </w:trPr>
        <w:tc>
          <w:tcPr>
            <w:tcW w:w="2081" w:type="dxa"/>
            <w:tcBorders>
              <w:top w:val="single" w:sz="4" w:space="0" w:color="auto"/>
              <w:left w:val="single" w:sz="4" w:space="0" w:color="auto"/>
              <w:bottom w:val="single" w:sz="4" w:space="0" w:color="auto"/>
              <w:right w:val="single" w:sz="4" w:space="0" w:color="auto"/>
            </w:tcBorders>
            <w:vAlign w:val="center"/>
            <w:hideMark/>
          </w:tcPr>
          <w:p w:rsidR="00A131AD" w:rsidRPr="00155F80" w:rsidRDefault="00A131AD" w:rsidP="000C0138">
            <w:pPr>
              <w:spacing w:before="60" w:line="276" w:lineRule="auto"/>
              <w:jc w:val="left"/>
              <w:rPr>
                <w:rFonts w:ascii="Times New Roman" w:hAnsi="Times New Roman"/>
                <w:lang w:val="bs-Latn-BA"/>
              </w:rPr>
            </w:pPr>
            <w:r w:rsidRPr="00155F80">
              <w:rPr>
                <w:rFonts w:ascii="Times New Roman" w:hAnsi="Times New Roman"/>
                <w:lang w:val="bs-Latn-BA"/>
              </w:rPr>
              <w:t>BBS</w:t>
            </w:r>
          </w:p>
        </w:tc>
        <w:tc>
          <w:tcPr>
            <w:tcW w:w="6981" w:type="dxa"/>
            <w:tcBorders>
              <w:top w:val="single" w:sz="4" w:space="0" w:color="auto"/>
              <w:left w:val="single" w:sz="4" w:space="0" w:color="auto"/>
              <w:bottom w:val="single" w:sz="4" w:space="0" w:color="auto"/>
              <w:right w:val="single" w:sz="4" w:space="0" w:color="auto"/>
            </w:tcBorders>
            <w:vAlign w:val="center"/>
            <w:hideMark/>
          </w:tcPr>
          <w:p w:rsidR="00A131AD" w:rsidRPr="00155F80" w:rsidRDefault="00A131AD" w:rsidP="000C0138">
            <w:pPr>
              <w:spacing w:before="60" w:line="276" w:lineRule="auto"/>
              <w:jc w:val="left"/>
              <w:rPr>
                <w:rFonts w:ascii="Times New Roman" w:hAnsi="Times New Roman"/>
                <w:lang w:val="bs-Latn-BA"/>
              </w:rPr>
            </w:pPr>
            <w:r w:rsidRPr="00155F80">
              <w:rPr>
                <w:rFonts w:ascii="Times New Roman" w:hAnsi="Times New Roman"/>
                <w:lang w:val="bs-Latn-BA"/>
              </w:rPr>
              <w:t>Biološko-bihevioralna studija</w:t>
            </w:r>
          </w:p>
        </w:tc>
      </w:tr>
      <w:tr w:rsidR="0021578F" w:rsidRPr="00155F80" w:rsidTr="00CE6ED4">
        <w:trPr>
          <w:trHeight w:val="271"/>
        </w:trPr>
        <w:tc>
          <w:tcPr>
            <w:tcW w:w="2081" w:type="dxa"/>
            <w:tcBorders>
              <w:top w:val="single" w:sz="4" w:space="0" w:color="auto"/>
              <w:left w:val="single" w:sz="4" w:space="0" w:color="auto"/>
              <w:bottom w:val="single" w:sz="4" w:space="0" w:color="auto"/>
              <w:right w:val="single" w:sz="4" w:space="0" w:color="auto"/>
            </w:tcBorders>
            <w:vAlign w:val="center"/>
          </w:tcPr>
          <w:p w:rsidR="0021578F" w:rsidRPr="00155F80" w:rsidRDefault="0021578F" w:rsidP="000C0138">
            <w:pPr>
              <w:spacing w:before="60" w:line="276" w:lineRule="auto"/>
              <w:jc w:val="left"/>
              <w:rPr>
                <w:rFonts w:ascii="Times New Roman" w:hAnsi="Times New Roman"/>
                <w:lang w:val="bs-Latn-BA"/>
              </w:rPr>
            </w:pPr>
            <w:r w:rsidRPr="00155F80">
              <w:rPr>
                <w:rFonts w:ascii="Times New Roman" w:hAnsi="Times New Roman"/>
                <w:lang w:val="bs-Latn-BA"/>
              </w:rPr>
              <w:t>DRARNS</w:t>
            </w:r>
          </w:p>
        </w:tc>
        <w:tc>
          <w:tcPr>
            <w:tcW w:w="6981" w:type="dxa"/>
            <w:tcBorders>
              <w:top w:val="single" w:sz="4" w:space="0" w:color="auto"/>
              <w:left w:val="single" w:sz="4" w:space="0" w:color="auto"/>
              <w:bottom w:val="single" w:sz="4" w:space="0" w:color="auto"/>
              <w:right w:val="single" w:sz="4" w:space="0" w:color="auto"/>
            </w:tcBorders>
            <w:vAlign w:val="center"/>
          </w:tcPr>
          <w:p w:rsidR="0021578F" w:rsidRPr="00155F80" w:rsidRDefault="0021578F" w:rsidP="000C0138">
            <w:pPr>
              <w:spacing w:before="60" w:line="276" w:lineRule="auto"/>
              <w:jc w:val="left"/>
              <w:rPr>
                <w:rFonts w:ascii="Times New Roman" w:hAnsi="Times New Roman"/>
                <w:lang w:val="bs-Latn-BA"/>
              </w:rPr>
            </w:pPr>
            <w:r w:rsidRPr="00155F80">
              <w:rPr>
                <w:rFonts w:ascii="Times New Roman" w:hAnsi="Times New Roman"/>
                <w:lang w:val="bs-Latn-BA"/>
              </w:rPr>
              <w:t>Državna regulatorna agencija za radijacijsku i nuklearnu sigurnost</w:t>
            </w:r>
          </w:p>
        </w:tc>
      </w:tr>
      <w:tr w:rsidR="00A131AD" w:rsidRPr="00155F80" w:rsidTr="00CE6ED4">
        <w:trPr>
          <w:trHeight w:val="376"/>
        </w:trPr>
        <w:tc>
          <w:tcPr>
            <w:tcW w:w="2081" w:type="dxa"/>
            <w:tcBorders>
              <w:top w:val="single" w:sz="4" w:space="0" w:color="auto"/>
              <w:left w:val="single" w:sz="4" w:space="0" w:color="auto"/>
              <w:bottom w:val="single" w:sz="4" w:space="0" w:color="auto"/>
              <w:right w:val="single" w:sz="4" w:space="0" w:color="auto"/>
            </w:tcBorders>
            <w:vAlign w:val="center"/>
            <w:hideMark/>
          </w:tcPr>
          <w:p w:rsidR="00A131AD" w:rsidRPr="00155F80" w:rsidRDefault="00A131AD" w:rsidP="000C0138">
            <w:pPr>
              <w:spacing w:before="60" w:line="276" w:lineRule="auto"/>
              <w:jc w:val="left"/>
              <w:rPr>
                <w:rFonts w:ascii="Times New Roman" w:hAnsi="Times New Roman"/>
                <w:lang w:val="bs-Latn-BA"/>
              </w:rPr>
            </w:pPr>
            <w:r w:rsidRPr="00155F80">
              <w:rPr>
                <w:rFonts w:ascii="Times New Roman" w:hAnsi="Times New Roman"/>
                <w:lang w:val="bs-Latn-BA"/>
              </w:rPr>
              <w:t>FBiH</w:t>
            </w:r>
          </w:p>
        </w:tc>
        <w:tc>
          <w:tcPr>
            <w:tcW w:w="6981" w:type="dxa"/>
            <w:tcBorders>
              <w:top w:val="single" w:sz="4" w:space="0" w:color="auto"/>
              <w:left w:val="single" w:sz="4" w:space="0" w:color="auto"/>
              <w:bottom w:val="single" w:sz="4" w:space="0" w:color="auto"/>
              <w:right w:val="single" w:sz="4" w:space="0" w:color="auto"/>
            </w:tcBorders>
            <w:vAlign w:val="center"/>
            <w:hideMark/>
          </w:tcPr>
          <w:p w:rsidR="00A131AD" w:rsidRPr="00155F80" w:rsidRDefault="00A131AD" w:rsidP="000C0138">
            <w:pPr>
              <w:spacing w:before="60" w:line="276" w:lineRule="auto"/>
              <w:jc w:val="left"/>
              <w:rPr>
                <w:rFonts w:ascii="Times New Roman" w:hAnsi="Times New Roman"/>
                <w:lang w:val="bs-Latn-BA"/>
              </w:rPr>
            </w:pPr>
            <w:r w:rsidRPr="00155F80">
              <w:rPr>
                <w:rFonts w:ascii="Times New Roman" w:hAnsi="Times New Roman"/>
                <w:lang w:val="bs-Latn-BA"/>
              </w:rPr>
              <w:t>Federacija Bosne i Hercegovine</w:t>
            </w:r>
          </w:p>
        </w:tc>
      </w:tr>
      <w:tr w:rsidR="00A131AD" w:rsidRPr="00155F80" w:rsidTr="00CE6ED4">
        <w:trPr>
          <w:trHeight w:val="362"/>
        </w:trPr>
        <w:tc>
          <w:tcPr>
            <w:tcW w:w="2081" w:type="dxa"/>
            <w:tcBorders>
              <w:top w:val="single" w:sz="4" w:space="0" w:color="auto"/>
              <w:left w:val="single" w:sz="4" w:space="0" w:color="auto"/>
              <w:bottom w:val="single" w:sz="4" w:space="0" w:color="auto"/>
              <w:right w:val="single" w:sz="4" w:space="0" w:color="auto"/>
            </w:tcBorders>
            <w:vAlign w:val="center"/>
            <w:hideMark/>
          </w:tcPr>
          <w:p w:rsidR="00A131AD" w:rsidRPr="00155F80" w:rsidRDefault="00A131AD" w:rsidP="000C0138">
            <w:pPr>
              <w:spacing w:before="60" w:line="276" w:lineRule="auto"/>
              <w:jc w:val="left"/>
              <w:rPr>
                <w:rFonts w:ascii="Times New Roman" w:hAnsi="Times New Roman"/>
                <w:lang w:val="bs-Latn-BA"/>
              </w:rPr>
            </w:pPr>
            <w:r w:rsidRPr="00155F80">
              <w:rPr>
                <w:rFonts w:ascii="Times New Roman" w:hAnsi="Times New Roman"/>
                <w:lang w:val="bs-Latn-BA"/>
              </w:rPr>
              <w:t>FMZ</w:t>
            </w:r>
          </w:p>
        </w:tc>
        <w:tc>
          <w:tcPr>
            <w:tcW w:w="6981" w:type="dxa"/>
            <w:tcBorders>
              <w:top w:val="single" w:sz="4" w:space="0" w:color="auto"/>
              <w:left w:val="single" w:sz="4" w:space="0" w:color="auto"/>
              <w:bottom w:val="single" w:sz="4" w:space="0" w:color="auto"/>
              <w:right w:val="single" w:sz="4" w:space="0" w:color="auto"/>
            </w:tcBorders>
            <w:vAlign w:val="center"/>
            <w:hideMark/>
          </w:tcPr>
          <w:p w:rsidR="00A131AD" w:rsidRPr="00155F80" w:rsidRDefault="00A131AD" w:rsidP="000C0138">
            <w:pPr>
              <w:spacing w:before="60" w:line="276" w:lineRule="auto"/>
              <w:jc w:val="left"/>
              <w:rPr>
                <w:rFonts w:ascii="Times New Roman" w:hAnsi="Times New Roman"/>
                <w:lang w:val="bs-Latn-BA"/>
              </w:rPr>
            </w:pPr>
            <w:r w:rsidRPr="00155F80">
              <w:rPr>
                <w:rFonts w:ascii="Times New Roman" w:hAnsi="Times New Roman"/>
                <w:lang w:val="bs-Latn-BA"/>
              </w:rPr>
              <w:t>Federalno ministarstvo zdravstva</w:t>
            </w:r>
          </w:p>
        </w:tc>
      </w:tr>
      <w:tr w:rsidR="00A131AD" w:rsidRPr="00155F80" w:rsidTr="00CE6ED4">
        <w:trPr>
          <w:trHeight w:val="271"/>
        </w:trPr>
        <w:tc>
          <w:tcPr>
            <w:tcW w:w="2081" w:type="dxa"/>
            <w:tcBorders>
              <w:top w:val="single" w:sz="4" w:space="0" w:color="auto"/>
              <w:left w:val="single" w:sz="4" w:space="0" w:color="auto"/>
              <w:bottom w:val="single" w:sz="4" w:space="0" w:color="auto"/>
              <w:right w:val="single" w:sz="4" w:space="0" w:color="auto"/>
            </w:tcBorders>
            <w:vAlign w:val="center"/>
            <w:hideMark/>
          </w:tcPr>
          <w:p w:rsidR="00A131AD" w:rsidRPr="00155F80" w:rsidRDefault="00A131AD" w:rsidP="000C0138">
            <w:pPr>
              <w:spacing w:before="60" w:line="276" w:lineRule="auto"/>
              <w:jc w:val="left"/>
              <w:rPr>
                <w:rFonts w:ascii="Times New Roman" w:hAnsi="Times New Roman"/>
                <w:lang w:val="bs-Latn-BA"/>
              </w:rPr>
            </w:pPr>
            <w:r w:rsidRPr="00155F80">
              <w:rPr>
                <w:rFonts w:ascii="Times New Roman" w:hAnsi="Times New Roman"/>
                <w:lang w:val="bs-Latn-BA"/>
              </w:rPr>
              <w:t>FZS</w:t>
            </w:r>
          </w:p>
        </w:tc>
        <w:tc>
          <w:tcPr>
            <w:tcW w:w="6981" w:type="dxa"/>
            <w:tcBorders>
              <w:top w:val="single" w:sz="4" w:space="0" w:color="auto"/>
              <w:left w:val="single" w:sz="4" w:space="0" w:color="auto"/>
              <w:bottom w:val="single" w:sz="4" w:space="0" w:color="auto"/>
              <w:right w:val="single" w:sz="4" w:space="0" w:color="auto"/>
            </w:tcBorders>
            <w:vAlign w:val="center"/>
            <w:hideMark/>
          </w:tcPr>
          <w:p w:rsidR="00A131AD" w:rsidRPr="00155F80" w:rsidRDefault="00A131AD" w:rsidP="000C0138">
            <w:pPr>
              <w:spacing w:before="60" w:line="276" w:lineRule="auto"/>
              <w:jc w:val="left"/>
              <w:rPr>
                <w:rFonts w:ascii="Times New Roman" w:hAnsi="Times New Roman"/>
                <w:lang w:val="bs-Latn-BA"/>
              </w:rPr>
            </w:pPr>
            <w:r w:rsidRPr="00155F80">
              <w:rPr>
                <w:rFonts w:ascii="Times New Roman" w:hAnsi="Times New Roman"/>
                <w:lang w:val="bs-Latn-BA"/>
              </w:rPr>
              <w:t>Federalni zavod za statistiku</w:t>
            </w:r>
          </w:p>
        </w:tc>
      </w:tr>
      <w:tr w:rsidR="00A131AD" w:rsidRPr="00155F80" w:rsidTr="00CE6ED4">
        <w:trPr>
          <w:trHeight w:val="271"/>
        </w:trPr>
        <w:tc>
          <w:tcPr>
            <w:tcW w:w="2081" w:type="dxa"/>
            <w:tcBorders>
              <w:top w:val="single" w:sz="4" w:space="0" w:color="auto"/>
              <w:left w:val="single" w:sz="4" w:space="0" w:color="auto"/>
              <w:bottom w:val="single" w:sz="4" w:space="0" w:color="auto"/>
              <w:right w:val="single" w:sz="4" w:space="0" w:color="auto"/>
            </w:tcBorders>
            <w:vAlign w:val="center"/>
            <w:hideMark/>
          </w:tcPr>
          <w:p w:rsidR="00A131AD" w:rsidRPr="00155F80" w:rsidRDefault="00A131AD" w:rsidP="000C0138">
            <w:pPr>
              <w:spacing w:before="60" w:line="276" w:lineRule="auto"/>
              <w:jc w:val="left"/>
              <w:rPr>
                <w:rFonts w:ascii="Times New Roman" w:hAnsi="Times New Roman"/>
                <w:lang w:val="bs-Latn-BA"/>
              </w:rPr>
            </w:pPr>
            <w:r w:rsidRPr="00155F80">
              <w:rPr>
                <w:rFonts w:ascii="Times New Roman" w:hAnsi="Times New Roman"/>
                <w:lang w:val="bs-Latn-BA"/>
              </w:rPr>
              <w:t>HBV</w:t>
            </w:r>
          </w:p>
        </w:tc>
        <w:tc>
          <w:tcPr>
            <w:tcW w:w="6981" w:type="dxa"/>
            <w:tcBorders>
              <w:top w:val="single" w:sz="4" w:space="0" w:color="auto"/>
              <w:left w:val="single" w:sz="4" w:space="0" w:color="auto"/>
              <w:bottom w:val="single" w:sz="4" w:space="0" w:color="auto"/>
              <w:right w:val="single" w:sz="4" w:space="0" w:color="auto"/>
            </w:tcBorders>
            <w:vAlign w:val="center"/>
            <w:hideMark/>
          </w:tcPr>
          <w:p w:rsidR="00A131AD" w:rsidRPr="00155F80" w:rsidRDefault="00A131AD" w:rsidP="000C0138">
            <w:pPr>
              <w:spacing w:before="60" w:line="276" w:lineRule="auto"/>
              <w:jc w:val="left"/>
              <w:rPr>
                <w:rFonts w:ascii="Times New Roman" w:hAnsi="Times New Roman"/>
                <w:lang w:val="bs-Latn-BA"/>
              </w:rPr>
            </w:pPr>
            <w:r w:rsidRPr="00155F80">
              <w:rPr>
                <w:rFonts w:ascii="Times New Roman" w:hAnsi="Times New Roman"/>
                <w:lang w:val="bs-Latn-BA"/>
              </w:rPr>
              <w:t>Hepatitis B virus</w:t>
            </w:r>
          </w:p>
        </w:tc>
      </w:tr>
      <w:tr w:rsidR="00A131AD" w:rsidRPr="00155F80" w:rsidTr="00CE6ED4">
        <w:trPr>
          <w:trHeight w:val="271"/>
        </w:trPr>
        <w:tc>
          <w:tcPr>
            <w:tcW w:w="2081" w:type="dxa"/>
            <w:tcBorders>
              <w:top w:val="single" w:sz="4" w:space="0" w:color="auto"/>
              <w:left w:val="single" w:sz="4" w:space="0" w:color="auto"/>
              <w:bottom w:val="single" w:sz="4" w:space="0" w:color="auto"/>
              <w:right w:val="single" w:sz="4" w:space="0" w:color="auto"/>
            </w:tcBorders>
            <w:vAlign w:val="center"/>
            <w:hideMark/>
          </w:tcPr>
          <w:p w:rsidR="00A131AD" w:rsidRPr="00155F80" w:rsidRDefault="00A131AD" w:rsidP="000C0138">
            <w:pPr>
              <w:spacing w:before="60" w:line="276" w:lineRule="auto"/>
              <w:jc w:val="left"/>
              <w:rPr>
                <w:rFonts w:ascii="Times New Roman" w:hAnsi="Times New Roman"/>
                <w:lang w:val="bs-Latn-BA"/>
              </w:rPr>
            </w:pPr>
            <w:r w:rsidRPr="00155F80">
              <w:rPr>
                <w:rFonts w:ascii="Times New Roman" w:hAnsi="Times New Roman"/>
                <w:lang w:val="bs-Latn-BA"/>
              </w:rPr>
              <w:t>HBC</w:t>
            </w:r>
          </w:p>
        </w:tc>
        <w:tc>
          <w:tcPr>
            <w:tcW w:w="6981" w:type="dxa"/>
            <w:tcBorders>
              <w:top w:val="single" w:sz="4" w:space="0" w:color="auto"/>
              <w:left w:val="single" w:sz="4" w:space="0" w:color="auto"/>
              <w:bottom w:val="single" w:sz="4" w:space="0" w:color="auto"/>
              <w:right w:val="single" w:sz="4" w:space="0" w:color="auto"/>
            </w:tcBorders>
            <w:vAlign w:val="center"/>
            <w:hideMark/>
          </w:tcPr>
          <w:p w:rsidR="00A131AD" w:rsidRPr="00155F80" w:rsidRDefault="00A131AD" w:rsidP="000C0138">
            <w:pPr>
              <w:spacing w:before="60" w:line="276" w:lineRule="auto"/>
              <w:jc w:val="left"/>
              <w:rPr>
                <w:rFonts w:ascii="Times New Roman" w:hAnsi="Times New Roman"/>
                <w:lang w:val="bs-Latn-BA"/>
              </w:rPr>
            </w:pPr>
            <w:r w:rsidRPr="00155F80">
              <w:rPr>
                <w:rFonts w:ascii="Times New Roman" w:hAnsi="Times New Roman"/>
                <w:lang w:val="bs-Latn-BA"/>
              </w:rPr>
              <w:t>Hepatitis C virus</w:t>
            </w:r>
          </w:p>
        </w:tc>
      </w:tr>
      <w:tr w:rsidR="00A131AD" w:rsidRPr="00155F80" w:rsidTr="00CE6ED4">
        <w:trPr>
          <w:trHeight w:val="271"/>
        </w:trPr>
        <w:tc>
          <w:tcPr>
            <w:tcW w:w="2081" w:type="dxa"/>
            <w:tcBorders>
              <w:top w:val="single" w:sz="4" w:space="0" w:color="auto"/>
              <w:left w:val="single" w:sz="4" w:space="0" w:color="auto"/>
              <w:bottom w:val="single" w:sz="4" w:space="0" w:color="auto"/>
              <w:right w:val="single" w:sz="4" w:space="0" w:color="auto"/>
            </w:tcBorders>
            <w:vAlign w:val="center"/>
            <w:hideMark/>
          </w:tcPr>
          <w:p w:rsidR="00A131AD" w:rsidRPr="00155F80" w:rsidRDefault="00A131AD" w:rsidP="000C0138">
            <w:pPr>
              <w:spacing w:before="60" w:line="276" w:lineRule="auto"/>
              <w:jc w:val="left"/>
              <w:rPr>
                <w:rFonts w:ascii="Times New Roman" w:hAnsi="Times New Roman"/>
                <w:lang w:val="bs-Latn-BA"/>
              </w:rPr>
            </w:pPr>
            <w:r w:rsidRPr="00155F80">
              <w:rPr>
                <w:rFonts w:ascii="Times New Roman" w:hAnsi="Times New Roman"/>
                <w:lang w:val="bs-Latn-BA"/>
              </w:rPr>
              <w:t>HIV</w:t>
            </w:r>
          </w:p>
        </w:tc>
        <w:tc>
          <w:tcPr>
            <w:tcW w:w="6981" w:type="dxa"/>
            <w:tcBorders>
              <w:top w:val="single" w:sz="4" w:space="0" w:color="auto"/>
              <w:left w:val="single" w:sz="4" w:space="0" w:color="auto"/>
              <w:bottom w:val="single" w:sz="4" w:space="0" w:color="auto"/>
              <w:right w:val="single" w:sz="4" w:space="0" w:color="auto"/>
            </w:tcBorders>
            <w:vAlign w:val="center"/>
            <w:hideMark/>
          </w:tcPr>
          <w:p w:rsidR="00A131AD" w:rsidRPr="00155F80" w:rsidRDefault="00A131AD" w:rsidP="000C0138">
            <w:pPr>
              <w:spacing w:before="60" w:line="276" w:lineRule="auto"/>
              <w:jc w:val="left"/>
              <w:rPr>
                <w:rFonts w:ascii="Times New Roman" w:hAnsi="Times New Roman"/>
                <w:lang w:val="bs-Latn-BA"/>
              </w:rPr>
            </w:pPr>
            <w:r w:rsidRPr="00155F80">
              <w:rPr>
                <w:rFonts w:ascii="Times New Roman" w:hAnsi="Times New Roman"/>
                <w:lang w:val="bs-Latn-BA"/>
              </w:rPr>
              <w:t>Virus koji uzrokuje AIDS</w:t>
            </w:r>
          </w:p>
        </w:tc>
      </w:tr>
      <w:tr w:rsidR="00A131AD" w:rsidRPr="00155F80" w:rsidTr="00CE6ED4">
        <w:trPr>
          <w:trHeight w:val="362"/>
        </w:trPr>
        <w:tc>
          <w:tcPr>
            <w:tcW w:w="2081" w:type="dxa"/>
            <w:tcBorders>
              <w:top w:val="single" w:sz="4" w:space="0" w:color="auto"/>
              <w:left w:val="single" w:sz="4" w:space="0" w:color="auto"/>
              <w:bottom w:val="single" w:sz="4" w:space="0" w:color="auto"/>
              <w:right w:val="single" w:sz="4" w:space="0" w:color="auto"/>
            </w:tcBorders>
            <w:vAlign w:val="center"/>
            <w:hideMark/>
          </w:tcPr>
          <w:p w:rsidR="00A131AD" w:rsidRPr="00155F80" w:rsidRDefault="00A131AD" w:rsidP="000C0138">
            <w:pPr>
              <w:spacing w:before="60" w:line="276" w:lineRule="auto"/>
              <w:jc w:val="left"/>
              <w:rPr>
                <w:rFonts w:ascii="Times New Roman" w:hAnsi="Times New Roman"/>
                <w:lang w:val="bs-Latn-BA"/>
              </w:rPr>
            </w:pPr>
            <w:r w:rsidRPr="00155F80">
              <w:rPr>
                <w:rFonts w:ascii="Times New Roman" w:hAnsi="Times New Roman"/>
                <w:lang w:val="bs-Latn-BA"/>
              </w:rPr>
              <w:t>IAEA</w:t>
            </w:r>
          </w:p>
        </w:tc>
        <w:tc>
          <w:tcPr>
            <w:tcW w:w="6981" w:type="dxa"/>
            <w:tcBorders>
              <w:top w:val="single" w:sz="4" w:space="0" w:color="auto"/>
              <w:left w:val="single" w:sz="4" w:space="0" w:color="auto"/>
              <w:bottom w:val="single" w:sz="4" w:space="0" w:color="auto"/>
              <w:right w:val="single" w:sz="4" w:space="0" w:color="auto"/>
            </w:tcBorders>
            <w:vAlign w:val="center"/>
            <w:hideMark/>
          </w:tcPr>
          <w:p w:rsidR="00A131AD" w:rsidRPr="00155F80" w:rsidRDefault="00D47537" w:rsidP="000C0138">
            <w:pPr>
              <w:spacing w:before="60" w:line="276" w:lineRule="auto"/>
              <w:jc w:val="left"/>
              <w:rPr>
                <w:rFonts w:ascii="Times New Roman" w:hAnsi="Times New Roman"/>
                <w:lang w:val="bs-Latn-BA"/>
              </w:rPr>
            </w:pPr>
            <w:r>
              <w:rPr>
                <w:rFonts w:ascii="Times New Roman" w:hAnsi="Times New Roman"/>
                <w:lang w:val="bs-Latn-BA"/>
              </w:rPr>
              <w:t>Međunarodna</w:t>
            </w:r>
            <w:r w:rsidR="00A131AD" w:rsidRPr="00155F80">
              <w:rPr>
                <w:rFonts w:ascii="Times New Roman" w:hAnsi="Times New Roman"/>
                <w:lang w:val="bs-Latn-BA"/>
              </w:rPr>
              <w:t xml:space="preserve"> agencija za atomsku energiju</w:t>
            </w:r>
          </w:p>
        </w:tc>
      </w:tr>
      <w:tr w:rsidR="00A131AD" w:rsidRPr="00155F80" w:rsidTr="00CE6ED4">
        <w:trPr>
          <w:trHeight w:val="362"/>
        </w:trPr>
        <w:tc>
          <w:tcPr>
            <w:tcW w:w="2081" w:type="dxa"/>
            <w:tcBorders>
              <w:top w:val="single" w:sz="4" w:space="0" w:color="auto"/>
              <w:left w:val="single" w:sz="4" w:space="0" w:color="auto"/>
              <w:bottom w:val="single" w:sz="4" w:space="0" w:color="auto"/>
              <w:right w:val="single" w:sz="4" w:space="0" w:color="auto"/>
            </w:tcBorders>
            <w:vAlign w:val="center"/>
            <w:hideMark/>
          </w:tcPr>
          <w:p w:rsidR="00A131AD" w:rsidRPr="00155F80" w:rsidRDefault="00A131AD" w:rsidP="000C0138">
            <w:pPr>
              <w:spacing w:before="60" w:line="276" w:lineRule="auto"/>
              <w:jc w:val="left"/>
              <w:rPr>
                <w:rFonts w:ascii="Times New Roman" w:hAnsi="Times New Roman"/>
                <w:lang w:val="bs-Latn-BA"/>
              </w:rPr>
            </w:pPr>
            <w:r w:rsidRPr="00155F80">
              <w:rPr>
                <w:rFonts w:ascii="Times New Roman" w:hAnsi="Times New Roman"/>
                <w:lang w:val="bs-Latn-BA"/>
              </w:rPr>
              <w:t>ITM/BMI</w:t>
            </w:r>
          </w:p>
        </w:tc>
        <w:tc>
          <w:tcPr>
            <w:tcW w:w="6981" w:type="dxa"/>
            <w:tcBorders>
              <w:top w:val="single" w:sz="4" w:space="0" w:color="auto"/>
              <w:left w:val="single" w:sz="4" w:space="0" w:color="auto"/>
              <w:bottom w:val="single" w:sz="4" w:space="0" w:color="auto"/>
              <w:right w:val="single" w:sz="4" w:space="0" w:color="auto"/>
            </w:tcBorders>
            <w:vAlign w:val="center"/>
            <w:hideMark/>
          </w:tcPr>
          <w:p w:rsidR="00A131AD" w:rsidRPr="00155F80" w:rsidRDefault="00A131AD" w:rsidP="000C0138">
            <w:pPr>
              <w:spacing w:before="60" w:line="276" w:lineRule="auto"/>
              <w:jc w:val="left"/>
              <w:rPr>
                <w:rFonts w:ascii="Times New Roman" w:hAnsi="Times New Roman"/>
                <w:lang w:val="bs-Latn-BA"/>
              </w:rPr>
            </w:pPr>
            <w:r w:rsidRPr="00155F80">
              <w:rPr>
                <w:rFonts w:ascii="Times New Roman" w:hAnsi="Times New Roman"/>
                <w:lang w:val="bs-Latn-BA"/>
              </w:rPr>
              <w:t>Indeks tjelesne mase</w:t>
            </w:r>
          </w:p>
        </w:tc>
      </w:tr>
      <w:tr w:rsidR="00670113" w:rsidRPr="00155F80" w:rsidTr="00CE6ED4">
        <w:trPr>
          <w:trHeight w:val="362"/>
        </w:trPr>
        <w:tc>
          <w:tcPr>
            <w:tcW w:w="2081" w:type="dxa"/>
            <w:tcBorders>
              <w:top w:val="single" w:sz="4" w:space="0" w:color="auto"/>
              <w:left w:val="single" w:sz="4" w:space="0" w:color="auto"/>
              <w:bottom w:val="single" w:sz="4" w:space="0" w:color="auto"/>
              <w:right w:val="single" w:sz="4" w:space="0" w:color="auto"/>
            </w:tcBorders>
            <w:vAlign w:val="center"/>
          </w:tcPr>
          <w:p w:rsidR="00670113" w:rsidRPr="00155F80" w:rsidRDefault="00670113" w:rsidP="000C0138">
            <w:pPr>
              <w:spacing w:before="60" w:line="276" w:lineRule="auto"/>
              <w:jc w:val="left"/>
              <w:rPr>
                <w:rFonts w:ascii="Times New Roman" w:hAnsi="Times New Roman"/>
                <w:lang w:val="bs-Latn-BA"/>
              </w:rPr>
            </w:pPr>
            <w:r>
              <w:rPr>
                <w:rFonts w:ascii="Times New Roman" w:hAnsi="Times New Roman"/>
                <w:lang w:val="bs-Latn-BA"/>
              </w:rPr>
              <w:t>KPE</w:t>
            </w:r>
          </w:p>
        </w:tc>
        <w:tc>
          <w:tcPr>
            <w:tcW w:w="6981" w:type="dxa"/>
            <w:tcBorders>
              <w:top w:val="single" w:sz="4" w:space="0" w:color="auto"/>
              <w:left w:val="single" w:sz="4" w:space="0" w:color="auto"/>
              <w:bottom w:val="single" w:sz="4" w:space="0" w:color="auto"/>
              <w:right w:val="single" w:sz="4" w:space="0" w:color="auto"/>
            </w:tcBorders>
            <w:vAlign w:val="center"/>
          </w:tcPr>
          <w:p w:rsidR="00670113" w:rsidRPr="00155F80" w:rsidRDefault="00670113" w:rsidP="000C0138">
            <w:pPr>
              <w:spacing w:before="60" w:line="276" w:lineRule="auto"/>
              <w:jc w:val="left"/>
              <w:rPr>
                <w:rFonts w:ascii="Times New Roman" w:hAnsi="Times New Roman"/>
                <w:lang w:val="bs-Latn-BA"/>
              </w:rPr>
            </w:pPr>
            <w:r>
              <w:rPr>
                <w:rFonts w:ascii="Times New Roman" w:hAnsi="Times New Roman"/>
                <w:lang w:val="bs-Latn-BA"/>
              </w:rPr>
              <w:t>Kontinuirana profesionalna edukacija</w:t>
            </w:r>
          </w:p>
        </w:tc>
      </w:tr>
      <w:tr w:rsidR="00A131AD" w:rsidRPr="00155F80" w:rsidTr="00CE6ED4">
        <w:trPr>
          <w:trHeight w:val="362"/>
        </w:trPr>
        <w:tc>
          <w:tcPr>
            <w:tcW w:w="2081" w:type="dxa"/>
            <w:tcBorders>
              <w:top w:val="single" w:sz="4" w:space="0" w:color="auto"/>
              <w:left w:val="single" w:sz="4" w:space="0" w:color="auto"/>
              <w:bottom w:val="single" w:sz="4" w:space="0" w:color="auto"/>
              <w:right w:val="single" w:sz="4" w:space="0" w:color="auto"/>
            </w:tcBorders>
            <w:vAlign w:val="center"/>
            <w:hideMark/>
          </w:tcPr>
          <w:p w:rsidR="00A131AD" w:rsidRPr="00155F80" w:rsidRDefault="00A131AD" w:rsidP="000C0138">
            <w:pPr>
              <w:spacing w:before="60" w:line="276" w:lineRule="auto"/>
              <w:jc w:val="left"/>
              <w:rPr>
                <w:rFonts w:ascii="Times New Roman" w:hAnsi="Times New Roman"/>
                <w:lang w:val="bs-Latn-BA"/>
              </w:rPr>
            </w:pPr>
            <w:r w:rsidRPr="00155F80">
              <w:rPr>
                <w:rFonts w:ascii="Times New Roman" w:hAnsi="Times New Roman"/>
                <w:lang w:val="bs-Latn-BA"/>
              </w:rPr>
              <w:t>Mb</w:t>
            </w:r>
          </w:p>
        </w:tc>
        <w:tc>
          <w:tcPr>
            <w:tcW w:w="6981" w:type="dxa"/>
            <w:tcBorders>
              <w:top w:val="single" w:sz="4" w:space="0" w:color="auto"/>
              <w:left w:val="single" w:sz="4" w:space="0" w:color="auto"/>
              <w:bottom w:val="single" w:sz="4" w:space="0" w:color="auto"/>
              <w:right w:val="single" w:sz="4" w:space="0" w:color="auto"/>
            </w:tcBorders>
            <w:vAlign w:val="center"/>
            <w:hideMark/>
          </w:tcPr>
          <w:p w:rsidR="00A131AD" w:rsidRPr="00155F80" w:rsidRDefault="00A131AD" w:rsidP="000C0138">
            <w:pPr>
              <w:spacing w:before="60" w:line="276" w:lineRule="auto"/>
              <w:jc w:val="left"/>
              <w:rPr>
                <w:rFonts w:ascii="Times New Roman" w:hAnsi="Times New Roman"/>
                <w:lang w:val="bs-Latn-BA"/>
              </w:rPr>
            </w:pPr>
            <w:r w:rsidRPr="00155F80">
              <w:rPr>
                <w:rFonts w:ascii="Times New Roman" w:hAnsi="Times New Roman"/>
                <w:lang w:val="bs-Latn-BA"/>
              </w:rPr>
              <w:t>Morbiditet</w:t>
            </w:r>
          </w:p>
        </w:tc>
      </w:tr>
      <w:tr w:rsidR="00A131AD" w:rsidRPr="00155F80" w:rsidTr="00CE6ED4">
        <w:trPr>
          <w:trHeight w:val="271"/>
        </w:trPr>
        <w:tc>
          <w:tcPr>
            <w:tcW w:w="2081" w:type="dxa"/>
            <w:tcBorders>
              <w:top w:val="single" w:sz="4" w:space="0" w:color="auto"/>
              <w:left w:val="single" w:sz="4" w:space="0" w:color="auto"/>
              <w:bottom w:val="single" w:sz="4" w:space="0" w:color="auto"/>
              <w:right w:val="single" w:sz="4" w:space="0" w:color="auto"/>
            </w:tcBorders>
            <w:vAlign w:val="center"/>
            <w:hideMark/>
          </w:tcPr>
          <w:p w:rsidR="00A131AD" w:rsidRPr="00155F80" w:rsidRDefault="00A131AD" w:rsidP="000C0138">
            <w:pPr>
              <w:spacing w:before="60" w:line="276" w:lineRule="auto"/>
              <w:jc w:val="left"/>
              <w:rPr>
                <w:rFonts w:ascii="Times New Roman" w:hAnsi="Times New Roman"/>
                <w:lang w:val="bs-Latn-BA"/>
              </w:rPr>
            </w:pPr>
            <w:r w:rsidRPr="00155F80">
              <w:rPr>
                <w:rFonts w:ascii="Times New Roman" w:hAnsi="Times New Roman"/>
                <w:lang w:val="bs-Latn-BA"/>
              </w:rPr>
              <w:t>MKB</w:t>
            </w:r>
          </w:p>
        </w:tc>
        <w:tc>
          <w:tcPr>
            <w:tcW w:w="6981" w:type="dxa"/>
            <w:tcBorders>
              <w:top w:val="single" w:sz="4" w:space="0" w:color="auto"/>
              <w:left w:val="single" w:sz="4" w:space="0" w:color="auto"/>
              <w:bottom w:val="single" w:sz="4" w:space="0" w:color="auto"/>
              <w:right w:val="single" w:sz="4" w:space="0" w:color="auto"/>
            </w:tcBorders>
            <w:vAlign w:val="center"/>
            <w:hideMark/>
          </w:tcPr>
          <w:p w:rsidR="00A131AD" w:rsidRPr="00155F80" w:rsidRDefault="00A131AD" w:rsidP="000C0138">
            <w:pPr>
              <w:spacing w:before="60" w:line="276" w:lineRule="auto"/>
              <w:jc w:val="left"/>
              <w:rPr>
                <w:rFonts w:ascii="Times New Roman" w:hAnsi="Times New Roman"/>
                <w:lang w:val="bs-Latn-BA"/>
              </w:rPr>
            </w:pPr>
            <w:r w:rsidRPr="00155F80">
              <w:rPr>
                <w:rFonts w:ascii="Times New Roman" w:hAnsi="Times New Roman"/>
                <w:lang w:val="bs-Latn-BA"/>
              </w:rPr>
              <w:t>Međunarodna klasifikacija bolesti, ozljeda i uzroka smrti</w:t>
            </w:r>
          </w:p>
        </w:tc>
      </w:tr>
      <w:tr w:rsidR="00A131AD" w:rsidRPr="00155F80" w:rsidTr="00CE6ED4">
        <w:trPr>
          <w:trHeight w:val="271"/>
        </w:trPr>
        <w:tc>
          <w:tcPr>
            <w:tcW w:w="2081" w:type="dxa"/>
            <w:tcBorders>
              <w:top w:val="single" w:sz="4" w:space="0" w:color="auto"/>
              <w:left w:val="single" w:sz="4" w:space="0" w:color="auto"/>
              <w:bottom w:val="single" w:sz="4" w:space="0" w:color="auto"/>
              <w:right w:val="single" w:sz="4" w:space="0" w:color="auto"/>
            </w:tcBorders>
            <w:vAlign w:val="center"/>
            <w:hideMark/>
          </w:tcPr>
          <w:p w:rsidR="00A131AD" w:rsidRPr="00155F80" w:rsidRDefault="00A131AD" w:rsidP="000C0138">
            <w:pPr>
              <w:spacing w:before="60" w:line="276" w:lineRule="auto"/>
              <w:jc w:val="left"/>
              <w:rPr>
                <w:rFonts w:ascii="Times New Roman" w:hAnsi="Times New Roman"/>
                <w:lang w:val="bs-Latn-BA"/>
              </w:rPr>
            </w:pPr>
            <w:r w:rsidRPr="00155F80">
              <w:rPr>
                <w:rFonts w:ascii="Times New Roman" w:hAnsi="Times New Roman"/>
                <w:lang w:val="bs-Latn-BA"/>
              </w:rPr>
              <w:t>OM</w:t>
            </w:r>
          </w:p>
        </w:tc>
        <w:tc>
          <w:tcPr>
            <w:tcW w:w="6981" w:type="dxa"/>
            <w:tcBorders>
              <w:top w:val="single" w:sz="4" w:space="0" w:color="auto"/>
              <w:left w:val="single" w:sz="4" w:space="0" w:color="auto"/>
              <w:bottom w:val="single" w:sz="4" w:space="0" w:color="auto"/>
              <w:right w:val="single" w:sz="4" w:space="0" w:color="auto"/>
            </w:tcBorders>
            <w:vAlign w:val="center"/>
            <w:hideMark/>
          </w:tcPr>
          <w:p w:rsidR="00A131AD" w:rsidRPr="00155F80" w:rsidRDefault="00A131AD" w:rsidP="000C0138">
            <w:pPr>
              <w:spacing w:before="60" w:line="276" w:lineRule="auto"/>
              <w:jc w:val="left"/>
              <w:rPr>
                <w:rFonts w:ascii="Times New Roman" w:hAnsi="Times New Roman"/>
                <w:lang w:val="bs-Latn-BA"/>
              </w:rPr>
            </w:pPr>
            <w:r w:rsidRPr="00155F80">
              <w:rPr>
                <w:rFonts w:ascii="Times New Roman" w:hAnsi="Times New Roman"/>
                <w:lang w:val="bs-Latn-BA"/>
              </w:rPr>
              <w:t>Obiteljska medicina</w:t>
            </w:r>
          </w:p>
        </w:tc>
      </w:tr>
      <w:tr w:rsidR="00A131AD" w:rsidRPr="00155F80" w:rsidTr="00CE6ED4">
        <w:trPr>
          <w:trHeight w:val="271"/>
        </w:trPr>
        <w:tc>
          <w:tcPr>
            <w:tcW w:w="2081" w:type="dxa"/>
            <w:tcBorders>
              <w:top w:val="single" w:sz="4" w:space="0" w:color="auto"/>
              <w:left w:val="single" w:sz="4" w:space="0" w:color="auto"/>
              <w:bottom w:val="single" w:sz="4" w:space="0" w:color="auto"/>
              <w:right w:val="single" w:sz="4" w:space="0" w:color="auto"/>
            </w:tcBorders>
            <w:vAlign w:val="center"/>
            <w:hideMark/>
          </w:tcPr>
          <w:p w:rsidR="00A131AD" w:rsidRPr="00155F80" w:rsidRDefault="00A131AD" w:rsidP="000C0138">
            <w:pPr>
              <w:spacing w:before="60" w:line="276" w:lineRule="auto"/>
              <w:jc w:val="left"/>
              <w:rPr>
                <w:rFonts w:ascii="Times New Roman" w:hAnsi="Times New Roman"/>
                <w:lang w:val="bs-Latn-BA"/>
              </w:rPr>
            </w:pPr>
            <w:r w:rsidRPr="00155F80">
              <w:rPr>
                <w:rFonts w:ascii="Times New Roman" w:hAnsi="Times New Roman"/>
                <w:lang w:val="bs-Latn-BA"/>
              </w:rPr>
              <w:t>PAT</w:t>
            </w:r>
          </w:p>
        </w:tc>
        <w:tc>
          <w:tcPr>
            <w:tcW w:w="6981" w:type="dxa"/>
            <w:tcBorders>
              <w:top w:val="single" w:sz="4" w:space="0" w:color="auto"/>
              <w:left w:val="single" w:sz="4" w:space="0" w:color="auto"/>
              <w:bottom w:val="single" w:sz="4" w:space="0" w:color="auto"/>
              <w:right w:val="single" w:sz="4" w:space="0" w:color="auto"/>
            </w:tcBorders>
            <w:vAlign w:val="center"/>
            <w:hideMark/>
          </w:tcPr>
          <w:p w:rsidR="00A131AD" w:rsidRPr="00155F80" w:rsidRDefault="00A131AD" w:rsidP="000C0138">
            <w:pPr>
              <w:spacing w:before="60" w:line="276" w:lineRule="auto"/>
              <w:jc w:val="left"/>
              <w:rPr>
                <w:rFonts w:ascii="Times New Roman" w:hAnsi="Times New Roman"/>
                <w:lang w:val="bs-Latn-BA"/>
              </w:rPr>
            </w:pPr>
            <w:r w:rsidRPr="00155F80">
              <w:rPr>
                <w:rFonts w:ascii="Times New Roman" w:hAnsi="Times New Roman"/>
                <w:lang w:val="bs-Latn-BA"/>
              </w:rPr>
              <w:t>Program dodatne edukacije</w:t>
            </w:r>
          </w:p>
        </w:tc>
      </w:tr>
      <w:tr w:rsidR="00A131AD" w:rsidRPr="00155F80" w:rsidTr="00CE6ED4">
        <w:trPr>
          <w:trHeight w:val="432"/>
        </w:trPr>
        <w:tc>
          <w:tcPr>
            <w:tcW w:w="2081" w:type="dxa"/>
            <w:tcBorders>
              <w:top w:val="single" w:sz="4" w:space="0" w:color="auto"/>
              <w:left w:val="single" w:sz="4" w:space="0" w:color="auto"/>
              <w:bottom w:val="single" w:sz="4" w:space="0" w:color="auto"/>
              <w:right w:val="single" w:sz="4" w:space="0" w:color="auto"/>
            </w:tcBorders>
            <w:vAlign w:val="center"/>
            <w:hideMark/>
          </w:tcPr>
          <w:p w:rsidR="00A131AD" w:rsidRPr="00155F80" w:rsidRDefault="00A131AD" w:rsidP="000C0138">
            <w:pPr>
              <w:spacing w:before="60" w:line="276" w:lineRule="auto"/>
              <w:jc w:val="left"/>
              <w:rPr>
                <w:rFonts w:ascii="Times New Roman" w:hAnsi="Times New Roman"/>
                <w:lang w:val="bs-Latn-BA"/>
              </w:rPr>
            </w:pPr>
            <w:r w:rsidRPr="00155F80">
              <w:rPr>
                <w:rFonts w:ascii="Times New Roman" w:hAnsi="Times New Roman"/>
                <w:lang w:val="bs-Latn-BA"/>
              </w:rPr>
              <w:t>PZZ</w:t>
            </w:r>
          </w:p>
        </w:tc>
        <w:tc>
          <w:tcPr>
            <w:tcW w:w="6981" w:type="dxa"/>
            <w:tcBorders>
              <w:top w:val="single" w:sz="4" w:space="0" w:color="auto"/>
              <w:left w:val="single" w:sz="4" w:space="0" w:color="auto"/>
              <w:bottom w:val="single" w:sz="4" w:space="0" w:color="auto"/>
              <w:right w:val="single" w:sz="4" w:space="0" w:color="auto"/>
            </w:tcBorders>
            <w:vAlign w:val="center"/>
            <w:hideMark/>
          </w:tcPr>
          <w:p w:rsidR="00A131AD" w:rsidRPr="00155F80" w:rsidRDefault="00A131AD" w:rsidP="000C0138">
            <w:pPr>
              <w:spacing w:before="60" w:line="276" w:lineRule="auto"/>
              <w:jc w:val="left"/>
              <w:rPr>
                <w:rFonts w:ascii="Times New Roman" w:hAnsi="Times New Roman"/>
                <w:lang w:val="bs-Latn-BA"/>
              </w:rPr>
            </w:pPr>
            <w:r w:rsidRPr="00155F80">
              <w:rPr>
                <w:rFonts w:ascii="Times New Roman" w:hAnsi="Times New Roman"/>
                <w:lang w:val="bs-Latn-BA"/>
              </w:rPr>
              <w:t>Primarna zdravstvena zaštita</w:t>
            </w:r>
          </w:p>
        </w:tc>
      </w:tr>
      <w:tr w:rsidR="00A131AD" w:rsidRPr="00155F80" w:rsidTr="00CE6ED4">
        <w:trPr>
          <w:trHeight w:val="432"/>
        </w:trPr>
        <w:tc>
          <w:tcPr>
            <w:tcW w:w="2081" w:type="dxa"/>
            <w:tcBorders>
              <w:top w:val="single" w:sz="4" w:space="0" w:color="auto"/>
              <w:left w:val="single" w:sz="4" w:space="0" w:color="auto"/>
              <w:bottom w:val="single" w:sz="4" w:space="0" w:color="auto"/>
              <w:right w:val="single" w:sz="4" w:space="0" w:color="auto"/>
            </w:tcBorders>
            <w:vAlign w:val="center"/>
            <w:hideMark/>
          </w:tcPr>
          <w:p w:rsidR="00A131AD" w:rsidRPr="00155F80" w:rsidRDefault="00A131AD" w:rsidP="000C0138">
            <w:pPr>
              <w:spacing w:before="60" w:line="276" w:lineRule="auto"/>
              <w:jc w:val="left"/>
              <w:rPr>
                <w:rFonts w:ascii="Times New Roman" w:hAnsi="Times New Roman"/>
                <w:lang w:val="bs-Latn-BA"/>
              </w:rPr>
            </w:pPr>
            <w:r w:rsidRPr="00155F80">
              <w:rPr>
                <w:rFonts w:ascii="Times New Roman" w:hAnsi="Times New Roman"/>
                <w:lang w:val="bs-Latn-BA"/>
              </w:rPr>
              <w:t>SDR</w:t>
            </w:r>
          </w:p>
        </w:tc>
        <w:tc>
          <w:tcPr>
            <w:tcW w:w="6981" w:type="dxa"/>
            <w:tcBorders>
              <w:top w:val="single" w:sz="4" w:space="0" w:color="auto"/>
              <w:left w:val="single" w:sz="4" w:space="0" w:color="auto"/>
              <w:bottom w:val="single" w:sz="4" w:space="0" w:color="auto"/>
              <w:right w:val="single" w:sz="4" w:space="0" w:color="auto"/>
            </w:tcBorders>
            <w:vAlign w:val="center"/>
            <w:hideMark/>
          </w:tcPr>
          <w:p w:rsidR="00A131AD" w:rsidRPr="00155F80" w:rsidRDefault="00A131AD" w:rsidP="00065CCF">
            <w:pPr>
              <w:spacing w:before="60" w:line="276" w:lineRule="auto"/>
              <w:jc w:val="left"/>
              <w:rPr>
                <w:rFonts w:ascii="Times New Roman" w:hAnsi="Times New Roman"/>
                <w:lang w:val="bs-Latn-BA"/>
              </w:rPr>
            </w:pPr>
            <w:r w:rsidRPr="00155F80">
              <w:rPr>
                <w:rFonts w:ascii="Times New Roman" w:hAnsi="Times New Roman"/>
                <w:lang w:val="bs-Latn-BA"/>
              </w:rPr>
              <w:t>Standardiz</w:t>
            </w:r>
            <w:r w:rsidR="00065CCF">
              <w:rPr>
                <w:rFonts w:ascii="Times New Roman" w:hAnsi="Times New Roman"/>
                <w:lang w:val="bs-Latn-BA"/>
              </w:rPr>
              <w:t xml:space="preserve">irana </w:t>
            </w:r>
            <w:r w:rsidRPr="00155F80">
              <w:rPr>
                <w:rFonts w:ascii="Times New Roman" w:hAnsi="Times New Roman"/>
                <w:lang w:val="bs-Latn-BA"/>
              </w:rPr>
              <w:t>stopa mortaliteta</w:t>
            </w:r>
          </w:p>
        </w:tc>
      </w:tr>
      <w:tr w:rsidR="00A131AD" w:rsidRPr="00155F80" w:rsidTr="00CE6ED4">
        <w:trPr>
          <w:trHeight w:val="432"/>
        </w:trPr>
        <w:tc>
          <w:tcPr>
            <w:tcW w:w="2081" w:type="dxa"/>
            <w:tcBorders>
              <w:top w:val="single" w:sz="4" w:space="0" w:color="auto"/>
              <w:left w:val="single" w:sz="4" w:space="0" w:color="auto"/>
              <w:bottom w:val="single" w:sz="4" w:space="0" w:color="auto"/>
              <w:right w:val="single" w:sz="4" w:space="0" w:color="auto"/>
            </w:tcBorders>
            <w:vAlign w:val="center"/>
            <w:hideMark/>
          </w:tcPr>
          <w:p w:rsidR="00A131AD" w:rsidRPr="00155F80" w:rsidRDefault="00A131AD" w:rsidP="000C0138">
            <w:pPr>
              <w:spacing w:before="60" w:line="276" w:lineRule="auto"/>
              <w:jc w:val="left"/>
              <w:rPr>
                <w:rFonts w:ascii="Times New Roman" w:hAnsi="Times New Roman"/>
                <w:lang w:val="bs-Latn-BA"/>
              </w:rPr>
            </w:pPr>
            <w:r w:rsidRPr="00155F80">
              <w:rPr>
                <w:rFonts w:ascii="Times New Roman" w:hAnsi="Times New Roman"/>
                <w:lang w:val="bs-Latn-BA"/>
              </w:rPr>
              <w:t>SPI</w:t>
            </w:r>
          </w:p>
        </w:tc>
        <w:tc>
          <w:tcPr>
            <w:tcW w:w="6981" w:type="dxa"/>
            <w:tcBorders>
              <w:top w:val="single" w:sz="4" w:space="0" w:color="auto"/>
              <w:left w:val="single" w:sz="4" w:space="0" w:color="auto"/>
              <w:bottom w:val="single" w:sz="4" w:space="0" w:color="auto"/>
              <w:right w:val="single" w:sz="4" w:space="0" w:color="auto"/>
            </w:tcBorders>
            <w:vAlign w:val="center"/>
            <w:hideMark/>
          </w:tcPr>
          <w:p w:rsidR="00A131AD" w:rsidRPr="00155F80" w:rsidRDefault="00A131AD" w:rsidP="000C0138">
            <w:pPr>
              <w:spacing w:before="60" w:line="276" w:lineRule="auto"/>
              <w:jc w:val="left"/>
              <w:rPr>
                <w:rFonts w:ascii="Times New Roman" w:hAnsi="Times New Roman"/>
                <w:lang w:val="bs-Latn-BA"/>
              </w:rPr>
            </w:pPr>
            <w:r w:rsidRPr="00155F80">
              <w:rPr>
                <w:rFonts w:ascii="Times New Roman" w:hAnsi="Times New Roman"/>
                <w:lang w:val="bs-Latn-BA"/>
              </w:rPr>
              <w:t>Spolno prenosive infekcije</w:t>
            </w:r>
          </w:p>
        </w:tc>
      </w:tr>
      <w:tr w:rsidR="00A131AD" w:rsidRPr="00155F80" w:rsidTr="00CE6ED4">
        <w:trPr>
          <w:trHeight w:val="271"/>
        </w:trPr>
        <w:tc>
          <w:tcPr>
            <w:tcW w:w="2081" w:type="dxa"/>
            <w:tcBorders>
              <w:top w:val="single" w:sz="4" w:space="0" w:color="auto"/>
              <w:left w:val="single" w:sz="4" w:space="0" w:color="auto"/>
              <w:bottom w:val="single" w:sz="4" w:space="0" w:color="auto"/>
              <w:right w:val="single" w:sz="4" w:space="0" w:color="auto"/>
            </w:tcBorders>
            <w:vAlign w:val="center"/>
            <w:hideMark/>
          </w:tcPr>
          <w:p w:rsidR="00A131AD" w:rsidRPr="00155F80" w:rsidRDefault="00A131AD" w:rsidP="000C0138">
            <w:pPr>
              <w:spacing w:before="60" w:line="276" w:lineRule="auto"/>
              <w:jc w:val="left"/>
              <w:rPr>
                <w:rFonts w:ascii="Times New Roman" w:hAnsi="Times New Roman"/>
                <w:lang w:val="bs-Latn-BA"/>
              </w:rPr>
            </w:pPr>
            <w:r w:rsidRPr="00155F80">
              <w:rPr>
                <w:rFonts w:ascii="Times New Roman" w:hAnsi="Times New Roman"/>
                <w:lang w:val="bs-Latn-BA"/>
              </w:rPr>
              <w:t>SZO/WHO</w:t>
            </w:r>
          </w:p>
        </w:tc>
        <w:tc>
          <w:tcPr>
            <w:tcW w:w="6981" w:type="dxa"/>
            <w:tcBorders>
              <w:top w:val="single" w:sz="4" w:space="0" w:color="auto"/>
              <w:left w:val="single" w:sz="4" w:space="0" w:color="auto"/>
              <w:bottom w:val="single" w:sz="4" w:space="0" w:color="auto"/>
              <w:right w:val="single" w:sz="4" w:space="0" w:color="auto"/>
            </w:tcBorders>
            <w:vAlign w:val="center"/>
            <w:hideMark/>
          </w:tcPr>
          <w:p w:rsidR="00A131AD" w:rsidRPr="00155F80" w:rsidRDefault="00A131AD" w:rsidP="000C0138">
            <w:pPr>
              <w:spacing w:before="60" w:line="276" w:lineRule="auto"/>
              <w:jc w:val="left"/>
              <w:rPr>
                <w:rFonts w:ascii="Times New Roman" w:hAnsi="Times New Roman"/>
                <w:lang w:val="bs-Latn-BA"/>
              </w:rPr>
            </w:pPr>
            <w:r w:rsidRPr="00155F80">
              <w:rPr>
                <w:rFonts w:ascii="Times New Roman" w:hAnsi="Times New Roman"/>
                <w:lang w:val="bs-Latn-BA"/>
              </w:rPr>
              <w:t>Svjetska zdravstvena organizacija</w:t>
            </w:r>
          </w:p>
        </w:tc>
      </w:tr>
      <w:tr w:rsidR="00A131AD" w:rsidRPr="00155F80" w:rsidTr="00CE6ED4">
        <w:trPr>
          <w:trHeight w:val="376"/>
        </w:trPr>
        <w:tc>
          <w:tcPr>
            <w:tcW w:w="2081" w:type="dxa"/>
            <w:tcBorders>
              <w:top w:val="single" w:sz="4" w:space="0" w:color="auto"/>
              <w:left w:val="single" w:sz="4" w:space="0" w:color="auto"/>
              <w:bottom w:val="single" w:sz="4" w:space="0" w:color="auto"/>
              <w:right w:val="single" w:sz="4" w:space="0" w:color="auto"/>
            </w:tcBorders>
            <w:vAlign w:val="center"/>
            <w:hideMark/>
          </w:tcPr>
          <w:p w:rsidR="00A131AD" w:rsidRPr="00155F80" w:rsidRDefault="00A131AD" w:rsidP="000C0138">
            <w:pPr>
              <w:spacing w:before="60" w:line="276" w:lineRule="auto"/>
              <w:jc w:val="left"/>
              <w:rPr>
                <w:rFonts w:ascii="Times New Roman" w:hAnsi="Times New Roman"/>
                <w:lang w:val="bs-Latn-BA"/>
              </w:rPr>
            </w:pPr>
            <w:r w:rsidRPr="00155F80">
              <w:rPr>
                <w:rFonts w:ascii="Times New Roman" w:hAnsi="Times New Roman"/>
                <w:lang w:val="bs-Latn-BA"/>
              </w:rPr>
              <w:t>ZZJZ FBiH</w:t>
            </w:r>
          </w:p>
        </w:tc>
        <w:tc>
          <w:tcPr>
            <w:tcW w:w="6981" w:type="dxa"/>
            <w:tcBorders>
              <w:top w:val="single" w:sz="4" w:space="0" w:color="auto"/>
              <w:left w:val="single" w:sz="4" w:space="0" w:color="auto"/>
              <w:bottom w:val="single" w:sz="4" w:space="0" w:color="auto"/>
              <w:right w:val="single" w:sz="4" w:space="0" w:color="auto"/>
            </w:tcBorders>
            <w:vAlign w:val="center"/>
            <w:hideMark/>
          </w:tcPr>
          <w:p w:rsidR="00A131AD" w:rsidRPr="00155F80" w:rsidRDefault="00A131AD" w:rsidP="000C0138">
            <w:pPr>
              <w:spacing w:before="60" w:line="276" w:lineRule="auto"/>
              <w:jc w:val="left"/>
              <w:rPr>
                <w:rFonts w:ascii="Times New Roman" w:hAnsi="Times New Roman"/>
                <w:lang w:val="bs-Latn-BA"/>
              </w:rPr>
            </w:pPr>
            <w:r w:rsidRPr="00155F80">
              <w:rPr>
                <w:rFonts w:ascii="Times New Roman" w:hAnsi="Times New Roman"/>
                <w:lang w:val="bs-Latn-BA"/>
              </w:rPr>
              <w:t>Zavod za javno zdravstvo Federacije Bosne i Hercegovine</w:t>
            </w:r>
          </w:p>
        </w:tc>
      </w:tr>
    </w:tbl>
    <w:p w:rsidR="00A131AD" w:rsidRPr="00155F80" w:rsidRDefault="00A131AD" w:rsidP="000C0138">
      <w:pPr>
        <w:spacing w:line="276" w:lineRule="auto"/>
        <w:rPr>
          <w:rFonts w:ascii="Times New Roman" w:hAnsi="Times New Roman"/>
          <w:lang w:val="bs-Latn-BA"/>
        </w:rPr>
      </w:pPr>
    </w:p>
    <w:p w:rsidR="00A131AD" w:rsidRPr="00155F80" w:rsidRDefault="00A131AD" w:rsidP="000C0138">
      <w:pPr>
        <w:spacing w:after="200" w:line="276" w:lineRule="auto"/>
        <w:jc w:val="left"/>
        <w:rPr>
          <w:rFonts w:ascii="Times New Roman" w:hAnsi="Times New Roman"/>
          <w:b/>
          <w:bCs/>
          <w:lang w:val="bs-Latn-BA"/>
        </w:rPr>
      </w:pPr>
      <w:bookmarkStart w:id="3" w:name="_Toc424298812"/>
    </w:p>
    <w:p w:rsidR="00A131AD" w:rsidRPr="00155F80" w:rsidRDefault="00A131AD" w:rsidP="000C0138">
      <w:pPr>
        <w:spacing w:after="200" w:line="276" w:lineRule="auto"/>
        <w:jc w:val="left"/>
        <w:rPr>
          <w:rFonts w:ascii="Times New Roman" w:hAnsi="Times New Roman"/>
          <w:b/>
          <w:bCs/>
          <w:lang w:val="bs-Latn-BA"/>
        </w:rPr>
      </w:pPr>
    </w:p>
    <w:p w:rsidR="00A131AD" w:rsidRPr="00155F80" w:rsidRDefault="00A131AD" w:rsidP="000C0138">
      <w:pPr>
        <w:spacing w:after="200" w:line="276" w:lineRule="auto"/>
        <w:jc w:val="left"/>
        <w:rPr>
          <w:rFonts w:ascii="Times New Roman" w:hAnsi="Times New Roman"/>
          <w:b/>
          <w:bCs/>
          <w:lang w:val="bs-Latn-BA"/>
        </w:rPr>
      </w:pPr>
    </w:p>
    <w:p w:rsidR="00A131AD" w:rsidRPr="00155F80" w:rsidRDefault="00A131AD" w:rsidP="000C0138">
      <w:pPr>
        <w:spacing w:after="200" w:line="276" w:lineRule="auto"/>
        <w:jc w:val="left"/>
        <w:rPr>
          <w:rFonts w:ascii="Times New Roman" w:hAnsi="Times New Roman"/>
          <w:b/>
          <w:bCs/>
          <w:lang w:val="bs-Latn-BA"/>
        </w:rPr>
      </w:pPr>
    </w:p>
    <w:p w:rsidR="00A131AD" w:rsidRPr="00155F80" w:rsidRDefault="00A131AD" w:rsidP="000C0138">
      <w:pPr>
        <w:spacing w:after="200" w:line="276" w:lineRule="auto"/>
        <w:jc w:val="left"/>
        <w:rPr>
          <w:rFonts w:ascii="Times New Roman" w:hAnsi="Times New Roman"/>
          <w:b/>
          <w:bCs/>
          <w:lang w:val="bs-Latn-BA"/>
        </w:rPr>
      </w:pPr>
    </w:p>
    <w:p w:rsidR="00A131AD" w:rsidRDefault="00A131AD" w:rsidP="000C0138">
      <w:pPr>
        <w:spacing w:after="200" w:line="276" w:lineRule="auto"/>
        <w:jc w:val="left"/>
        <w:rPr>
          <w:rFonts w:ascii="Times New Roman" w:hAnsi="Times New Roman"/>
          <w:b/>
          <w:bCs/>
          <w:lang w:val="bs-Latn-BA"/>
        </w:rPr>
      </w:pPr>
    </w:p>
    <w:p w:rsidR="00CB071F" w:rsidRDefault="00CB071F" w:rsidP="000C0138">
      <w:pPr>
        <w:spacing w:after="200" w:line="276" w:lineRule="auto"/>
        <w:jc w:val="left"/>
        <w:rPr>
          <w:rFonts w:ascii="Times New Roman" w:hAnsi="Times New Roman"/>
          <w:b/>
          <w:bCs/>
          <w:lang w:val="bs-Latn-BA"/>
        </w:rPr>
      </w:pPr>
    </w:p>
    <w:p w:rsidR="00CB071F" w:rsidRPr="00155F80" w:rsidRDefault="00CB071F" w:rsidP="000C0138">
      <w:pPr>
        <w:spacing w:after="200" w:line="276" w:lineRule="auto"/>
        <w:jc w:val="left"/>
        <w:rPr>
          <w:rFonts w:ascii="Times New Roman" w:hAnsi="Times New Roman"/>
          <w:b/>
          <w:bCs/>
          <w:lang w:val="bs-Latn-BA"/>
        </w:rPr>
      </w:pPr>
    </w:p>
    <w:bookmarkEnd w:id="3"/>
    <w:p w:rsidR="00A131AD" w:rsidRPr="00155F80" w:rsidRDefault="00A131AD" w:rsidP="000C0138">
      <w:pPr>
        <w:spacing w:line="276" w:lineRule="auto"/>
        <w:rPr>
          <w:rFonts w:ascii="Times New Roman" w:hAnsi="Times New Roman"/>
          <w:lang w:val="bs-Latn-BA"/>
        </w:rPr>
      </w:pPr>
    </w:p>
    <w:p w:rsidR="000C263A" w:rsidRPr="000C263A" w:rsidRDefault="000C263A" w:rsidP="000C263A">
      <w:pPr>
        <w:spacing w:after="160" w:line="259" w:lineRule="auto"/>
        <w:jc w:val="center"/>
        <w:rPr>
          <w:rFonts w:ascii="Times New Roman" w:eastAsiaTheme="minorHAnsi" w:hAnsi="Times New Roman"/>
          <w:b/>
          <w:lang w:val="bs-Latn-BA"/>
        </w:rPr>
      </w:pPr>
      <w:r w:rsidRPr="000C263A">
        <w:rPr>
          <w:rFonts w:ascii="Times New Roman" w:eastAsiaTheme="minorHAnsi" w:hAnsi="Times New Roman"/>
          <w:b/>
          <w:lang w:val="bs-Latn-BA"/>
        </w:rPr>
        <w:t>Odabrani pokazatelji za 2015. godinu</w:t>
      </w:r>
    </w:p>
    <w:tbl>
      <w:tblPr>
        <w:tblStyle w:val="TableGrid1"/>
        <w:tblW w:w="0" w:type="auto"/>
        <w:tblLook w:val="04A0" w:firstRow="1" w:lastRow="0" w:firstColumn="1" w:lastColumn="0" w:noHBand="0" w:noVBand="1"/>
      </w:tblPr>
      <w:tblGrid>
        <w:gridCol w:w="3397"/>
        <w:gridCol w:w="2482"/>
        <w:gridCol w:w="2942"/>
      </w:tblGrid>
      <w:tr w:rsidR="000C263A" w:rsidRPr="000C263A" w:rsidTr="004809B6">
        <w:trPr>
          <w:trHeight w:val="828"/>
        </w:trPr>
        <w:tc>
          <w:tcPr>
            <w:tcW w:w="3397" w:type="dxa"/>
            <w:shd w:val="clear" w:color="auto" w:fill="BFBFBF" w:themeFill="background1" w:themeFillShade="BF"/>
          </w:tcPr>
          <w:p w:rsidR="000C263A" w:rsidRPr="000C263A" w:rsidRDefault="000C263A" w:rsidP="000C263A">
            <w:pPr>
              <w:jc w:val="center"/>
              <w:rPr>
                <w:rFonts w:ascii="Times New Roman" w:eastAsiaTheme="minorHAnsi" w:hAnsi="Times New Roman"/>
                <w:b/>
                <w:lang w:val="bs-Latn-BA"/>
              </w:rPr>
            </w:pPr>
          </w:p>
          <w:p w:rsidR="000C263A" w:rsidRPr="000C263A" w:rsidRDefault="000C263A" w:rsidP="000C263A">
            <w:pPr>
              <w:jc w:val="center"/>
              <w:rPr>
                <w:rFonts w:ascii="Times New Roman" w:eastAsiaTheme="minorHAnsi" w:hAnsi="Times New Roman"/>
                <w:b/>
                <w:lang w:val="bs-Latn-BA"/>
              </w:rPr>
            </w:pPr>
            <w:r w:rsidRPr="000C263A">
              <w:rPr>
                <w:rFonts w:ascii="Times New Roman" w:eastAsiaTheme="minorHAnsi" w:hAnsi="Times New Roman"/>
                <w:b/>
                <w:lang w:val="bs-Latn-BA"/>
              </w:rPr>
              <w:t>DEMOGRAFSKI</w:t>
            </w:r>
          </w:p>
        </w:tc>
        <w:tc>
          <w:tcPr>
            <w:tcW w:w="2482" w:type="dxa"/>
            <w:shd w:val="clear" w:color="auto" w:fill="BFBFBF" w:themeFill="background1" w:themeFillShade="BF"/>
          </w:tcPr>
          <w:p w:rsidR="000C263A" w:rsidRPr="000C263A" w:rsidRDefault="000C263A" w:rsidP="000C263A">
            <w:pPr>
              <w:jc w:val="center"/>
              <w:rPr>
                <w:rFonts w:ascii="Times New Roman" w:eastAsiaTheme="minorHAnsi" w:hAnsi="Times New Roman" w:cstheme="minorBidi"/>
                <w:b/>
                <w:bCs/>
                <w:lang w:val="bs-Latn-BA"/>
              </w:rPr>
            </w:pPr>
          </w:p>
          <w:p w:rsidR="000C263A" w:rsidRPr="000C263A" w:rsidRDefault="000C263A" w:rsidP="005901AB">
            <w:pPr>
              <w:jc w:val="center"/>
              <w:rPr>
                <w:rFonts w:ascii="Times New Roman" w:eastAsiaTheme="minorHAnsi" w:hAnsi="Times New Roman"/>
                <w:lang w:val="bs-Latn-BA"/>
              </w:rPr>
            </w:pPr>
            <w:r w:rsidRPr="000C263A">
              <w:rPr>
                <w:rFonts w:ascii="Times New Roman" w:eastAsiaTheme="minorHAnsi" w:hAnsi="Times New Roman" w:cstheme="minorBidi"/>
                <w:b/>
                <w:bCs/>
                <w:lang w:val="bs-Latn-BA"/>
              </w:rPr>
              <w:t>E</w:t>
            </w:r>
            <w:r w:rsidR="005901AB">
              <w:rPr>
                <w:rFonts w:ascii="Times New Roman" w:eastAsiaTheme="minorHAnsi" w:hAnsi="Times New Roman" w:cstheme="minorBidi"/>
                <w:b/>
                <w:bCs/>
                <w:lang w:val="bs-Latn-BA"/>
              </w:rPr>
              <w:t>U</w:t>
            </w:r>
            <w:r w:rsidRPr="000C263A">
              <w:rPr>
                <w:rFonts w:ascii="Times New Roman" w:eastAsiaTheme="minorHAnsi" w:hAnsi="Times New Roman" w:cstheme="minorBidi"/>
                <w:b/>
                <w:bCs/>
                <w:lang w:val="bs-Latn-BA"/>
              </w:rPr>
              <w:t>ROPSKI REGION*</w:t>
            </w:r>
          </w:p>
        </w:tc>
        <w:tc>
          <w:tcPr>
            <w:tcW w:w="2942" w:type="dxa"/>
            <w:shd w:val="clear" w:color="auto" w:fill="BFBFBF" w:themeFill="background1" w:themeFillShade="BF"/>
          </w:tcPr>
          <w:p w:rsidR="000C263A" w:rsidRPr="000C263A" w:rsidRDefault="000C263A" w:rsidP="000C263A">
            <w:pPr>
              <w:jc w:val="center"/>
              <w:rPr>
                <w:rFonts w:ascii="Times New Roman" w:eastAsiaTheme="minorHAnsi" w:hAnsi="Times New Roman" w:cstheme="minorBidi"/>
                <w:b/>
                <w:bCs/>
                <w:lang w:val="bs-Latn-BA"/>
              </w:rPr>
            </w:pPr>
          </w:p>
          <w:p w:rsidR="000C263A" w:rsidRPr="000C263A" w:rsidRDefault="000C263A" w:rsidP="000C263A">
            <w:pPr>
              <w:jc w:val="center"/>
              <w:rPr>
                <w:rFonts w:ascii="Times New Roman" w:eastAsiaTheme="minorHAnsi" w:hAnsi="Times New Roman"/>
                <w:lang w:val="bs-Latn-BA"/>
              </w:rPr>
            </w:pPr>
            <w:r w:rsidRPr="000C263A">
              <w:rPr>
                <w:rFonts w:ascii="Times New Roman" w:eastAsiaTheme="minorHAnsi" w:hAnsi="Times New Roman" w:cstheme="minorBidi"/>
                <w:b/>
                <w:bCs/>
                <w:lang w:val="bs-Latn-BA"/>
              </w:rPr>
              <w:t>FEDERACIJA BOSNE I HERCEGOVINE 2015.</w:t>
            </w:r>
          </w:p>
        </w:tc>
      </w:tr>
      <w:tr w:rsidR="000C263A" w:rsidRPr="000C263A" w:rsidTr="004809B6">
        <w:trPr>
          <w:trHeight w:val="517"/>
        </w:trPr>
        <w:tc>
          <w:tcPr>
            <w:tcW w:w="3397" w:type="dxa"/>
          </w:tcPr>
          <w:p w:rsidR="000C263A" w:rsidRPr="000C263A" w:rsidRDefault="000C263A" w:rsidP="000C263A">
            <w:pPr>
              <w:jc w:val="left"/>
              <w:rPr>
                <w:rFonts w:ascii="Times New Roman" w:eastAsiaTheme="minorHAnsi" w:hAnsi="Times New Roman"/>
                <w:lang w:val="bs-Latn-BA"/>
              </w:rPr>
            </w:pPr>
            <w:r w:rsidRPr="000C263A">
              <w:rPr>
                <w:rFonts w:ascii="Times New Roman" w:eastAsiaTheme="minorHAnsi" w:hAnsi="Times New Roman"/>
                <w:lang w:val="bs-Latn-BA"/>
              </w:rPr>
              <w:t>Procjena broja stanovnika (%)</w:t>
            </w:r>
          </w:p>
        </w:tc>
        <w:tc>
          <w:tcPr>
            <w:tcW w:w="2482" w:type="dxa"/>
          </w:tcPr>
          <w:p w:rsidR="000C263A" w:rsidRPr="000C263A" w:rsidRDefault="000C263A" w:rsidP="000C263A">
            <w:pPr>
              <w:spacing w:line="276" w:lineRule="auto"/>
              <w:ind w:left="-108"/>
              <w:jc w:val="right"/>
              <w:rPr>
                <w:rFonts w:ascii="Times New Roman" w:hAnsi="Times New Roman"/>
                <w:lang w:val="bs-Latn-BA"/>
              </w:rPr>
            </w:pPr>
            <w:r w:rsidRPr="000C263A">
              <w:rPr>
                <w:rFonts w:ascii="Times New Roman" w:hAnsi="Times New Roman"/>
                <w:lang w:val="bs-Latn-BA"/>
              </w:rPr>
              <w:t>0-14: 17,7%</w:t>
            </w:r>
          </w:p>
          <w:p w:rsidR="000C263A" w:rsidRPr="000C263A" w:rsidRDefault="000C263A" w:rsidP="000C263A">
            <w:pPr>
              <w:jc w:val="right"/>
              <w:rPr>
                <w:rFonts w:ascii="Times New Roman" w:eastAsiaTheme="minorHAnsi" w:hAnsi="Times New Roman"/>
                <w:lang w:val="bs-Latn-BA"/>
              </w:rPr>
            </w:pPr>
            <w:r w:rsidRPr="000C263A">
              <w:rPr>
                <w:rFonts w:ascii="Times New Roman" w:hAnsi="Times New Roman"/>
                <w:lang w:val="bs-Latn-BA"/>
              </w:rPr>
              <w:t xml:space="preserve"> 65+ : 14,8%</w:t>
            </w:r>
          </w:p>
        </w:tc>
        <w:tc>
          <w:tcPr>
            <w:tcW w:w="2942" w:type="dxa"/>
          </w:tcPr>
          <w:p w:rsidR="000C263A" w:rsidRPr="000C263A" w:rsidRDefault="000C263A" w:rsidP="000C263A">
            <w:pPr>
              <w:spacing w:line="276" w:lineRule="auto"/>
              <w:jc w:val="right"/>
              <w:rPr>
                <w:rFonts w:ascii="Times New Roman" w:hAnsi="Times New Roman"/>
                <w:lang w:val="bs-Latn-BA"/>
              </w:rPr>
            </w:pPr>
            <w:r w:rsidRPr="000C263A">
              <w:rPr>
                <w:rFonts w:ascii="Times New Roman" w:hAnsi="Times New Roman"/>
                <w:lang w:val="bs-Latn-BA"/>
              </w:rPr>
              <w:t>0-14:18,1%</w:t>
            </w:r>
          </w:p>
          <w:p w:rsidR="000C263A" w:rsidRPr="000C263A" w:rsidRDefault="000C263A" w:rsidP="000C263A">
            <w:pPr>
              <w:jc w:val="right"/>
              <w:rPr>
                <w:rFonts w:ascii="Times New Roman" w:eastAsiaTheme="minorHAnsi" w:hAnsi="Times New Roman"/>
                <w:lang w:val="bs-Latn-BA"/>
              </w:rPr>
            </w:pPr>
            <w:r w:rsidRPr="000C263A">
              <w:rPr>
                <w:rFonts w:ascii="Times New Roman" w:hAnsi="Times New Roman"/>
                <w:lang w:val="bs-Latn-BA"/>
              </w:rPr>
              <w:t>65+: 14,3%</w:t>
            </w:r>
          </w:p>
        </w:tc>
      </w:tr>
      <w:tr w:rsidR="000C263A" w:rsidRPr="000C263A" w:rsidTr="004809B6">
        <w:trPr>
          <w:trHeight w:val="517"/>
        </w:trPr>
        <w:tc>
          <w:tcPr>
            <w:tcW w:w="3397" w:type="dxa"/>
          </w:tcPr>
          <w:p w:rsidR="000C263A" w:rsidRPr="000C263A" w:rsidRDefault="000C263A" w:rsidP="000C263A">
            <w:pPr>
              <w:jc w:val="left"/>
              <w:rPr>
                <w:rFonts w:ascii="Times New Roman" w:eastAsiaTheme="minorHAnsi" w:hAnsi="Times New Roman"/>
                <w:lang w:val="bs-Latn-BA"/>
              </w:rPr>
            </w:pPr>
            <w:r w:rsidRPr="000C263A">
              <w:rPr>
                <w:rFonts w:ascii="Times New Roman" w:eastAsiaTheme="minorHAnsi" w:hAnsi="Times New Roman"/>
                <w:lang w:val="bs-Latn-BA"/>
              </w:rPr>
              <w:t>GDP per capita</w:t>
            </w:r>
          </w:p>
        </w:tc>
        <w:tc>
          <w:tcPr>
            <w:tcW w:w="2482" w:type="dxa"/>
          </w:tcPr>
          <w:p w:rsidR="000C263A" w:rsidRPr="000C263A" w:rsidRDefault="000C263A" w:rsidP="000C263A">
            <w:pPr>
              <w:jc w:val="right"/>
              <w:rPr>
                <w:rFonts w:ascii="Times New Roman" w:eastAsiaTheme="minorHAnsi" w:hAnsi="Times New Roman"/>
                <w:lang w:val="bs-Latn-BA"/>
              </w:rPr>
            </w:pPr>
            <w:r w:rsidRPr="000C263A">
              <w:rPr>
                <w:rFonts w:ascii="Times New Roman" w:eastAsiaTheme="minorHAnsi" w:hAnsi="Times New Roman" w:cstheme="minorBidi"/>
                <w:lang w:val="bs-Latn-BA"/>
              </w:rPr>
              <w:t>25.681,7 USA $</w:t>
            </w:r>
          </w:p>
        </w:tc>
        <w:tc>
          <w:tcPr>
            <w:tcW w:w="2942" w:type="dxa"/>
          </w:tcPr>
          <w:p w:rsidR="000C263A" w:rsidRPr="000C263A" w:rsidRDefault="000C263A" w:rsidP="000C263A">
            <w:pPr>
              <w:jc w:val="right"/>
              <w:rPr>
                <w:rFonts w:ascii="Times New Roman" w:eastAsiaTheme="minorHAnsi" w:hAnsi="Times New Roman"/>
                <w:lang w:val="bs-Latn-BA"/>
              </w:rPr>
            </w:pPr>
            <w:r w:rsidRPr="000C263A">
              <w:rPr>
                <w:rFonts w:ascii="Times New Roman" w:eastAsiaTheme="minorHAnsi" w:hAnsi="Times New Roman"/>
                <w:lang w:val="bs-Latn-BA"/>
              </w:rPr>
              <w:t>...</w:t>
            </w:r>
          </w:p>
        </w:tc>
      </w:tr>
      <w:tr w:rsidR="000C263A" w:rsidRPr="000C263A" w:rsidTr="004809B6">
        <w:trPr>
          <w:trHeight w:val="517"/>
        </w:trPr>
        <w:tc>
          <w:tcPr>
            <w:tcW w:w="3397" w:type="dxa"/>
          </w:tcPr>
          <w:p w:rsidR="000C263A" w:rsidRPr="000C263A" w:rsidRDefault="000C263A" w:rsidP="000C263A">
            <w:pPr>
              <w:jc w:val="left"/>
              <w:rPr>
                <w:rFonts w:ascii="Times New Roman" w:eastAsiaTheme="minorHAnsi" w:hAnsi="Times New Roman"/>
                <w:lang w:val="bs-Latn-BA"/>
              </w:rPr>
            </w:pPr>
            <w:r w:rsidRPr="000C263A">
              <w:rPr>
                <w:rFonts w:ascii="Times New Roman" w:eastAsiaTheme="minorHAnsi" w:hAnsi="Times New Roman"/>
                <w:lang w:val="bs-Latn-BA"/>
              </w:rPr>
              <w:t>Stopa nezaposlenosti (%)</w:t>
            </w:r>
          </w:p>
        </w:tc>
        <w:tc>
          <w:tcPr>
            <w:tcW w:w="2482" w:type="dxa"/>
          </w:tcPr>
          <w:p w:rsidR="000C263A" w:rsidRPr="000C263A" w:rsidRDefault="000C263A" w:rsidP="000C263A">
            <w:pPr>
              <w:jc w:val="right"/>
              <w:rPr>
                <w:rFonts w:ascii="Times New Roman" w:eastAsiaTheme="minorHAnsi" w:hAnsi="Times New Roman"/>
                <w:lang w:val="bs-Latn-BA"/>
              </w:rPr>
            </w:pPr>
            <w:r w:rsidRPr="000C263A">
              <w:rPr>
                <w:rFonts w:ascii="Times New Roman" w:eastAsiaTheme="minorHAnsi" w:hAnsi="Times New Roman"/>
                <w:lang w:val="bs-Latn-BA"/>
              </w:rPr>
              <w:t>9,36</w:t>
            </w:r>
          </w:p>
        </w:tc>
        <w:tc>
          <w:tcPr>
            <w:tcW w:w="2942" w:type="dxa"/>
          </w:tcPr>
          <w:p w:rsidR="000C263A" w:rsidRPr="000C263A" w:rsidRDefault="000C263A" w:rsidP="000C263A">
            <w:pPr>
              <w:jc w:val="right"/>
              <w:rPr>
                <w:rFonts w:ascii="Times New Roman" w:eastAsiaTheme="minorHAnsi" w:hAnsi="Times New Roman"/>
                <w:lang w:val="bs-Latn-BA"/>
              </w:rPr>
            </w:pPr>
            <w:r w:rsidRPr="000C263A">
              <w:rPr>
                <w:rFonts w:ascii="Times New Roman" w:eastAsiaTheme="minorHAnsi" w:hAnsi="Times New Roman"/>
                <w:lang w:val="bs-Latn-BA"/>
              </w:rPr>
              <w:t>29,1</w:t>
            </w:r>
          </w:p>
        </w:tc>
      </w:tr>
      <w:tr w:rsidR="000C263A" w:rsidRPr="000C263A" w:rsidTr="004809B6">
        <w:trPr>
          <w:trHeight w:val="517"/>
        </w:trPr>
        <w:tc>
          <w:tcPr>
            <w:tcW w:w="3397" w:type="dxa"/>
          </w:tcPr>
          <w:p w:rsidR="000C263A" w:rsidRPr="000C263A" w:rsidRDefault="000C263A" w:rsidP="000C263A">
            <w:pPr>
              <w:jc w:val="left"/>
              <w:rPr>
                <w:rFonts w:ascii="Times New Roman" w:eastAsiaTheme="minorHAnsi" w:hAnsi="Times New Roman"/>
                <w:lang w:val="bs-Latn-BA"/>
              </w:rPr>
            </w:pPr>
            <w:r w:rsidRPr="000C263A">
              <w:rPr>
                <w:rFonts w:ascii="Times New Roman" w:eastAsiaTheme="minorHAnsi" w:hAnsi="Times New Roman"/>
                <w:lang w:val="bs-Latn-BA"/>
              </w:rPr>
              <w:t>Živorođeni /1000 stanovnika</w:t>
            </w:r>
          </w:p>
        </w:tc>
        <w:tc>
          <w:tcPr>
            <w:tcW w:w="2482" w:type="dxa"/>
          </w:tcPr>
          <w:p w:rsidR="000C263A" w:rsidRPr="000C263A" w:rsidRDefault="000C263A" w:rsidP="000C263A">
            <w:pPr>
              <w:jc w:val="right"/>
              <w:rPr>
                <w:rFonts w:ascii="Times New Roman" w:eastAsiaTheme="minorHAnsi" w:hAnsi="Times New Roman"/>
                <w:lang w:val="bs-Latn-BA"/>
              </w:rPr>
            </w:pPr>
            <w:r w:rsidRPr="000C263A">
              <w:rPr>
                <w:rFonts w:ascii="Times New Roman" w:eastAsiaTheme="minorHAnsi" w:hAnsi="Times New Roman"/>
                <w:lang w:val="bs-Latn-BA"/>
              </w:rPr>
              <w:t>12,32</w:t>
            </w:r>
          </w:p>
        </w:tc>
        <w:tc>
          <w:tcPr>
            <w:tcW w:w="2942" w:type="dxa"/>
          </w:tcPr>
          <w:p w:rsidR="000C263A" w:rsidRPr="000C263A" w:rsidRDefault="000C263A" w:rsidP="000C263A">
            <w:pPr>
              <w:jc w:val="right"/>
              <w:rPr>
                <w:rFonts w:ascii="Times New Roman" w:eastAsiaTheme="minorHAnsi" w:hAnsi="Times New Roman"/>
                <w:lang w:val="bs-Latn-BA"/>
              </w:rPr>
            </w:pPr>
            <w:r w:rsidRPr="000C263A">
              <w:rPr>
                <w:rFonts w:ascii="Times New Roman" w:eastAsiaTheme="minorHAnsi" w:hAnsi="Times New Roman"/>
                <w:lang w:val="bs-Latn-BA"/>
              </w:rPr>
              <w:t>8,3</w:t>
            </w:r>
          </w:p>
        </w:tc>
      </w:tr>
      <w:tr w:rsidR="000C263A" w:rsidRPr="000C263A" w:rsidTr="004809B6">
        <w:trPr>
          <w:trHeight w:val="517"/>
        </w:trPr>
        <w:tc>
          <w:tcPr>
            <w:tcW w:w="3397" w:type="dxa"/>
          </w:tcPr>
          <w:p w:rsidR="000C263A" w:rsidRPr="000C263A" w:rsidRDefault="000C263A" w:rsidP="000C263A">
            <w:pPr>
              <w:jc w:val="left"/>
              <w:rPr>
                <w:rFonts w:ascii="Times New Roman" w:eastAsiaTheme="minorHAnsi" w:hAnsi="Times New Roman"/>
                <w:lang w:val="bs-Latn-BA"/>
              </w:rPr>
            </w:pPr>
            <w:r w:rsidRPr="000C263A">
              <w:rPr>
                <w:rFonts w:ascii="Times New Roman" w:eastAsiaTheme="minorHAnsi" w:hAnsi="Times New Roman"/>
                <w:lang w:val="bs-Latn-BA"/>
              </w:rPr>
              <w:t>Stopa fertiliteta</w:t>
            </w:r>
          </w:p>
        </w:tc>
        <w:tc>
          <w:tcPr>
            <w:tcW w:w="2482" w:type="dxa"/>
          </w:tcPr>
          <w:p w:rsidR="000C263A" w:rsidRPr="000C263A" w:rsidRDefault="000C263A" w:rsidP="000C263A">
            <w:pPr>
              <w:jc w:val="right"/>
              <w:rPr>
                <w:rFonts w:ascii="Times New Roman" w:eastAsiaTheme="minorHAnsi" w:hAnsi="Times New Roman"/>
                <w:lang w:val="bs-Latn-BA"/>
              </w:rPr>
            </w:pPr>
            <w:r w:rsidRPr="000C263A">
              <w:rPr>
                <w:rFonts w:ascii="Times New Roman" w:eastAsiaTheme="minorHAnsi" w:hAnsi="Times New Roman"/>
                <w:lang w:val="bs-Latn-BA"/>
              </w:rPr>
              <w:t>1,64</w:t>
            </w:r>
          </w:p>
        </w:tc>
        <w:tc>
          <w:tcPr>
            <w:tcW w:w="2942" w:type="dxa"/>
          </w:tcPr>
          <w:p w:rsidR="000C263A" w:rsidRPr="000C263A" w:rsidRDefault="000C263A" w:rsidP="000C263A">
            <w:pPr>
              <w:jc w:val="right"/>
              <w:rPr>
                <w:rFonts w:ascii="Times New Roman" w:eastAsiaTheme="minorHAnsi" w:hAnsi="Times New Roman"/>
                <w:lang w:val="bs-Latn-BA"/>
              </w:rPr>
            </w:pPr>
            <w:r w:rsidRPr="000C263A">
              <w:rPr>
                <w:rFonts w:ascii="Times New Roman" w:eastAsiaTheme="minorHAnsi" w:hAnsi="Times New Roman"/>
                <w:lang w:val="bs-Latn-BA"/>
              </w:rPr>
              <w:t>1,2</w:t>
            </w:r>
          </w:p>
        </w:tc>
      </w:tr>
      <w:tr w:rsidR="000C263A" w:rsidRPr="000C263A" w:rsidTr="004809B6">
        <w:trPr>
          <w:trHeight w:val="438"/>
        </w:trPr>
        <w:tc>
          <w:tcPr>
            <w:tcW w:w="8821" w:type="dxa"/>
            <w:gridSpan w:val="3"/>
            <w:shd w:val="clear" w:color="auto" w:fill="BFBFBF" w:themeFill="background1" w:themeFillShade="BF"/>
          </w:tcPr>
          <w:p w:rsidR="000C263A" w:rsidRPr="000C263A" w:rsidRDefault="000C263A" w:rsidP="000C263A">
            <w:pPr>
              <w:jc w:val="center"/>
              <w:rPr>
                <w:rFonts w:ascii="Times New Roman" w:eastAsiaTheme="minorHAnsi" w:hAnsi="Times New Roman"/>
                <w:b/>
                <w:lang w:val="bs-Latn-BA"/>
              </w:rPr>
            </w:pPr>
            <w:r w:rsidRPr="000C263A">
              <w:rPr>
                <w:rFonts w:ascii="Times New Roman" w:eastAsiaTheme="minorHAnsi" w:hAnsi="Times New Roman"/>
                <w:b/>
                <w:lang w:val="bs-Latn-BA"/>
              </w:rPr>
              <w:t>MORTALITET: Standardizirana stopa smrtnosti (SDR)/100.000 stanovnika</w:t>
            </w:r>
          </w:p>
        </w:tc>
      </w:tr>
      <w:tr w:rsidR="000C263A" w:rsidRPr="000C263A" w:rsidTr="004809B6">
        <w:trPr>
          <w:trHeight w:val="517"/>
        </w:trPr>
        <w:tc>
          <w:tcPr>
            <w:tcW w:w="3397" w:type="dxa"/>
          </w:tcPr>
          <w:p w:rsidR="000C263A" w:rsidRPr="000C263A" w:rsidRDefault="000C263A" w:rsidP="000C263A">
            <w:pPr>
              <w:jc w:val="left"/>
              <w:rPr>
                <w:rFonts w:ascii="Times New Roman" w:eastAsiaTheme="minorHAnsi" w:hAnsi="Times New Roman"/>
                <w:lang w:val="bs-Latn-BA"/>
              </w:rPr>
            </w:pPr>
            <w:r w:rsidRPr="000C263A">
              <w:rPr>
                <w:rFonts w:ascii="Times New Roman" w:eastAsiaTheme="minorHAnsi" w:hAnsi="Times New Roman" w:cstheme="minorBidi"/>
                <w:lang w:val="bs-Latn-BA"/>
              </w:rPr>
              <w:t>SDR svi uzroci i sve dobi</w:t>
            </w:r>
          </w:p>
        </w:tc>
        <w:tc>
          <w:tcPr>
            <w:tcW w:w="2482" w:type="dxa"/>
          </w:tcPr>
          <w:p w:rsidR="000C263A" w:rsidRPr="000C263A" w:rsidRDefault="000C263A" w:rsidP="000C263A">
            <w:pPr>
              <w:jc w:val="right"/>
              <w:rPr>
                <w:rFonts w:ascii="Times New Roman" w:eastAsiaTheme="minorHAnsi" w:hAnsi="Times New Roman"/>
                <w:lang w:val="bs-Latn-BA"/>
              </w:rPr>
            </w:pPr>
            <w:r w:rsidRPr="000C263A">
              <w:rPr>
                <w:rFonts w:ascii="Times New Roman" w:eastAsiaTheme="minorHAnsi" w:hAnsi="Times New Roman"/>
                <w:lang w:val="bs-Latn-BA"/>
              </w:rPr>
              <w:t>752,26</w:t>
            </w:r>
          </w:p>
        </w:tc>
        <w:tc>
          <w:tcPr>
            <w:tcW w:w="2942" w:type="dxa"/>
          </w:tcPr>
          <w:p w:rsidR="000C263A" w:rsidRPr="000C263A" w:rsidRDefault="000C263A" w:rsidP="000C263A">
            <w:pPr>
              <w:jc w:val="right"/>
              <w:rPr>
                <w:rFonts w:ascii="Times New Roman" w:eastAsiaTheme="minorHAnsi" w:hAnsi="Times New Roman"/>
                <w:lang w:val="bs-Latn-BA"/>
              </w:rPr>
            </w:pPr>
            <w:r w:rsidRPr="000C263A">
              <w:rPr>
                <w:rFonts w:ascii="Times New Roman" w:eastAsiaTheme="minorHAnsi" w:hAnsi="Times New Roman"/>
                <w:lang w:val="bs-Latn-BA"/>
              </w:rPr>
              <w:t>762,2</w:t>
            </w:r>
          </w:p>
        </w:tc>
      </w:tr>
      <w:tr w:rsidR="000C263A" w:rsidRPr="000C263A" w:rsidTr="004809B6">
        <w:trPr>
          <w:trHeight w:val="517"/>
        </w:trPr>
        <w:tc>
          <w:tcPr>
            <w:tcW w:w="3397" w:type="dxa"/>
          </w:tcPr>
          <w:p w:rsidR="000C263A" w:rsidRPr="000C263A" w:rsidRDefault="000C263A" w:rsidP="00065CCF">
            <w:pPr>
              <w:jc w:val="left"/>
              <w:rPr>
                <w:rFonts w:ascii="Times New Roman" w:eastAsiaTheme="minorHAnsi" w:hAnsi="Times New Roman"/>
                <w:lang w:val="bs-Latn-BA"/>
              </w:rPr>
            </w:pPr>
            <w:r w:rsidRPr="000C263A">
              <w:rPr>
                <w:rFonts w:ascii="Times New Roman" w:eastAsiaTheme="minorHAnsi" w:hAnsi="Times New Roman" w:cstheme="minorBidi"/>
                <w:lang w:val="bs-Latn-BA"/>
              </w:rPr>
              <w:t>SDR, bolesti cirkula</w:t>
            </w:r>
            <w:r w:rsidR="00065CCF">
              <w:rPr>
                <w:rFonts w:ascii="Times New Roman" w:eastAsiaTheme="minorHAnsi" w:hAnsi="Times New Roman" w:cstheme="minorBidi"/>
                <w:lang w:val="bs-Latn-BA"/>
              </w:rPr>
              <w:t>cijskog</w:t>
            </w:r>
            <w:r w:rsidRPr="000C263A">
              <w:rPr>
                <w:rFonts w:ascii="Times New Roman" w:eastAsiaTheme="minorHAnsi" w:hAnsi="Times New Roman" w:cstheme="minorBidi"/>
                <w:lang w:val="bs-Latn-BA"/>
              </w:rPr>
              <w:t xml:space="preserve"> s</w:t>
            </w:r>
            <w:r w:rsidR="00065CCF">
              <w:rPr>
                <w:rFonts w:ascii="Times New Roman" w:eastAsiaTheme="minorHAnsi" w:hAnsi="Times New Roman" w:cstheme="minorBidi"/>
                <w:lang w:val="bs-Latn-BA"/>
              </w:rPr>
              <w:t>ustava</w:t>
            </w:r>
            <w:r w:rsidRPr="000C263A">
              <w:rPr>
                <w:rFonts w:ascii="Times New Roman" w:eastAsiaTheme="minorHAnsi" w:hAnsi="Times New Roman" w:cstheme="minorBidi"/>
                <w:lang w:val="bs-Latn-BA"/>
              </w:rPr>
              <w:t>, sv</w:t>
            </w:r>
            <w:r w:rsidR="00065CCF">
              <w:rPr>
                <w:rFonts w:ascii="Times New Roman" w:eastAsiaTheme="minorHAnsi" w:hAnsi="Times New Roman" w:cstheme="minorBidi"/>
                <w:lang w:val="bs-Latn-BA"/>
              </w:rPr>
              <w:t>e dobi</w:t>
            </w:r>
          </w:p>
        </w:tc>
        <w:tc>
          <w:tcPr>
            <w:tcW w:w="2482" w:type="dxa"/>
          </w:tcPr>
          <w:p w:rsidR="000C263A" w:rsidRPr="000C263A" w:rsidRDefault="000C263A" w:rsidP="000C263A">
            <w:pPr>
              <w:jc w:val="right"/>
              <w:rPr>
                <w:rFonts w:ascii="Times New Roman" w:eastAsiaTheme="minorHAnsi" w:hAnsi="Times New Roman"/>
                <w:lang w:val="bs-Latn-BA"/>
              </w:rPr>
            </w:pPr>
            <w:r w:rsidRPr="000C263A">
              <w:rPr>
                <w:rFonts w:ascii="Times New Roman" w:eastAsiaTheme="minorHAnsi" w:hAnsi="Times New Roman"/>
                <w:lang w:val="bs-Latn-BA"/>
              </w:rPr>
              <w:t>339,99</w:t>
            </w:r>
          </w:p>
        </w:tc>
        <w:tc>
          <w:tcPr>
            <w:tcW w:w="2942" w:type="dxa"/>
          </w:tcPr>
          <w:p w:rsidR="000C263A" w:rsidRPr="000C263A" w:rsidRDefault="000C263A" w:rsidP="000C263A">
            <w:pPr>
              <w:jc w:val="right"/>
              <w:rPr>
                <w:rFonts w:ascii="Times New Roman" w:eastAsiaTheme="minorHAnsi" w:hAnsi="Times New Roman"/>
                <w:lang w:val="bs-Latn-BA"/>
              </w:rPr>
            </w:pPr>
            <w:r w:rsidRPr="000C263A">
              <w:rPr>
                <w:rFonts w:ascii="Times New Roman" w:eastAsiaTheme="minorHAnsi" w:hAnsi="Times New Roman"/>
                <w:lang w:val="bs-Latn-BA"/>
              </w:rPr>
              <w:t>400,9</w:t>
            </w:r>
          </w:p>
        </w:tc>
      </w:tr>
      <w:tr w:rsidR="000C263A" w:rsidRPr="000C263A" w:rsidTr="004809B6">
        <w:trPr>
          <w:trHeight w:val="517"/>
        </w:trPr>
        <w:tc>
          <w:tcPr>
            <w:tcW w:w="3397" w:type="dxa"/>
          </w:tcPr>
          <w:p w:rsidR="000C263A" w:rsidRPr="000C263A" w:rsidRDefault="000C263A" w:rsidP="00065CCF">
            <w:pPr>
              <w:jc w:val="left"/>
              <w:rPr>
                <w:rFonts w:ascii="Times New Roman" w:eastAsiaTheme="minorHAnsi" w:hAnsi="Times New Roman"/>
                <w:lang w:val="bs-Latn-BA"/>
              </w:rPr>
            </w:pPr>
            <w:r w:rsidRPr="000C263A">
              <w:rPr>
                <w:rFonts w:ascii="Times New Roman" w:eastAsiaTheme="minorHAnsi" w:hAnsi="Times New Roman" w:cstheme="minorBidi"/>
                <w:lang w:val="bs-Latn-BA"/>
              </w:rPr>
              <w:t>SDR, maligne neoplazme, sv</w:t>
            </w:r>
            <w:r w:rsidR="00065CCF">
              <w:rPr>
                <w:rFonts w:ascii="Times New Roman" w:eastAsiaTheme="minorHAnsi" w:hAnsi="Times New Roman" w:cstheme="minorBidi"/>
                <w:lang w:val="bs-Latn-BA"/>
              </w:rPr>
              <w:t>e dobi</w:t>
            </w:r>
          </w:p>
        </w:tc>
        <w:tc>
          <w:tcPr>
            <w:tcW w:w="2482" w:type="dxa"/>
          </w:tcPr>
          <w:p w:rsidR="000C263A" w:rsidRPr="000C263A" w:rsidRDefault="000C263A" w:rsidP="000C263A">
            <w:pPr>
              <w:jc w:val="right"/>
              <w:rPr>
                <w:rFonts w:ascii="Times New Roman" w:eastAsiaTheme="minorHAnsi" w:hAnsi="Times New Roman"/>
                <w:lang w:val="bs-Latn-BA"/>
              </w:rPr>
            </w:pPr>
            <w:r w:rsidRPr="000C263A">
              <w:rPr>
                <w:rFonts w:ascii="Times New Roman" w:eastAsiaTheme="minorHAnsi" w:hAnsi="Times New Roman"/>
                <w:lang w:val="bs-Latn-BA"/>
              </w:rPr>
              <w:t>156,51</w:t>
            </w:r>
          </w:p>
        </w:tc>
        <w:tc>
          <w:tcPr>
            <w:tcW w:w="2942" w:type="dxa"/>
          </w:tcPr>
          <w:p w:rsidR="000C263A" w:rsidRPr="000C263A" w:rsidRDefault="000C263A" w:rsidP="000C263A">
            <w:pPr>
              <w:jc w:val="right"/>
              <w:rPr>
                <w:rFonts w:ascii="Times New Roman" w:eastAsiaTheme="minorHAnsi" w:hAnsi="Times New Roman"/>
                <w:lang w:val="bs-Latn-BA"/>
              </w:rPr>
            </w:pPr>
            <w:r w:rsidRPr="000C263A">
              <w:rPr>
                <w:rFonts w:ascii="Times New Roman" w:eastAsiaTheme="minorHAnsi" w:hAnsi="Times New Roman"/>
                <w:lang w:val="bs-Latn-BA"/>
              </w:rPr>
              <w:t>164,1</w:t>
            </w:r>
          </w:p>
        </w:tc>
      </w:tr>
      <w:tr w:rsidR="000C263A" w:rsidRPr="000C263A" w:rsidTr="004809B6">
        <w:trPr>
          <w:trHeight w:val="517"/>
        </w:trPr>
        <w:tc>
          <w:tcPr>
            <w:tcW w:w="3397" w:type="dxa"/>
          </w:tcPr>
          <w:p w:rsidR="000C263A" w:rsidRPr="000C263A" w:rsidRDefault="000C263A" w:rsidP="00065CCF">
            <w:pPr>
              <w:jc w:val="left"/>
              <w:rPr>
                <w:rFonts w:ascii="Times New Roman" w:eastAsiaTheme="minorHAnsi" w:hAnsi="Times New Roman"/>
                <w:lang w:val="bs-Latn-BA"/>
              </w:rPr>
            </w:pPr>
            <w:r w:rsidRPr="000C263A">
              <w:rPr>
                <w:rFonts w:ascii="Times New Roman" w:eastAsiaTheme="minorHAnsi" w:hAnsi="Times New Roman" w:cstheme="minorBidi"/>
                <w:lang w:val="bs-Latn-BA"/>
              </w:rPr>
              <w:t>SDR, samoubojstva, sv</w:t>
            </w:r>
            <w:r w:rsidR="00065CCF">
              <w:rPr>
                <w:rFonts w:ascii="Times New Roman" w:eastAsiaTheme="minorHAnsi" w:hAnsi="Times New Roman" w:cstheme="minorBidi"/>
                <w:lang w:val="bs-Latn-BA"/>
              </w:rPr>
              <w:t>e</w:t>
            </w:r>
            <w:r w:rsidRPr="000C263A">
              <w:rPr>
                <w:rFonts w:ascii="Times New Roman" w:eastAsiaTheme="minorHAnsi" w:hAnsi="Times New Roman" w:cstheme="minorBidi"/>
                <w:lang w:val="bs-Latn-BA"/>
              </w:rPr>
              <w:t xml:space="preserve"> </w:t>
            </w:r>
            <w:r w:rsidR="00065CCF">
              <w:rPr>
                <w:rFonts w:ascii="Times New Roman" w:eastAsiaTheme="minorHAnsi" w:hAnsi="Times New Roman" w:cstheme="minorBidi"/>
                <w:lang w:val="bs-Latn-BA"/>
              </w:rPr>
              <w:t>dobi</w:t>
            </w:r>
          </w:p>
        </w:tc>
        <w:tc>
          <w:tcPr>
            <w:tcW w:w="2482" w:type="dxa"/>
          </w:tcPr>
          <w:p w:rsidR="000C263A" w:rsidRPr="000C263A" w:rsidRDefault="000C263A" w:rsidP="000C263A">
            <w:pPr>
              <w:jc w:val="right"/>
              <w:rPr>
                <w:rFonts w:ascii="Times New Roman" w:eastAsiaTheme="minorHAnsi" w:hAnsi="Times New Roman"/>
                <w:lang w:val="bs-Latn-BA"/>
              </w:rPr>
            </w:pPr>
            <w:r w:rsidRPr="000C263A">
              <w:rPr>
                <w:rFonts w:ascii="Times New Roman" w:eastAsiaTheme="minorHAnsi" w:hAnsi="Times New Roman"/>
                <w:lang w:val="bs-Latn-BA"/>
              </w:rPr>
              <w:t>11,33</w:t>
            </w:r>
          </w:p>
        </w:tc>
        <w:tc>
          <w:tcPr>
            <w:tcW w:w="2942" w:type="dxa"/>
          </w:tcPr>
          <w:p w:rsidR="000C263A" w:rsidRPr="000C263A" w:rsidRDefault="000C263A" w:rsidP="000C263A">
            <w:pPr>
              <w:jc w:val="right"/>
              <w:rPr>
                <w:rFonts w:ascii="Times New Roman" w:eastAsiaTheme="minorHAnsi" w:hAnsi="Times New Roman"/>
                <w:lang w:val="bs-Latn-BA"/>
              </w:rPr>
            </w:pPr>
            <w:r w:rsidRPr="000C263A">
              <w:rPr>
                <w:rFonts w:ascii="Times New Roman" w:eastAsiaTheme="minorHAnsi" w:hAnsi="Times New Roman"/>
                <w:lang w:val="bs-Latn-BA"/>
              </w:rPr>
              <w:t>6,6</w:t>
            </w:r>
          </w:p>
        </w:tc>
      </w:tr>
      <w:tr w:rsidR="000C263A" w:rsidRPr="000C263A" w:rsidTr="004809B6">
        <w:trPr>
          <w:trHeight w:val="517"/>
        </w:trPr>
        <w:tc>
          <w:tcPr>
            <w:tcW w:w="3397" w:type="dxa"/>
          </w:tcPr>
          <w:p w:rsidR="000C263A" w:rsidRPr="000C263A" w:rsidRDefault="000C263A" w:rsidP="000C263A">
            <w:pPr>
              <w:jc w:val="left"/>
              <w:rPr>
                <w:rFonts w:ascii="Times New Roman" w:eastAsiaTheme="minorHAnsi" w:hAnsi="Times New Roman"/>
                <w:lang w:val="bs-Latn-BA"/>
              </w:rPr>
            </w:pPr>
            <w:r w:rsidRPr="000C263A">
              <w:rPr>
                <w:rFonts w:ascii="Times New Roman" w:eastAsiaTheme="minorHAnsi" w:hAnsi="Times New Roman" w:cstheme="minorBidi"/>
                <w:lang w:val="bs-Latn-BA"/>
              </w:rPr>
              <w:t>SDR, zarazna i parazitarna oboljenja</w:t>
            </w:r>
          </w:p>
        </w:tc>
        <w:tc>
          <w:tcPr>
            <w:tcW w:w="2482" w:type="dxa"/>
          </w:tcPr>
          <w:p w:rsidR="000C263A" w:rsidRPr="000C263A" w:rsidRDefault="000C263A" w:rsidP="000C263A">
            <w:pPr>
              <w:jc w:val="right"/>
              <w:rPr>
                <w:rFonts w:ascii="Times New Roman" w:eastAsiaTheme="minorHAnsi" w:hAnsi="Times New Roman"/>
                <w:lang w:val="bs-Latn-BA"/>
              </w:rPr>
            </w:pPr>
            <w:r w:rsidRPr="000C263A">
              <w:rPr>
                <w:rFonts w:ascii="Times New Roman" w:eastAsiaTheme="minorHAnsi" w:hAnsi="Times New Roman"/>
                <w:lang w:val="bs-Latn-BA"/>
              </w:rPr>
              <w:t>13,04</w:t>
            </w:r>
          </w:p>
        </w:tc>
        <w:tc>
          <w:tcPr>
            <w:tcW w:w="2942" w:type="dxa"/>
          </w:tcPr>
          <w:p w:rsidR="000C263A" w:rsidRPr="000C263A" w:rsidRDefault="000C263A" w:rsidP="000C263A">
            <w:pPr>
              <w:jc w:val="right"/>
              <w:rPr>
                <w:rFonts w:ascii="Times New Roman" w:eastAsiaTheme="minorHAnsi" w:hAnsi="Times New Roman"/>
                <w:lang w:val="bs-Latn-BA"/>
              </w:rPr>
            </w:pPr>
            <w:r w:rsidRPr="000C263A">
              <w:rPr>
                <w:rFonts w:ascii="Times New Roman" w:eastAsiaTheme="minorHAnsi" w:hAnsi="Times New Roman"/>
                <w:lang w:val="bs-Latn-BA"/>
              </w:rPr>
              <w:t>7,6</w:t>
            </w:r>
          </w:p>
        </w:tc>
      </w:tr>
      <w:tr w:rsidR="000C263A" w:rsidRPr="000C263A" w:rsidTr="004809B6">
        <w:trPr>
          <w:trHeight w:val="339"/>
        </w:trPr>
        <w:tc>
          <w:tcPr>
            <w:tcW w:w="8821" w:type="dxa"/>
            <w:gridSpan w:val="3"/>
            <w:shd w:val="clear" w:color="auto" w:fill="BFBFBF" w:themeFill="background1" w:themeFillShade="BF"/>
          </w:tcPr>
          <w:p w:rsidR="000C263A" w:rsidRPr="000C263A" w:rsidRDefault="000C263A" w:rsidP="000C263A">
            <w:pPr>
              <w:jc w:val="center"/>
              <w:rPr>
                <w:rFonts w:ascii="Times New Roman" w:eastAsiaTheme="minorHAnsi" w:hAnsi="Times New Roman"/>
                <w:lang w:val="bs-Latn-BA"/>
              </w:rPr>
            </w:pPr>
            <w:r w:rsidRPr="000C263A">
              <w:rPr>
                <w:rFonts w:ascii="Times New Roman" w:eastAsiaTheme="minorHAnsi" w:hAnsi="Times New Roman" w:cstheme="minorBidi"/>
                <w:b/>
                <w:bCs/>
                <w:lang w:val="bs-Latn-BA"/>
              </w:rPr>
              <w:t>ZARAZNE BOLESTI</w:t>
            </w:r>
          </w:p>
        </w:tc>
      </w:tr>
      <w:tr w:rsidR="000C263A" w:rsidRPr="000C263A" w:rsidTr="004809B6">
        <w:trPr>
          <w:trHeight w:val="517"/>
        </w:trPr>
        <w:tc>
          <w:tcPr>
            <w:tcW w:w="3397" w:type="dxa"/>
          </w:tcPr>
          <w:p w:rsidR="000C263A" w:rsidRPr="000C263A" w:rsidRDefault="000C263A" w:rsidP="000C263A">
            <w:pPr>
              <w:jc w:val="left"/>
              <w:rPr>
                <w:rFonts w:ascii="Times New Roman" w:eastAsiaTheme="minorHAnsi" w:hAnsi="Times New Roman"/>
                <w:lang w:val="bs-Latn-BA"/>
              </w:rPr>
            </w:pPr>
            <w:r w:rsidRPr="000C263A">
              <w:rPr>
                <w:rFonts w:ascii="Times New Roman" w:eastAsiaTheme="minorHAnsi" w:hAnsi="Times New Roman" w:cstheme="minorBidi"/>
                <w:lang w:val="bs-Latn-BA"/>
              </w:rPr>
              <w:t>AIDS incidenca/100.000 st.</w:t>
            </w:r>
          </w:p>
        </w:tc>
        <w:tc>
          <w:tcPr>
            <w:tcW w:w="2482" w:type="dxa"/>
          </w:tcPr>
          <w:p w:rsidR="000C263A" w:rsidRPr="000C263A" w:rsidRDefault="000C263A" w:rsidP="000C263A">
            <w:pPr>
              <w:jc w:val="right"/>
              <w:rPr>
                <w:rFonts w:ascii="Times New Roman" w:eastAsiaTheme="minorHAnsi" w:hAnsi="Times New Roman"/>
                <w:lang w:val="bs-Latn-BA"/>
              </w:rPr>
            </w:pPr>
            <w:r w:rsidRPr="000C263A">
              <w:rPr>
                <w:rFonts w:ascii="Times New Roman" w:eastAsiaTheme="minorHAnsi" w:hAnsi="Times New Roman"/>
                <w:lang w:val="bs-Latn-BA"/>
              </w:rPr>
              <w:t>1,78</w:t>
            </w:r>
          </w:p>
        </w:tc>
        <w:tc>
          <w:tcPr>
            <w:tcW w:w="2942" w:type="dxa"/>
          </w:tcPr>
          <w:p w:rsidR="000C263A" w:rsidRPr="000C263A" w:rsidRDefault="000C263A" w:rsidP="000C263A">
            <w:pPr>
              <w:jc w:val="right"/>
              <w:rPr>
                <w:rFonts w:ascii="Times New Roman" w:eastAsiaTheme="minorHAnsi" w:hAnsi="Times New Roman"/>
                <w:lang w:val="bs-Latn-BA"/>
              </w:rPr>
            </w:pPr>
            <w:r w:rsidRPr="000C263A">
              <w:rPr>
                <w:rFonts w:ascii="Times New Roman" w:eastAsiaTheme="minorHAnsi" w:hAnsi="Times New Roman"/>
                <w:lang w:val="bs-Latn-BA"/>
              </w:rPr>
              <w:t>0,21</w:t>
            </w:r>
          </w:p>
        </w:tc>
      </w:tr>
      <w:tr w:rsidR="000C263A" w:rsidRPr="000C263A" w:rsidTr="004809B6">
        <w:trPr>
          <w:trHeight w:val="517"/>
        </w:trPr>
        <w:tc>
          <w:tcPr>
            <w:tcW w:w="3397" w:type="dxa"/>
          </w:tcPr>
          <w:p w:rsidR="000C263A" w:rsidRPr="000C263A" w:rsidRDefault="000C263A" w:rsidP="000C263A">
            <w:pPr>
              <w:jc w:val="left"/>
              <w:rPr>
                <w:rFonts w:ascii="Times New Roman" w:eastAsiaTheme="minorHAnsi" w:hAnsi="Times New Roman"/>
                <w:lang w:val="bs-Latn-BA"/>
              </w:rPr>
            </w:pPr>
            <w:r w:rsidRPr="000C263A">
              <w:rPr>
                <w:rFonts w:ascii="Times New Roman" w:eastAsiaTheme="minorHAnsi" w:hAnsi="Times New Roman" w:cstheme="minorBidi"/>
                <w:lang w:val="bs-Latn-BA"/>
              </w:rPr>
              <w:t>HIV incidenca/100.000 st.</w:t>
            </w:r>
          </w:p>
        </w:tc>
        <w:tc>
          <w:tcPr>
            <w:tcW w:w="2482" w:type="dxa"/>
          </w:tcPr>
          <w:p w:rsidR="000C263A" w:rsidRPr="000C263A" w:rsidRDefault="000C263A" w:rsidP="000C263A">
            <w:pPr>
              <w:jc w:val="right"/>
              <w:rPr>
                <w:rFonts w:ascii="Times New Roman" w:eastAsiaTheme="minorHAnsi" w:hAnsi="Times New Roman"/>
                <w:lang w:val="bs-Latn-BA"/>
              </w:rPr>
            </w:pPr>
            <w:r w:rsidRPr="000C263A">
              <w:rPr>
                <w:rFonts w:ascii="Times New Roman" w:eastAsiaTheme="minorHAnsi" w:hAnsi="Times New Roman"/>
                <w:lang w:val="bs-Latn-BA"/>
              </w:rPr>
              <w:t>6,7</w:t>
            </w:r>
          </w:p>
        </w:tc>
        <w:tc>
          <w:tcPr>
            <w:tcW w:w="2942" w:type="dxa"/>
          </w:tcPr>
          <w:p w:rsidR="000C263A" w:rsidRPr="000C263A" w:rsidRDefault="000C263A" w:rsidP="000C263A">
            <w:pPr>
              <w:jc w:val="right"/>
              <w:rPr>
                <w:rFonts w:ascii="Times New Roman" w:eastAsiaTheme="minorHAnsi" w:hAnsi="Times New Roman"/>
                <w:lang w:val="bs-Latn-BA"/>
              </w:rPr>
            </w:pPr>
            <w:r w:rsidRPr="000C263A">
              <w:rPr>
                <w:rFonts w:ascii="Times New Roman" w:eastAsiaTheme="minorHAnsi" w:hAnsi="Times New Roman"/>
                <w:lang w:val="bs-Latn-BA"/>
              </w:rPr>
              <w:t>0,42</w:t>
            </w:r>
          </w:p>
        </w:tc>
      </w:tr>
      <w:tr w:rsidR="000C263A" w:rsidRPr="000C263A" w:rsidTr="004809B6">
        <w:trPr>
          <w:trHeight w:val="517"/>
        </w:trPr>
        <w:tc>
          <w:tcPr>
            <w:tcW w:w="3397" w:type="dxa"/>
          </w:tcPr>
          <w:p w:rsidR="000C263A" w:rsidRPr="000C263A" w:rsidRDefault="000C263A" w:rsidP="000C263A">
            <w:pPr>
              <w:jc w:val="left"/>
              <w:rPr>
                <w:rFonts w:ascii="Times New Roman" w:eastAsiaTheme="minorHAnsi" w:hAnsi="Times New Roman"/>
                <w:lang w:val="bs-Latn-BA"/>
              </w:rPr>
            </w:pPr>
            <w:r w:rsidRPr="000C263A">
              <w:rPr>
                <w:rFonts w:ascii="Times New Roman" w:eastAsiaTheme="minorHAnsi" w:hAnsi="Times New Roman" w:cstheme="minorBidi"/>
                <w:lang w:val="bs-Latn-BA"/>
              </w:rPr>
              <w:t>Tuberkuloza: Incidenca/100.000</w:t>
            </w:r>
          </w:p>
        </w:tc>
        <w:tc>
          <w:tcPr>
            <w:tcW w:w="2482" w:type="dxa"/>
          </w:tcPr>
          <w:p w:rsidR="000C263A" w:rsidRPr="000C263A" w:rsidRDefault="000C263A" w:rsidP="000C263A">
            <w:pPr>
              <w:jc w:val="right"/>
              <w:rPr>
                <w:rFonts w:ascii="Times New Roman" w:eastAsiaTheme="minorHAnsi" w:hAnsi="Times New Roman"/>
                <w:lang w:val="bs-Latn-BA"/>
              </w:rPr>
            </w:pPr>
            <w:r w:rsidRPr="000C263A">
              <w:rPr>
                <w:rFonts w:ascii="Times New Roman" w:eastAsiaTheme="minorHAnsi" w:hAnsi="Times New Roman"/>
                <w:lang w:val="bs-Latn-BA"/>
              </w:rPr>
              <w:t>32,88</w:t>
            </w:r>
          </w:p>
        </w:tc>
        <w:tc>
          <w:tcPr>
            <w:tcW w:w="2942" w:type="dxa"/>
          </w:tcPr>
          <w:p w:rsidR="000C263A" w:rsidRPr="000C263A" w:rsidRDefault="000C263A" w:rsidP="000C263A">
            <w:pPr>
              <w:jc w:val="right"/>
              <w:rPr>
                <w:rFonts w:ascii="Times New Roman" w:eastAsiaTheme="minorHAnsi" w:hAnsi="Times New Roman"/>
                <w:lang w:val="bs-Latn-BA"/>
              </w:rPr>
            </w:pPr>
            <w:r w:rsidRPr="000C263A">
              <w:rPr>
                <w:rFonts w:ascii="Times New Roman" w:eastAsiaTheme="minorHAnsi" w:hAnsi="Times New Roman"/>
                <w:lang w:val="bs-Latn-BA"/>
              </w:rPr>
              <w:t>31</w:t>
            </w:r>
          </w:p>
        </w:tc>
      </w:tr>
      <w:tr w:rsidR="000C263A" w:rsidRPr="000C263A" w:rsidTr="004809B6">
        <w:trPr>
          <w:trHeight w:val="396"/>
        </w:trPr>
        <w:tc>
          <w:tcPr>
            <w:tcW w:w="8821" w:type="dxa"/>
            <w:gridSpan w:val="3"/>
            <w:shd w:val="clear" w:color="auto" w:fill="BFBFBF" w:themeFill="background1" w:themeFillShade="BF"/>
          </w:tcPr>
          <w:p w:rsidR="000C263A" w:rsidRPr="000C263A" w:rsidRDefault="000C263A" w:rsidP="000C263A">
            <w:pPr>
              <w:jc w:val="center"/>
              <w:rPr>
                <w:rFonts w:ascii="Times New Roman" w:eastAsiaTheme="minorHAnsi" w:hAnsi="Times New Roman"/>
                <w:lang w:val="bs-Latn-BA"/>
              </w:rPr>
            </w:pPr>
            <w:r w:rsidRPr="000C263A">
              <w:rPr>
                <w:rFonts w:ascii="Times New Roman" w:eastAsiaTheme="minorHAnsi" w:hAnsi="Times New Roman" w:cstheme="minorBidi"/>
                <w:b/>
                <w:bCs/>
                <w:lang w:val="bs-Latn-BA"/>
              </w:rPr>
              <w:t>ZDRAVLJE DJECE I MLADIH</w:t>
            </w:r>
          </w:p>
        </w:tc>
      </w:tr>
      <w:tr w:rsidR="000C263A" w:rsidRPr="000C263A" w:rsidTr="004809B6">
        <w:trPr>
          <w:trHeight w:val="517"/>
        </w:trPr>
        <w:tc>
          <w:tcPr>
            <w:tcW w:w="3397" w:type="dxa"/>
          </w:tcPr>
          <w:p w:rsidR="000C263A" w:rsidRPr="000C263A" w:rsidRDefault="000C263A" w:rsidP="000C263A">
            <w:pPr>
              <w:spacing w:line="276" w:lineRule="auto"/>
              <w:jc w:val="left"/>
              <w:rPr>
                <w:rFonts w:ascii="Times New Roman" w:hAnsi="Times New Roman"/>
                <w:lang w:val="bs-Latn-BA"/>
              </w:rPr>
            </w:pPr>
            <w:r w:rsidRPr="000C263A">
              <w:rPr>
                <w:rFonts w:ascii="Times New Roman" w:hAnsi="Times New Roman"/>
                <w:lang w:val="bs-Latn-BA"/>
              </w:rPr>
              <w:t xml:space="preserve">Dojenačka smrtnost </w:t>
            </w:r>
          </w:p>
          <w:p w:rsidR="000C263A" w:rsidRPr="000C263A" w:rsidRDefault="000C263A" w:rsidP="000C263A">
            <w:pPr>
              <w:jc w:val="left"/>
              <w:rPr>
                <w:rFonts w:ascii="Times New Roman" w:eastAsiaTheme="minorHAnsi" w:hAnsi="Times New Roman"/>
                <w:lang w:val="bs-Latn-BA"/>
              </w:rPr>
            </w:pPr>
            <w:r w:rsidRPr="000C263A">
              <w:rPr>
                <w:rFonts w:ascii="Times New Roman" w:hAnsi="Times New Roman"/>
                <w:lang w:val="bs-Latn-BA"/>
              </w:rPr>
              <w:t>(na 1000 živorođenih)</w:t>
            </w:r>
          </w:p>
        </w:tc>
        <w:tc>
          <w:tcPr>
            <w:tcW w:w="2482" w:type="dxa"/>
          </w:tcPr>
          <w:p w:rsidR="000C263A" w:rsidRPr="000C263A" w:rsidRDefault="000C263A" w:rsidP="000C263A">
            <w:pPr>
              <w:jc w:val="right"/>
              <w:rPr>
                <w:rFonts w:ascii="Times New Roman" w:eastAsiaTheme="minorHAnsi" w:hAnsi="Times New Roman"/>
                <w:lang w:val="bs-Latn-BA"/>
              </w:rPr>
            </w:pPr>
            <w:r w:rsidRPr="000C263A">
              <w:rPr>
                <w:rFonts w:ascii="Times New Roman" w:eastAsiaTheme="minorHAnsi" w:hAnsi="Times New Roman"/>
                <w:lang w:val="bs-Latn-BA"/>
              </w:rPr>
              <w:t>7,06</w:t>
            </w:r>
          </w:p>
        </w:tc>
        <w:tc>
          <w:tcPr>
            <w:tcW w:w="2942" w:type="dxa"/>
          </w:tcPr>
          <w:p w:rsidR="000C263A" w:rsidRPr="000C263A" w:rsidRDefault="000C263A" w:rsidP="000C263A">
            <w:pPr>
              <w:jc w:val="right"/>
              <w:rPr>
                <w:rFonts w:ascii="Times New Roman" w:eastAsiaTheme="minorHAnsi" w:hAnsi="Times New Roman"/>
                <w:lang w:val="bs-Latn-BA"/>
              </w:rPr>
            </w:pPr>
            <w:r w:rsidRPr="000C263A">
              <w:rPr>
                <w:rFonts w:ascii="Times New Roman" w:eastAsiaTheme="minorHAnsi" w:hAnsi="Times New Roman"/>
                <w:lang w:val="bs-Latn-BA"/>
              </w:rPr>
              <w:t>7,9</w:t>
            </w:r>
          </w:p>
        </w:tc>
      </w:tr>
      <w:tr w:rsidR="000C263A" w:rsidRPr="000C263A" w:rsidTr="004809B6">
        <w:trPr>
          <w:trHeight w:val="517"/>
        </w:trPr>
        <w:tc>
          <w:tcPr>
            <w:tcW w:w="3397" w:type="dxa"/>
          </w:tcPr>
          <w:p w:rsidR="000C263A" w:rsidRPr="000C263A" w:rsidRDefault="000C263A" w:rsidP="000C263A">
            <w:pPr>
              <w:jc w:val="left"/>
              <w:rPr>
                <w:rFonts w:ascii="Times New Roman" w:eastAsiaTheme="minorHAnsi" w:hAnsi="Times New Roman"/>
                <w:lang w:val="bs-Latn-BA"/>
              </w:rPr>
            </w:pPr>
            <w:r w:rsidRPr="000C263A">
              <w:rPr>
                <w:rFonts w:ascii="Times New Roman" w:eastAsiaTheme="minorHAnsi" w:hAnsi="Times New Roman" w:cstheme="minorBidi"/>
                <w:lang w:val="bs-Latn-BA"/>
              </w:rPr>
              <w:t>Pokrivenost imunizacijom DTP</w:t>
            </w:r>
            <w:r w:rsidRPr="000C263A">
              <w:rPr>
                <w:rFonts w:ascii="Times New Roman" w:eastAsiaTheme="minorHAnsi" w:hAnsi="Times New Roman" w:cstheme="minorBidi"/>
                <w:vertAlign w:val="subscript"/>
                <w:lang w:val="bs-Latn-BA"/>
              </w:rPr>
              <w:t>3</w:t>
            </w:r>
          </w:p>
        </w:tc>
        <w:tc>
          <w:tcPr>
            <w:tcW w:w="2482" w:type="dxa"/>
          </w:tcPr>
          <w:p w:rsidR="000C263A" w:rsidRPr="000C263A" w:rsidRDefault="000C263A" w:rsidP="000C263A">
            <w:pPr>
              <w:jc w:val="right"/>
              <w:rPr>
                <w:rFonts w:ascii="Times New Roman" w:eastAsiaTheme="minorHAnsi" w:hAnsi="Times New Roman"/>
                <w:lang w:val="bs-Latn-BA"/>
              </w:rPr>
            </w:pPr>
            <w:r w:rsidRPr="000C263A">
              <w:rPr>
                <w:rFonts w:ascii="Times New Roman" w:eastAsiaTheme="minorHAnsi" w:hAnsi="Times New Roman"/>
                <w:lang w:val="bs-Latn-BA"/>
              </w:rPr>
              <w:t>...</w:t>
            </w:r>
          </w:p>
        </w:tc>
        <w:tc>
          <w:tcPr>
            <w:tcW w:w="2942" w:type="dxa"/>
          </w:tcPr>
          <w:p w:rsidR="000C263A" w:rsidRPr="000C263A" w:rsidRDefault="000C263A" w:rsidP="000C263A">
            <w:pPr>
              <w:jc w:val="right"/>
              <w:rPr>
                <w:rFonts w:ascii="Times New Roman" w:eastAsiaTheme="minorHAnsi" w:hAnsi="Times New Roman"/>
                <w:lang w:val="bs-Latn-BA"/>
              </w:rPr>
            </w:pPr>
            <w:r w:rsidRPr="000C263A">
              <w:rPr>
                <w:rFonts w:ascii="Times New Roman" w:eastAsiaTheme="minorHAnsi" w:hAnsi="Times New Roman"/>
                <w:lang w:val="bs-Latn-BA"/>
              </w:rPr>
              <w:t>76,3%</w:t>
            </w:r>
          </w:p>
        </w:tc>
      </w:tr>
      <w:tr w:rsidR="000C263A" w:rsidRPr="000C263A" w:rsidTr="004809B6">
        <w:trPr>
          <w:trHeight w:val="317"/>
        </w:trPr>
        <w:tc>
          <w:tcPr>
            <w:tcW w:w="8821" w:type="dxa"/>
            <w:gridSpan w:val="3"/>
            <w:shd w:val="clear" w:color="auto" w:fill="BFBFBF" w:themeFill="background1" w:themeFillShade="BF"/>
          </w:tcPr>
          <w:p w:rsidR="000C263A" w:rsidRDefault="00F311A8" w:rsidP="000C263A">
            <w:pPr>
              <w:jc w:val="center"/>
              <w:rPr>
                <w:rFonts w:ascii="Times New Roman" w:eastAsiaTheme="minorHAnsi" w:hAnsi="Times New Roman" w:cstheme="minorBidi"/>
                <w:b/>
                <w:bCs/>
                <w:lang w:val="bs-Latn-BA"/>
              </w:rPr>
            </w:pPr>
            <w:r>
              <w:rPr>
                <w:rFonts w:ascii="Times New Roman" w:eastAsiaTheme="minorHAnsi" w:hAnsi="Times New Roman" w:cstheme="minorBidi"/>
                <w:b/>
                <w:bCs/>
                <w:lang w:val="bs-Latn-BA"/>
              </w:rPr>
              <w:t xml:space="preserve">RIZIČNI ČIMBENICI </w:t>
            </w:r>
          </w:p>
          <w:p w:rsidR="00D22BBB" w:rsidRPr="000C263A" w:rsidRDefault="00D22BBB" w:rsidP="000C263A">
            <w:pPr>
              <w:jc w:val="center"/>
              <w:rPr>
                <w:rFonts w:ascii="Times New Roman" w:eastAsiaTheme="minorHAnsi" w:hAnsi="Times New Roman"/>
                <w:lang w:val="bs-Latn-BA"/>
              </w:rPr>
            </w:pPr>
          </w:p>
        </w:tc>
      </w:tr>
      <w:tr w:rsidR="000C263A" w:rsidRPr="000C263A" w:rsidTr="004809B6">
        <w:trPr>
          <w:trHeight w:val="517"/>
        </w:trPr>
        <w:tc>
          <w:tcPr>
            <w:tcW w:w="3397" w:type="dxa"/>
          </w:tcPr>
          <w:p w:rsidR="000C263A" w:rsidRPr="006D674E" w:rsidRDefault="006D674E" w:rsidP="006D674E">
            <w:pPr>
              <w:spacing w:line="276" w:lineRule="auto"/>
              <w:jc w:val="left"/>
              <w:rPr>
                <w:rFonts w:ascii="Times New Roman" w:hAnsi="Times New Roman"/>
                <w:lang w:val="bs-Latn-BA"/>
              </w:rPr>
            </w:pPr>
            <w:r>
              <w:rPr>
                <w:rFonts w:ascii="Times New Roman" w:hAnsi="Times New Roman"/>
                <w:lang w:val="bs-Latn-BA"/>
              </w:rPr>
              <w:t xml:space="preserve">Konzumacija duhana-odrasli </w:t>
            </w:r>
            <w:r w:rsidR="000C263A" w:rsidRPr="000C263A">
              <w:rPr>
                <w:rFonts w:ascii="Times New Roman" w:hAnsi="Times New Roman"/>
                <w:lang w:val="bs-Latn-BA"/>
              </w:rPr>
              <w:t>(%)</w:t>
            </w:r>
          </w:p>
        </w:tc>
        <w:tc>
          <w:tcPr>
            <w:tcW w:w="2482" w:type="dxa"/>
          </w:tcPr>
          <w:p w:rsidR="000C263A" w:rsidRPr="000C263A" w:rsidRDefault="000C263A" w:rsidP="000C263A">
            <w:pPr>
              <w:jc w:val="right"/>
              <w:rPr>
                <w:rFonts w:ascii="Times New Roman" w:eastAsiaTheme="minorHAnsi" w:hAnsi="Times New Roman"/>
                <w:lang w:val="bs-Latn-BA"/>
              </w:rPr>
            </w:pPr>
            <w:r w:rsidRPr="000C263A">
              <w:rPr>
                <w:rFonts w:ascii="Times New Roman" w:eastAsiaTheme="minorHAnsi" w:hAnsi="Times New Roman"/>
                <w:lang w:val="bs-Latn-BA"/>
              </w:rPr>
              <w:t>26,78</w:t>
            </w:r>
          </w:p>
        </w:tc>
        <w:tc>
          <w:tcPr>
            <w:tcW w:w="2942" w:type="dxa"/>
          </w:tcPr>
          <w:p w:rsidR="000C263A" w:rsidRPr="000C263A" w:rsidRDefault="000C263A" w:rsidP="000C263A">
            <w:pPr>
              <w:spacing w:line="276" w:lineRule="auto"/>
              <w:jc w:val="right"/>
              <w:rPr>
                <w:rFonts w:ascii="Times New Roman" w:hAnsi="Times New Roman"/>
                <w:lang w:val="bs-Latn-BA"/>
              </w:rPr>
            </w:pPr>
            <w:r w:rsidRPr="000C263A">
              <w:rPr>
                <w:rFonts w:ascii="Times New Roman" w:hAnsi="Times New Roman"/>
                <w:lang w:val="bs-Latn-BA"/>
              </w:rPr>
              <w:t>Ukupno: 44,1</w:t>
            </w:r>
          </w:p>
          <w:p w:rsidR="000C263A" w:rsidRPr="000C263A" w:rsidRDefault="000C263A" w:rsidP="000C263A">
            <w:pPr>
              <w:spacing w:line="276" w:lineRule="auto"/>
              <w:jc w:val="right"/>
              <w:rPr>
                <w:rFonts w:ascii="Times New Roman" w:hAnsi="Times New Roman"/>
                <w:lang w:val="bs-Latn-BA"/>
              </w:rPr>
            </w:pPr>
            <w:r w:rsidRPr="000C263A">
              <w:rPr>
                <w:rFonts w:ascii="Times New Roman" w:hAnsi="Times New Roman"/>
                <w:lang w:val="bs-Latn-BA"/>
              </w:rPr>
              <w:t>Muškarci: 56,3</w:t>
            </w:r>
          </w:p>
          <w:p w:rsidR="000C263A" w:rsidRPr="000C263A" w:rsidRDefault="000C263A" w:rsidP="000C263A">
            <w:pPr>
              <w:jc w:val="right"/>
              <w:rPr>
                <w:rFonts w:ascii="Times New Roman" w:eastAsiaTheme="minorHAnsi" w:hAnsi="Times New Roman"/>
                <w:lang w:val="bs-Latn-BA"/>
              </w:rPr>
            </w:pPr>
            <w:r w:rsidRPr="000C263A">
              <w:rPr>
                <w:rFonts w:ascii="Times New Roman" w:hAnsi="Times New Roman"/>
                <w:lang w:val="bs-Latn-BA"/>
              </w:rPr>
              <w:t>Žene: 31,6</w:t>
            </w:r>
          </w:p>
        </w:tc>
      </w:tr>
      <w:tr w:rsidR="000C263A" w:rsidRPr="000C263A" w:rsidTr="004809B6">
        <w:trPr>
          <w:trHeight w:val="517"/>
        </w:trPr>
        <w:tc>
          <w:tcPr>
            <w:tcW w:w="3397" w:type="dxa"/>
          </w:tcPr>
          <w:p w:rsidR="000C263A" w:rsidRPr="000C263A" w:rsidRDefault="00065CCF" w:rsidP="000C263A">
            <w:pPr>
              <w:spacing w:line="276" w:lineRule="auto"/>
              <w:jc w:val="left"/>
              <w:rPr>
                <w:rFonts w:ascii="Times New Roman" w:hAnsi="Times New Roman"/>
                <w:lang w:val="bs-Latn-BA"/>
              </w:rPr>
            </w:pPr>
            <w:r>
              <w:rPr>
                <w:rFonts w:ascii="Times New Roman" w:hAnsi="Times New Roman"/>
                <w:lang w:val="bs-Latn-BA"/>
              </w:rPr>
              <w:t>Pretilost</w:t>
            </w:r>
            <w:r w:rsidR="000C263A" w:rsidRPr="000C263A">
              <w:rPr>
                <w:rFonts w:ascii="Times New Roman" w:hAnsi="Times New Roman"/>
                <w:lang w:val="bs-Latn-BA"/>
              </w:rPr>
              <w:t xml:space="preserve"> (BMI-Indeks tjelesne mase&gt;30)</w:t>
            </w:r>
          </w:p>
        </w:tc>
        <w:tc>
          <w:tcPr>
            <w:tcW w:w="2482" w:type="dxa"/>
          </w:tcPr>
          <w:p w:rsidR="000C263A" w:rsidRPr="000C263A" w:rsidRDefault="000C263A" w:rsidP="000C263A">
            <w:pPr>
              <w:spacing w:line="276" w:lineRule="auto"/>
              <w:jc w:val="right"/>
              <w:rPr>
                <w:rFonts w:ascii="Times New Roman" w:hAnsi="Times New Roman"/>
                <w:lang w:val="bs-Latn-BA"/>
              </w:rPr>
            </w:pPr>
            <w:r w:rsidRPr="000C263A">
              <w:rPr>
                <w:rFonts w:ascii="Times New Roman" w:hAnsi="Times New Roman"/>
                <w:lang w:val="bs-Latn-BA"/>
              </w:rPr>
              <w:t>Ukupno:&gt;20**</w:t>
            </w:r>
          </w:p>
          <w:p w:rsidR="000C263A" w:rsidRPr="000C263A" w:rsidRDefault="000C263A" w:rsidP="000C263A">
            <w:pPr>
              <w:spacing w:line="276" w:lineRule="auto"/>
              <w:jc w:val="right"/>
              <w:rPr>
                <w:rFonts w:ascii="Times New Roman" w:hAnsi="Times New Roman"/>
                <w:lang w:val="bs-Latn-BA"/>
              </w:rPr>
            </w:pPr>
            <w:r w:rsidRPr="000C263A">
              <w:rPr>
                <w:rFonts w:ascii="Times New Roman" w:hAnsi="Times New Roman"/>
                <w:lang w:val="bs-Latn-BA"/>
              </w:rPr>
              <w:t>Muškarci: 20</w:t>
            </w:r>
          </w:p>
          <w:p w:rsidR="000C263A" w:rsidRPr="000C263A" w:rsidRDefault="000C263A" w:rsidP="000C263A">
            <w:pPr>
              <w:jc w:val="right"/>
              <w:rPr>
                <w:rFonts w:ascii="Times New Roman" w:eastAsiaTheme="minorHAnsi" w:hAnsi="Times New Roman"/>
                <w:lang w:val="bs-Latn-BA"/>
              </w:rPr>
            </w:pPr>
            <w:r w:rsidRPr="000C263A">
              <w:rPr>
                <w:rFonts w:ascii="Times New Roman" w:hAnsi="Times New Roman"/>
                <w:lang w:val="bs-Latn-BA"/>
              </w:rPr>
              <w:t>Žene: 23</w:t>
            </w:r>
          </w:p>
        </w:tc>
        <w:tc>
          <w:tcPr>
            <w:tcW w:w="2942" w:type="dxa"/>
          </w:tcPr>
          <w:p w:rsidR="000C263A" w:rsidRPr="000C263A" w:rsidRDefault="000C263A" w:rsidP="000C263A">
            <w:pPr>
              <w:spacing w:line="276" w:lineRule="auto"/>
              <w:jc w:val="right"/>
              <w:rPr>
                <w:rFonts w:ascii="Times New Roman" w:hAnsi="Times New Roman"/>
                <w:lang w:val="bs-Latn-BA"/>
              </w:rPr>
            </w:pPr>
            <w:r w:rsidRPr="000C263A">
              <w:rPr>
                <w:rFonts w:ascii="Times New Roman" w:hAnsi="Times New Roman"/>
                <w:lang w:val="bs-Latn-BA"/>
              </w:rPr>
              <w:t>Ukupno: 21,2</w:t>
            </w:r>
          </w:p>
          <w:p w:rsidR="000C263A" w:rsidRPr="000C263A" w:rsidRDefault="000C263A" w:rsidP="000C263A">
            <w:pPr>
              <w:spacing w:line="276" w:lineRule="auto"/>
              <w:jc w:val="right"/>
              <w:rPr>
                <w:rFonts w:ascii="Times New Roman" w:hAnsi="Times New Roman"/>
                <w:lang w:val="bs-Latn-BA"/>
              </w:rPr>
            </w:pPr>
            <w:r w:rsidRPr="000C263A">
              <w:rPr>
                <w:rFonts w:ascii="Times New Roman" w:hAnsi="Times New Roman"/>
                <w:lang w:val="bs-Latn-BA"/>
              </w:rPr>
              <w:t>Muškarci: 19,1</w:t>
            </w:r>
          </w:p>
          <w:p w:rsidR="000C263A" w:rsidRPr="000C263A" w:rsidRDefault="000C263A" w:rsidP="000C263A">
            <w:pPr>
              <w:jc w:val="right"/>
              <w:rPr>
                <w:rFonts w:ascii="Times New Roman" w:eastAsiaTheme="minorHAnsi" w:hAnsi="Times New Roman"/>
                <w:lang w:val="bs-Latn-BA"/>
              </w:rPr>
            </w:pPr>
            <w:r w:rsidRPr="000C263A">
              <w:rPr>
                <w:rFonts w:ascii="Times New Roman" w:hAnsi="Times New Roman"/>
                <w:lang w:val="bs-Latn-BA"/>
              </w:rPr>
              <w:t>Žene: 23,3</w:t>
            </w:r>
          </w:p>
        </w:tc>
      </w:tr>
      <w:tr w:rsidR="000C263A" w:rsidRPr="000C263A" w:rsidTr="004809B6">
        <w:trPr>
          <w:trHeight w:val="517"/>
        </w:trPr>
        <w:tc>
          <w:tcPr>
            <w:tcW w:w="3397" w:type="dxa"/>
          </w:tcPr>
          <w:p w:rsidR="000C263A" w:rsidRPr="000C263A" w:rsidRDefault="00065CCF" w:rsidP="000C263A">
            <w:pPr>
              <w:spacing w:line="276" w:lineRule="auto"/>
              <w:jc w:val="left"/>
              <w:rPr>
                <w:rFonts w:ascii="Times New Roman" w:hAnsi="Times New Roman"/>
                <w:lang w:val="bs-Latn-BA"/>
              </w:rPr>
            </w:pPr>
            <w:r>
              <w:rPr>
                <w:rFonts w:ascii="Times New Roman" w:hAnsi="Times New Roman"/>
                <w:lang w:val="bs-Latn-BA"/>
              </w:rPr>
              <w:t>Tjelesna</w:t>
            </w:r>
            <w:r w:rsidR="000C263A" w:rsidRPr="000C263A">
              <w:rPr>
                <w:rFonts w:ascii="Times New Roman" w:hAnsi="Times New Roman"/>
                <w:lang w:val="bs-Latn-BA"/>
              </w:rPr>
              <w:t xml:space="preserve"> aktivnost-aktivni</w:t>
            </w:r>
          </w:p>
        </w:tc>
        <w:tc>
          <w:tcPr>
            <w:tcW w:w="2482" w:type="dxa"/>
          </w:tcPr>
          <w:p w:rsidR="000C263A" w:rsidRPr="000C263A" w:rsidRDefault="000C263A" w:rsidP="000C263A">
            <w:pPr>
              <w:jc w:val="right"/>
              <w:rPr>
                <w:rFonts w:ascii="Times New Roman" w:eastAsiaTheme="minorHAnsi" w:hAnsi="Times New Roman"/>
                <w:lang w:val="bs-Latn-BA"/>
              </w:rPr>
            </w:pPr>
            <w:r w:rsidRPr="000C263A">
              <w:rPr>
                <w:rFonts w:ascii="Times New Roman" w:eastAsiaTheme="minorHAnsi" w:hAnsi="Times New Roman" w:cstheme="minorBidi"/>
                <w:lang w:val="bs-Latn-BA"/>
              </w:rPr>
              <w:t>Ukupno: &lt;70**</w:t>
            </w:r>
          </w:p>
        </w:tc>
        <w:tc>
          <w:tcPr>
            <w:tcW w:w="2942" w:type="dxa"/>
          </w:tcPr>
          <w:p w:rsidR="000C263A" w:rsidRPr="000C263A" w:rsidRDefault="000C263A" w:rsidP="000C263A">
            <w:pPr>
              <w:spacing w:line="276" w:lineRule="auto"/>
              <w:jc w:val="right"/>
              <w:rPr>
                <w:rFonts w:ascii="Times New Roman" w:hAnsi="Times New Roman"/>
                <w:lang w:val="bs-Latn-BA"/>
              </w:rPr>
            </w:pPr>
            <w:r w:rsidRPr="000C263A">
              <w:rPr>
                <w:rFonts w:ascii="Times New Roman" w:hAnsi="Times New Roman"/>
                <w:lang w:val="bs-Latn-BA"/>
              </w:rPr>
              <w:t>Ukupno: 24,6</w:t>
            </w:r>
          </w:p>
          <w:p w:rsidR="000C263A" w:rsidRPr="000C263A" w:rsidRDefault="000C263A" w:rsidP="000C263A">
            <w:pPr>
              <w:spacing w:line="276" w:lineRule="auto"/>
              <w:jc w:val="right"/>
              <w:rPr>
                <w:rFonts w:ascii="Times New Roman" w:hAnsi="Times New Roman"/>
                <w:lang w:val="bs-Latn-BA"/>
              </w:rPr>
            </w:pPr>
            <w:r w:rsidRPr="000C263A">
              <w:rPr>
                <w:rFonts w:ascii="Times New Roman" w:hAnsi="Times New Roman"/>
                <w:lang w:val="bs-Latn-BA"/>
              </w:rPr>
              <w:t>Muškarci: 28,7</w:t>
            </w:r>
          </w:p>
          <w:p w:rsidR="000C263A" w:rsidRPr="000C263A" w:rsidRDefault="000C263A" w:rsidP="000C263A">
            <w:pPr>
              <w:jc w:val="right"/>
              <w:rPr>
                <w:rFonts w:ascii="Times New Roman" w:eastAsiaTheme="minorHAnsi" w:hAnsi="Times New Roman"/>
                <w:lang w:val="bs-Latn-BA"/>
              </w:rPr>
            </w:pPr>
            <w:r w:rsidRPr="000C263A">
              <w:rPr>
                <w:rFonts w:ascii="Times New Roman" w:hAnsi="Times New Roman"/>
                <w:lang w:val="bs-Latn-BA"/>
              </w:rPr>
              <w:t>Žene: 20,3</w:t>
            </w:r>
          </w:p>
        </w:tc>
      </w:tr>
      <w:tr w:rsidR="000C263A" w:rsidRPr="000C263A" w:rsidTr="004809B6">
        <w:trPr>
          <w:trHeight w:val="416"/>
        </w:trPr>
        <w:tc>
          <w:tcPr>
            <w:tcW w:w="8821" w:type="dxa"/>
            <w:gridSpan w:val="3"/>
            <w:shd w:val="clear" w:color="auto" w:fill="BFBFBF" w:themeFill="background1" w:themeFillShade="BF"/>
          </w:tcPr>
          <w:p w:rsidR="00D22BBB" w:rsidRDefault="00D22BBB" w:rsidP="000C263A">
            <w:pPr>
              <w:spacing w:line="276" w:lineRule="auto"/>
              <w:jc w:val="right"/>
              <w:rPr>
                <w:rFonts w:ascii="Times New Roman" w:eastAsiaTheme="minorHAnsi" w:hAnsi="Times New Roman" w:cstheme="minorBidi"/>
                <w:b/>
                <w:bCs/>
                <w:lang w:val="bs-Latn-BA"/>
              </w:rPr>
            </w:pPr>
          </w:p>
          <w:p w:rsidR="00D22BBB" w:rsidRDefault="00D22BBB" w:rsidP="000C263A">
            <w:pPr>
              <w:spacing w:line="276" w:lineRule="auto"/>
              <w:jc w:val="right"/>
              <w:rPr>
                <w:rFonts w:ascii="Times New Roman" w:eastAsiaTheme="minorHAnsi" w:hAnsi="Times New Roman" w:cstheme="minorBidi"/>
                <w:b/>
                <w:bCs/>
                <w:lang w:val="bs-Latn-BA"/>
              </w:rPr>
            </w:pPr>
          </w:p>
          <w:p w:rsidR="000C263A" w:rsidRDefault="000C263A" w:rsidP="000C263A">
            <w:pPr>
              <w:spacing w:line="276" w:lineRule="auto"/>
              <w:jc w:val="right"/>
              <w:rPr>
                <w:rFonts w:ascii="Times New Roman" w:eastAsiaTheme="minorHAnsi" w:hAnsi="Times New Roman" w:cstheme="minorBidi"/>
                <w:b/>
                <w:bCs/>
                <w:lang w:val="bs-Latn-BA"/>
              </w:rPr>
            </w:pPr>
            <w:r w:rsidRPr="000C263A">
              <w:rPr>
                <w:rFonts w:ascii="Times New Roman" w:eastAsiaTheme="minorHAnsi" w:hAnsi="Times New Roman" w:cstheme="minorBidi"/>
                <w:b/>
                <w:bCs/>
                <w:lang w:val="bs-Latn-BA"/>
              </w:rPr>
              <w:t>RESURSI /100.000 STANOVNIKA I KORIŠTENJE ZDRAVSTVENE ZAŠTITE</w:t>
            </w:r>
          </w:p>
          <w:p w:rsidR="00D22BBB" w:rsidRPr="000C263A" w:rsidRDefault="00D22BBB" w:rsidP="000C263A">
            <w:pPr>
              <w:spacing w:line="276" w:lineRule="auto"/>
              <w:jc w:val="right"/>
              <w:rPr>
                <w:rFonts w:ascii="Times New Roman" w:hAnsi="Times New Roman"/>
                <w:lang w:val="bs-Latn-BA"/>
              </w:rPr>
            </w:pPr>
          </w:p>
        </w:tc>
      </w:tr>
      <w:tr w:rsidR="000C263A" w:rsidRPr="000C263A" w:rsidTr="004809B6">
        <w:trPr>
          <w:trHeight w:val="517"/>
        </w:trPr>
        <w:tc>
          <w:tcPr>
            <w:tcW w:w="3397" w:type="dxa"/>
          </w:tcPr>
          <w:p w:rsidR="000C263A" w:rsidRPr="000C263A" w:rsidRDefault="000C263A" w:rsidP="000C263A">
            <w:pPr>
              <w:spacing w:line="276" w:lineRule="auto"/>
              <w:jc w:val="left"/>
              <w:rPr>
                <w:rFonts w:ascii="Times New Roman" w:hAnsi="Times New Roman"/>
                <w:lang w:val="bs-Latn-BA"/>
              </w:rPr>
            </w:pPr>
            <w:r w:rsidRPr="000C263A">
              <w:rPr>
                <w:rFonts w:ascii="Times New Roman" w:eastAsiaTheme="minorHAnsi" w:hAnsi="Times New Roman" w:cstheme="minorBidi"/>
                <w:lang w:val="bs-Latn-BA"/>
              </w:rPr>
              <w:t>Doktori medicine, ukupno</w:t>
            </w:r>
          </w:p>
        </w:tc>
        <w:tc>
          <w:tcPr>
            <w:tcW w:w="2482" w:type="dxa"/>
          </w:tcPr>
          <w:p w:rsidR="000C263A" w:rsidRPr="000C263A" w:rsidRDefault="000C263A" w:rsidP="000C263A">
            <w:pPr>
              <w:jc w:val="right"/>
              <w:rPr>
                <w:rFonts w:ascii="Times New Roman" w:eastAsiaTheme="minorHAnsi" w:hAnsi="Times New Roman" w:cstheme="minorBidi"/>
                <w:lang w:val="bs-Latn-BA"/>
              </w:rPr>
            </w:pPr>
            <w:r w:rsidRPr="000C263A">
              <w:rPr>
                <w:rFonts w:ascii="Times New Roman" w:eastAsiaTheme="minorHAnsi" w:hAnsi="Times New Roman" w:cstheme="minorBidi"/>
                <w:lang w:val="bs-Latn-BA"/>
              </w:rPr>
              <w:t>307,88</w:t>
            </w:r>
          </w:p>
        </w:tc>
        <w:tc>
          <w:tcPr>
            <w:tcW w:w="2942" w:type="dxa"/>
          </w:tcPr>
          <w:p w:rsidR="000C263A" w:rsidRPr="000C263A" w:rsidRDefault="000C263A" w:rsidP="000C263A">
            <w:pPr>
              <w:spacing w:line="276" w:lineRule="auto"/>
              <w:jc w:val="right"/>
              <w:rPr>
                <w:rFonts w:ascii="Times New Roman" w:hAnsi="Times New Roman"/>
                <w:lang w:val="bs-Latn-BA"/>
              </w:rPr>
            </w:pPr>
            <w:r w:rsidRPr="000C263A">
              <w:rPr>
                <w:rFonts w:ascii="Times New Roman" w:hAnsi="Times New Roman"/>
                <w:lang w:val="bs-Latn-BA"/>
              </w:rPr>
              <w:t>204,1</w:t>
            </w:r>
          </w:p>
        </w:tc>
      </w:tr>
      <w:tr w:rsidR="000C263A" w:rsidRPr="000C263A" w:rsidTr="004809B6">
        <w:trPr>
          <w:trHeight w:val="517"/>
        </w:trPr>
        <w:tc>
          <w:tcPr>
            <w:tcW w:w="3397" w:type="dxa"/>
          </w:tcPr>
          <w:p w:rsidR="000C263A" w:rsidRPr="000C263A" w:rsidRDefault="000C263A" w:rsidP="000C263A">
            <w:pPr>
              <w:spacing w:line="276" w:lineRule="auto"/>
              <w:jc w:val="left"/>
              <w:rPr>
                <w:rFonts w:ascii="Times New Roman" w:hAnsi="Times New Roman"/>
                <w:lang w:val="bs-Latn-BA"/>
              </w:rPr>
            </w:pPr>
            <w:r w:rsidRPr="000C263A">
              <w:rPr>
                <w:rFonts w:ascii="Times New Roman" w:eastAsiaTheme="minorHAnsi" w:hAnsi="Times New Roman" w:cstheme="minorBidi"/>
                <w:lang w:val="bs-Latn-BA"/>
              </w:rPr>
              <w:t>Doktori medicine opće prakse</w:t>
            </w:r>
          </w:p>
        </w:tc>
        <w:tc>
          <w:tcPr>
            <w:tcW w:w="2482" w:type="dxa"/>
          </w:tcPr>
          <w:p w:rsidR="000C263A" w:rsidRPr="000C263A" w:rsidRDefault="000C263A" w:rsidP="000C263A">
            <w:pPr>
              <w:jc w:val="right"/>
              <w:rPr>
                <w:rFonts w:ascii="Times New Roman" w:eastAsiaTheme="minorHAnsi" w:hAnsi="Times New Roman" w:cstheme="minorBidi"/>
                <w:lang w:val="bs-Latn-BA"/>
              </w:rPr>
            </w:pPr>
            <w:r w:rsidRPr="000C263A">
              <w:rPr>
                <w:rFonts w:ascii="Times New Roman" w:eastAsiaTheme="minorHAnsi" w:hAnsi="Times New Roman" w:cstheme="minorBidi"/>
                <w:lang w:val="bs-Latn-BA"/>
              </w:rPr>
              <w:t>64,57</w:t>
            </w:r>
          </w:p>
        </w:tc>
        <w:tc>
          <w:tcPr>
            <w:tcW w:w="2942" w:type="dxa"/>
          </w:tcPr>
          <w:p w:rsidR="000C263A" w:rsidRPr="000C263A" w:rsidRDefault="000C263A" w:rsidP="000C263A">
            <w:pPr>
              <w:spacing w:line="276" w:lineRule="auto"/>
              <w:jc w:val="right"/>
              <w:rPr>
                <w:rFonts w:ascii="Times New Roman" w:hAnsi="Times New Roman"/>
                <w:lang w:val="bs-Latn-BA"/>
              </w:rPr>
            </w:pPr>
            <w:r w:rsidRPr="000C263A">
              <w:rPr>
                <w:rFonts w:ascii="Times New Roman" w:hAnsi="Times New Roman"/>
                <w:lang w:val="bs-Latn-BA"/>
              </w:rPr>
              <w:t>42,2</w:t>
            </w:r>
          </w:p>
        </w:tc>
      </w:tr>
      <w:tr w:rsidR="000C263A" w:rsidRPr="000C263A" w:rsidTr="004809B6">
        <w:trPr>
          <w:trHeight w:val="517"/>
        </w:trPr>
        <w:tc>
          <w:tcPr>
            <w:tcW w:w="3397" w:type="dxa"/>
          </w:tcPr>
          <w:p w:rsidR="000C263A" w:rsidRPr="000C263A" w:rsidRDefault="000C263A" w:rsidP="000C263A">
            <w:pPr>
              <w:spacing w:line="276" w:lineRule="auto"/>
              <w:jc w:val="left"/>
              <w:rPr>
                <w:rFonts w:ascii="Times New Roman" w:hAnsi="Times New Roman"/>
                <w:lang w:val="bs-Latn-BA"/>
              </w:rPr>
            </w:pPr>
            <w:r w:rsidRPr="000C263A">
              <w:rPr>
                <w:rFonts w:ascii="Times New Roman" w:eastAsiaTheme="minorHAnsi" w:hAnsi="Times New Roman" w:cstheme="minorBidi"/>
                <w:color w:val="000000"/>
                <w:lang w:val="bs-Latn-BA"/>
              </w:rPr>
              <w:t>Doktori stomatologije</w:t>
            </w:r>
          </w:p>
        </w:tc>
        <w:tc>
          <w:tcPr>
            <w:tcW w:w="2482" w:type="dxa"/>
          </w:tcPr>
          <w:p w:rsidR="000C263A" w:rsidRPr="000C263A" w:rsidRDefault="000C263A" w:rsidP="000C263A">
            <w:pPr>
              <w:jc w:val="right"/>
              <w:rPr>
                <w:rFonts w:ascii="Times New Roman" w:eastAsiaTheme="minorHAnsi" w:hAnsi="Times New Roman" w:cstheme="minorBidi"/>
                <w:lang w:val="bs-Latn-BA"/>
              </w:rPr>
            </w:pPr>
            <w:r w:rsidRPr="000C263A">
              <w:rPr>
                <w:rFonts w:ascii="Times New Roman" w:eastAsiaTheme="minorHAnsi" w:hAnsi="Times New Roman" w:cstheme="minorBidi"/>
                <w:lang w:val="bs-Latn-BA"/>
              </w:rPr>
              <w:t>53,3</w:t>
            </w:r>
          </w:p>
        </w:tc>
        <w:tc>
          <w:tcPr>
            <w:tcW w:w="2942" w:type="dxa"/>
          </w:tcPr>
          <w:p w:rsidR="000C263A" w:rsidRPr="000C263A" w:rsidRDefault="000C263A" w:rsidP="000C263A">
            <w:pPr>
              <w:spacing w:line="276" w:lineRule="auto"/>
              <w:jc w:val="right"/>
              <w:rPr>
                <w:rFonts w:ascii="Times New Roman" w:hAnsi="Times New Roman"/>
                <w:lang w:val="bs-Latn-BA"/>
              </w:rPr>
            </w:pPr>
            <w:r w:rsidRPr="000C263A">
              <w:rPr>
                <w:rFonts w:ascii="Times New Roman" w:hAnsi="Times New Roman"/>
                <w:lang w:val="bs-Latn-BA"/>
              </w:rPr>
              <w:t>24,9</w:t>
            </w:r>
          </w:p>
        </w:tc>
      </w:tr>
      <w:tr w:rsidR="000C263A" w:rsidRPr="000C263A" w:rsidTr="004809B6">
        <w:trPr>
          <w:trHeight w:val="517"/>
        </w:trPr>
        <w:tc>
          <w:tcPr>
            <w:tcW w:w="3397" w:type="dxa"/>
          </w:tcPr>
          <w:p w:rsidR="000C263A" w:rsidRPr="000C263A" w:rsidRDefault="000C263A" w:rsidP="000C263A">
            <w:pPr>
              <w:spacing w:line="276" w:lineRule="auto"/>
              <w:jc w:val="left"/>
              <w:rPr>
                <w:rFonts w:ascii="Times New Roman" w:hAnsi="Times New Roman"/>
                <w:lang w:val="bs-Latn-BA"/>
              </w:rPr>
            </w:pPr>
            <w:r w:rsidRPr="000C263A">
              <w:rPr>
                <w:rFonts w:ascii="Times New Roman" w:eastAsiaTheme="minorHAnsi" w:hAnsi="Times New Roman" w:cstheme="minorBidi"/>
                <w:color w:val="000000"/>
                <w:lang w:val="bs-Latn-BA"/>
              </w:rPr>
              <w:t>Magistri farmacije</w:t>
            </w:r>
          </w:p>
        </w:tc>
        <w:tc>
          <w:tcPr>
            <w:tcW w:w="2482" w:type="dxa"/>
          </w:tcPr>
          <w:p w:rsidR="000C263A" w:rsidRPr="000C263A" w:rsidRDefault="000C263A" w:rsidP="000C263A">
            <w:pPr>
              <w:jc w:val="right"/>
              <w:rPr>
                <w:rFonts w:ascii="Times New Roman" w:eastAsiaTheme="minorHAnsi" w:hAnsi="Times New Roman" w:cstheme="minorBidi"/>
                <w:lang w:val="bs-Latn-BA"/>
              </w:rPr>
            </w:pPr>
            <w:r w:rsidRPr="000C263A">
              <w:rPr>
                <w:rFonts w:ascii="Times New Roman" w:eastAsiaTheme="minorHAnsi" w:hAnsi="Times New Roman" w:cstheme="minorBidi"/>
                <w:lang w:val="bs-Latn-BA"/>
              </w:rPr>
              <w:t>55,35</w:t>
            </w:r>
          </w:p>
        </w:tc>
        <w:tc>
          <w:tcPr>
            <w:tcW w:w="2942" w:type="dxa"/>
          </w:tcPr>
          <w:p w:rsidR="000C263A" w:rsidRPr="000C263A" w:rsidRDefault="000C263A" w:rsidP="000C263A">
            <w:pPr>
              <w:spacing w:line="276" w:lineRule="auto"/>
              <w:jc w:val="right"/>
              <w:rPr>
                <w:rFonts w:ascii="Times New Roman" w:hAnsi="Times New Roman"/>
                <w:lang w:val="bs-Latn-BA"/>
              </w:rPr>
            </w:pPr>
            <w:r w:rsidRPr="000C263A">
              <w:rPr>
                <w:rFonts w:ascii="Times New Roman" w:hAnsi="Times New Roman"/>
                <w:lang w:val="bs-Latn-BA"/>
              </w:rPr>
              <w:t>13,8</w:t>
            </w:r>
          </w:p>
        </w:tc>
      </w:tr>
      <w:tr w:rsidR="000C263A" w:rsidRPr="000C263A" w:rsidTr="004809B6">
        <w:trPr>
          <w:trHeight w:val="517"/>
        </w:trPr>
        <w:tc>
          <w:tcPr>
            <w:tcW w:w="3397" w:type="dxa"/>
          </w:tcPr>
          <w:p w:rsidR="000C263A" w:rsidRPr="000C263A" w:rsidRDefault="000C263A" w:rsidP="000C263A">
            <w:pPr>
              <w:spacing w:line="276" w:lineRule="auto"/>
              <w:jc w:val="left"/>
              <w:rPr>
                <w:rFonts w:ascii="Times New Roman" w:hAnsi="Times New Roman"/>
                <w:lang w:val="bs-Latn-BA"/>
              </w:rPr>
            </w:pPr>
            <w:r w:rsidRPr="000C263A">
              <w:rPr>
                <w:rFonts w:ascii="Times New Roman" w:eastAsiaTheme="minorHAnsi" w:hAnsi="Times New Roman" w:cstheme="minorBidi"/>
                <w:color w:val="000000"/>
                <w:lang w:val="en-US"/>
              </w:rPr>
              <w:t>Medicinske sestre/tehničari</w:t>
            </w:r>
          </w:p>
        </w:tc>
        <w:tc>
          <w:tcPr>
            <w:tcW w:w="2482" w:type="dxa"/>
          </w:tcPr>
          <w:p w:rsidR="000C263A" w:rsidRPr="000C263A" w:rsidRDefault="000C263A" w:rsidP="000C263A">
            <w:pPr>
              <w:jc w:val="right"/>
              <w:rPr>
                <w:rFonts w:ascii="Times New Roman" w:eastAsiaTheme="minorHAnsi" w:hAnsi="Times New Roman" w:cstheme="minorBidi"/>
                <w:lang w:val="bs-Latn-BA"/>
              </w:rPr>
            </w:pPr>
            <w:r w:rsidRPr="000C263A">
              <w:rPr>
                <w:rFonts w:ascii="Times New Roman" w:eastAsiaTheme="minorHAnsi" w:hAnsi="Times New Roman" w:cstheme="minorBidi"/>
                <w:lang w:val="bs-Latn-BA"/>
              </w:rPr>
              <w:t>728,84</w:t>
            </w:r>
          </w:p>
        </w:tc>
        <w:tc>
          <w:tcPr>
            <w:tcW w:w="2942" w:type="dxa"/>
          </w:tcPr>
          <w:p w:rsidR="000C263A" w:rsidRPr="000C263A" w:rsidRDefault="000C263A" w:rsidP="000C263A">
            <w:pPr>
              <w:spacing w:line="276" w:lineRule="auto"/>
              <w:jc w:val="right"/>
              <w:rPr>
                <w:rFonts w:ascii="Times New Roman" w:hAnsi="Times New Roman"/>
                <w:lang w:val="bs-Latn-BA"/>
              </w:rPr>
            </w:pPr>
            <w:r w:rsidRPr="000C263A">
              <w:rPr>
                <w:rFonts w:ascii="Times New Roman" w:hAnsi="Times New Roman"/>
                <w:lang w:val="bs-Latn-BA"/>
              </w:rPr>
              <w:t>566,2</w:t>
            </w:r>
          </w:p>
        </w:tc>
      </w:tr>
      <w:tr w:rsidR="000C263A" w:rsidRPr="000C263A" w:rsidTr="004809B6">
        <w:trPr>
          <w:trHeight w:val="517"/>
        </w:trPr>
        <w:tc>
          <w:tcPr>
            <w:tcW w:w="3397" w:type="dxa"/>
          </w:tcPr>
          <w:p w:rsidR="000C263A" w:rsidRPr="000C263A" w:rsidRDefault="000C263A" w:rsidP="000C263A">
            <w:pPr>
              <w:spacing w:line="276" w:lineRule="auto"/>
              <w:jc w:val="left"/>
              <w:rPr>
                <w:rFonts w:ascii="Times New Roman" w:hAnsi="Times New Roman"/>
                <w:lang w:val="bs-Latn-BA"/>
              </w:rPr>
            </w:pPr>
            <w:r w:rsidRPr="000C263A">
              <w:rPr>
                <w:rFonts w:ascii="Times New Roman" w:eastAsiaTheme="minorHAnsi" w:hAnsi="Times New Roman" w:cstheme="minorBidi"/>
                <w:lang w:val="bs-Latn-BA"/>
              </w:rPr>
              <w:t>Bolnice(na100.000 stanovnika)</w:t>
            </w:r>
          </w:p>
        </w:tc>
        <w:tc>
          <w:tcPr>
            <w:tcW w:w="2482" w:type="dxa"/>
          </w:tcPr>
          <w:p w:rsidR="000C263A" w:rsidRPr="000C263A" w:rsidRDefault="000C263A" w:rsidP="000C263A">
            <w:pPr>
              <w:jc w:val="right"/>
              <w:rPr>
                <w:rFonts w:ascii="Times New Roman" w:eastAsiaTheme="minorHAnsi" w:hAnsi="Times New Roman" w:cstheme="minorBidi"/>
                <w:lang w:val="bs-Latn-BA"/>
              </w:rPr>
            </w:pPr>
            <w:r w:rsidRPr="000C263A">
              <w:rPr>
                <w:rFonts w:ascii="Times New Roman" w:eastAsiaTheme="minorHAnsi" w:hAnsi="Times New Roman" w:cstheme="minorBidi"/>
                <w:lang w:val="bs-Latn-BA"/>
              </w:rPr>
              <w:t>3,22</w:t>
            </w:r>
          </w:p>
        </w:tc>
        <w:tc>
          <w:tcPr>
            <w:tcW w:w="2942" w:type="dxa"/>
          </w:tcPr>
          <w:p w:rsidR="000C263A" w:rsidRPr="000C263A" w:rsidRDefault="000C263A" w:rsidP="000C263A">
            <w:pPr>
              <w:spacing w:line="276" w:lineRule="auto"/>
              <w:jc w:val="right"/>
              <w:rPr>
                <w:rFonts w:ascii="Times New Roman" w:hAnsi="Times New Roman"/>
                <w:lang w:val="bs-Latn-BA"/>
              </w:rPr>
            </w:pPr>
            <w:r w:rsidRPr="000C263A">
              <w:rPr>
                <w:rFonts w:ascii="Times New Roman" w:hAnsi="Times New Roman"/>
                <w:lang w:val="bs-Latn-BA"/>
              </w:rPr>
              <w:t>1,0</w:t>
            </w:r>
          </w:p>
        </w:tc>
      </w:tr>
      <w:tr w:rsidR="000C263A" w:rsidRPr="000C263A" w:rsidTr="004809B6">
        <w:trPr>
          <w:trHeight w:val="517"/>
        </w:trPr>
        <w:tc>
          <w:tcPr>
            <w:tcW w:w="3397" w:type="dxa"/>
          </w:tcPr>
          <w:p w:rsidR="000C263A" w:rsidRPr="000C263A" w:rsidRDefault="000C263A" w:rsidP="000C263A">
            <w:pPr>
              <w:spacing w:line="276" w:lineRule="auto"/>
              <w:jc w:val="left"/>
              <w:rPr>
                <w:rFonts w:ascii="Times New Roman" w:hAnsi="Times New Roman"/>
                <w:lang w:val="bs-Latn-BA"/>
              </w:rPr>
            </w:pPr>
            <w:r w:rsidRPr="000C263A">
              <w:rPr>
                <w:rFonts w:ascii="Times New Roman" w:eastAsiaTheme="minorHAnsi" w:hAnsi="Times New Roman" w:cstheme="minorBidi"/>
                <w:lang w:val="bs-Latn-BA"/>
              </w:rPr>
              <w:t>Bolnički kreveti</w:t>
            </w:r>
          </w:p>
        </w:tc>
        <w:tc>
          <w:tcPr>
            <w:tcW w:w="2482" w:type="dxa"/>
          </w:tcPr>
          <w:p w:rsidR="000C263A" w:rsidRPr="000C263A" w:rsidRDefault="000C263A" w:rsidP="000C263A">
            <w:pPr>
              <w:jc w:val="right"/>
              <w:rPr>
                <w:rFonts w:ascii="Times New Roman" w:eastAsiaTheme="minorHAnsi" w:hAnsi="Times New Roman" w:cstheme="minorBidi"/>
                <w:lang w:val="bs-Latn-BA"/>
              </w:rPr>
            </w:pPr>
            <w:r w:rsidRPr="000C263A">
              <w:rPr>
                <w:rFonts w:ascii="Times New Roman" w:eastAsiaTheme="minorHAnsi" w:hAnsi="Times New Roman" w:cstheme="minorBidi"/>
                <w:lang w:val="bs-Latn-BA"/>
              </w:rPr>
              <w:t>566,62</w:t>
            </w:r>
          </w:p>
        </w:tc>
        <w:tc>
          <w:tcPr>
            <w:tcW w:w="2942" w:type="dxa"/>
          </w:tcPr>
          <w:p w:rsidR="000C263A" w:rsidRPr="000C263A" w:rsidRDefault="000C263A" w:rsidP="000C263A">
            <w:pPr>
              <w:spacing w:line="276" w:lineRule="auto"/>
              <w:jc w:val="right"/>
              <w:rPr>
                <w:rFonts w:ascii="Times New Roman" w:hAnsi="Times New Roman"/>
                <w:lang w:val="bs-Latn-BA"/>
              </w:rPr>
            </w:pPr>
            <w:r w:rsidRPr="000C263A">
              <w:rPr>
                <w:rFonts w:ascii="Times New Roman" w:hAnsi="Times New Roman"/>
                <w:lang w:val="bs-Latn-BA"/>
              </w:rPr>
              <w:t>356,5</w:t>
            </w:r>
          </w:p>
        </w:tc>
      </w:tr>
      <w:tr w:rsidR="000C263A" w:rsidRPr="000C263A" w:rsidTr="004809B6">
        <w:trPr>
          <w:trHeight w:val="517"/>
        </w:trPr>
        <w:tc>
          <w:tcPr>
            <w:tcW w:w="3397" w:type="dxa"/>
          </w:tcPr>
          <w:p w:rsidR="000C263A" w:rsidRPr="000C263A" w:rsidRDefault="000C263A" w:rsidP="000C263A">
            <w:pPr>
              <w:spacing w:line="276" w:lineRule="auto"/>
              <w:jc w:val="left"/>
              <w:rPr>
                <w:rFonts w:ascii="Times New Roman" w:hAnsi="Times New Roman"/>
                <w:lang w:val="bs-Latn-BA"/>
              </w:rPr>
            </w:pPr>
            <w:r w:rsidRPr="000C263A">
              <w:rPr>
                <w:rFonts w:ascii="Times New Roman" w:eastAsiaTheme="minorHAnsi" w:hAnsi="Times New Roman" w:cstheme="minorBidi"/>
                <w:lang w:val="bs-Latn-BA"/>
              </w:rPr>
              <w:t>Prosječna dužina ležanja (dani)</w:t>
            </w:r>
          </w:p>
        </w:tc>
        <w:tc>
          <w:tcPr>
            <w:tcW w:w="2482" w:type="dxa"/>
          </w:tcPr>
          <w:p w:rsidR="000C263A" w:rsidRPr="000C263A" w:rsidRDefault="000C263A" w:rsidP="000C263A">
            <w:pPr>
              <w:jc w:val="right"/>
              <w:rPr>
                <w:rFonts w:ascii="Times New Roman" w:eastAsiaTheme="minorHAnsi" w:hAnsi="Times New Roman" w:cstheme="minorBidi"/>
                <w:lang w:val="bs-Latn-BA"/>
              </w:rPr>
            </w:pPr>
            <w:r w:rsidRPr="000C263A">
              <w:rPr>
                <w:rFonts w:ascii="Times New Roman" w:eastAsiaTheme="minorHAnsi" w:hAnsi="Times New Roman" w:cstheme="minorBidi"/>
                <w:lang w:val="bs-Latn-BA"/>
              </w:rPr>
              <w:t>8,64</w:t>
            </w:r>
          </w:p>
        </w:tc>
        <w:tc>
          <w:tcPr>
            <w:tcW w:w="2942" w:type="dxa"/>
          </w:tcPr>
          <w:p w:rsidR="000C263A" w:rsidRPr="000C263A" w:rsidRDefault="000C263A" w:rsidP="000C263A">
            <w:pPr>
              <w:spacing w:line="276" w:lineRule="auto"/>
              <w:jc w:val="right"/>
              <w:rPr>
                <w:rFonts w:ascii="Times New Roman" w:hAnsi="Times New Roman"/>
                <w:lang w:val="bs-Latn-BA"/>
              </w:rPr>
            </w:pPr>
            <w:r w:rsidRPr="000C263A">
              <w:rPr>
                <w:rFonts w:ascii="Times New Roman" w:hAnsi="Times New Roman"/>
                <w:lang w:val="bs-Latn-BA"/>
              </w:rPr>
              <w:t>7,6</w:t>
            </w:r>
          </w:p>
        </w:tc>
      </w:tr>
      <w:tr w:rsidR="00CB071F" w:rsidRPr="00CB071F" w:rsidTr="004809B6">
        <w:trPr>
          <w:trHeight w:val="517"/>
        </w:trPr>
        <w:tc>
          <w:tcPr>
            <w:tcW w:w="3397" w:type="dxa"/>
          </w:tcPr>
          <w:p w:rsidR="000C263A" w:rsidRPr="00CB071F" w:rsidRDefault="000C263A" w:rsidP="000C263A">
            <w:pPr>
              <w:spacing w:line="276" w:lineRule="auto"/>
              <w:jc w:val="left"/>
              <w:rPr>
                <w:rFonts w:ascii="Times New Roman" w:hAnsi="Times New Roman"/>
                <w:lang w:val="bs-Latn-BA"/>
              </w:rPr>
            </w:pPr>
            <w:r w:rsidRPr="00CB071F">
              <w:rPr>
                <w:rFonts w:ascii="Times New Roman" w:eastAsiaTheme="minorHAnsi" w:hAnsi="Times New Roman" w:cstheme="minorBidi"/>
                <w:lang w:val="bs-Latn-BA"/>
              </w:rPr>
              <w:t>Ukupni t</w:t>
            </w:r>
            <w:r w:rsidR="00CB071F">
              <w:rPr>
                <w:rFonts w:ascii="Times New Roman" w:eastAsiaTheme="minorHAnsi" w:hAnsi="Times New Roman" w:cstheme="minorBidi"/>
                <w:lang w:val="bs-Latn-BA"/>
              </w:rPr>
              <w:t>roškovi u zdravstvu (% GDP-a)</w:t>
            </w:r>
          </w:p>
        </w:tc>
        <w:tc>
          <w:tcPr>
            <w:tcW w:w="2482" w:type="dxa"/>
          </w:tcPr>
          <w:p w:rsidR="000C263A" w:rsidRPr="00CB071F" w:rsidRDefault="000C263A" w:rsidP="000C263A">
            <w:pPr>
              <w:jc w:val="right"/>
              <w:rPr>
                <w:rFonts w:ascii="Times New Roman" w:eastAsiaTheme="minorHAnsi" w:hAnsi="Times New Roman" w:cstheme="minorBidi"/>
                <w:lang w:val="bs-Latn-BA"/>
              </w:rPr>
            </w:pPr>
            <w:r w:rsidRPr="00CB071F">
              <w:rPr>
                <w:rFonts w:ascii="Times New Roman" w:eastAsiaTheme="minorHAnsi" w:hAnsi="Times New Roman" w:cstheme="minorBidi"/>
                <w:lang w:val="bs-Latn-BA"/>
              </w:rPr>
              <w:t>8,24</w:t>
            </w:r>
          </w:p>
        </w:tc>
        <w:tc>
          <w:tcPr>
            <w:tcW w:w="2942" w:type="dxa"/>
          </w:tcPr>
          <w:p w:rsidR="000C263A" w:rsidRPr="00CB071F" w:rsidRDefault="000C263A" w:rsidP="000C263A">
            <w:pPr>
              <w:spacing w:line="276" w:lineRule="auto"/>
              <w:jc w:val="right"/>
              <w:rPr>
                <w:rFonts w:ascii="Times New Roman" w:hAnsi="Times New Roman"/>
                <w:lang w:val="bs-Latn-BA"/>
              </w:rPr>
            </w:pPr>
            <w:r w:rsidRPr="00CB071F">
              <w:rPr>
                <w:rFonts w:ascii="Times New Roman" w:hAnsi="Times New Roman"/>
                <w:lang w:val="bs-Latn-BA"/>
              </w:rPr>
              <w:t>...</w:t>
            </w:r>
          </w:p>
        </w:tc>
      </w:tr>
    </w:tbl>
    <w:p w:rsidR="000C263A" w:rsidRPr="000C263A" w:rsidRDefault="000C263A" w:rsidP="000C263A">
      <w:pPr>
        <w:spacing w:line="276" w:lineRule="auto"/>
        <w:rPr>
          <w:rFonts w:ascii="Times New Roman" w:hAnsi="Times New Roman"/>
        </w:rPr>
      </w:pPr>
      <w:r w:rsidRPr="000C263A">
        <w:rPr>
          <w:rFonts w:ascii="Times New Roman" w:hAnsi="Times New Roman"/>
        </w:rPr>
        <w:t>* WHO, European Health for All data base</w:t>
      </w:r>
    </w:p>
    <w:p w:rsidR="000C263A" w:rsidRPr="000C263A" w:rsidRDefault="000C263A" w:rsidP="000C263A">
      <w:pPr>
        <w:spacing w:line="276" w:lineRule="auto"/>
        <w:rPr>
          <w:rFonts w:ascii="Times New Roman" w:hAnsi="Times New Roman"/>
        </w:rPr>
      </w:pPr>
      <w:r w:rsidRPr="000C263A">
        <w:rPr>
          <w:rFonts w:ascii="Times New Roman" w:hAnsi="Times New Roman"/>
        </w:rPr>
        <w:t>** Procjena SZO (2008. godina)</w:t>
      </w:r>
    </w:p>
    <w:p w:rsidR="000C263A" w:rsidRPr="000C263A" w:rsidRDefault="000C263A" w:rsidP="000C263A">
      <w:pPr>
        <w:spacing w:after="160" w:line="259" w:lineRule="auto"/>
        <w:jc w:val="left"/>
        <w:rPr>
          <w:rFonts w:ascii="Times New Roman" w:eastAsiaTheme="minorHAnsi" w:hAnsi="Times New Roman"/>
          <w:lang w:val="bs-Latn-BA"/>
        </w:rPr>
      </w:pPr>
    </w:p>
    <w:p w:rsidR="00A131AD" w:rsidRPr="00155F80" w:rsidRDefault="00A131AD" w:rsidP="000C0138">
      <w:pPr>
        <w:spacing w:line="276" w:lineRule="auto"/>
        <w:rPr>
          <w:rFonts w:ascii="Times New Roman" w:hAnsi="Times New Roman"/>
          <w:lang w:val="bs-Latn-BA"/>
        </w:rPr>
      </w:pPr>
    </w:p>
    <w:p w:rsidR="00A131AD" w:rsidRPr="00155F80" w:rsidRDefault="00A131AD" w:rsidP="000C0138">
      <w:pPr>
        <w:spacing w:line="276" w:lineRule="auto"/>
        <w:rPr>
          <w:rFonts w:ascii="Times New Roman" w:hAnsi="Times New Roman"/>
          <w:lang w:val="bs-Latn-BA"/>
        </w:rPr>
      </w:pPr>
    </w:p>
    <w:p w:rsidR="00A131AD" w:rsidRPr="00155F80" w:rsidRDefault="00A131AD" w:rsidP="000C0138">
      <w:pPr>
        <w:spacing w:line="276" w:lineRule="auto"/>
        <w:rPr>
          <w:rFonts w:ascii="Times New Roman" w:hAnsi="Times New Roman"/>
          <w:lang w:val="bs-Latn-BA"/>
        </w:rPr>
      </w:pPr>
    </w:p>
    <w:p w:rsidR="00A131AD" w:rsidRPr="00155F80" w:rsidRDefault="00A131AD" w:rsidP="000C0138">
      <w:pPr>
        <w:spacing w:line="276" w:lineRule="auto"/>
        <w:rPr>
          <w:rFonts w:ascii="Times New Roman" w:hAnsi="Times New Roman"/>
          <w:lang w:val="bs-Latn-BA"/>
        </w:rPr>
      </w:pPr>
    </w:p>
    <w:p w:rsidR="00A131AD" w:rsidRPr="00155F80" w:rsidRDefault="00A131AD" w:rsidP="000C0138">
      <w:pPr>
        <w:spacing w:line="276" w:lineRule="auto"/>
        <w:rPr>
          <w:rFonts w:ascii="Times New Roman" w:hAnsi="Times New Roman"/>
          <w:lang w:val="bs-Latn-BA"/>
        </w:rPr>
      </w:pPr>
    </w:p>
    <w:p w:rsidR="00A131AD" w:rsidRPr="00155F80" w:rsidRDefault="00A131AD" w:rsidP="000C0138">
      <w:pPr>
        <w:spacing w:line="276" w:lineRule="auto"/>
        <w:rPr>
          <w:rFonts w:ascii="Times New Roman" w:hAnsi="Times New Roman"/>
          <w:lang w:val="bs-Latn-BA"/>
        </w:rPr>
      </w:pPr>
    </w:p>
    <w:p w:rsidR="00A131AD" w:rsidRPr="00155F80" w:rsidRDefault="00A131AD" w:rsidP="000C0138">
      <w:pPr>
        <w:spacing w:line="276" w:lineRule="auto"/>
        <w:rPr>
          <w:rFonts w:ascii="Times New Roman" w:hAnsi="Times New Roman"/>
          <w:lang w:val="bs-Latn-BA"/>
        </w:rPr>
      </w:pPr>
    </w:p>
    <w:p w:rsidR="00A131AD" w:rsidRPr="00155F80" w:rsidRDefault="00A131AD" w:rsidP="000C0138">
      <w:pPr>
        <w:spacing w:line="276" w:lineRule="auto"/>
        <w:rPr>
          <w:rFonts w:ascii="Times New Roman" w:hAnsi="Times New Roman"/>
          <w:lang w:val="bs-Latn-BA"/>
        </w:rPr>
      </w:pPr>
    </w:p>
    <w:p w:rsidR="00A131AD" w:rsidRPr="00155F80" w:rsidRDefault="00A131AD" w:rsidP="000C0138">
      <w:pPr>
        <w:spacing w:line="276" w:lineRule="auto"/>
        <w:rPr>
          <w:rFonts w:ascii="Times New Roman" w:hAnsi="Times New Roman"/>
          <w:lang w:val="bs-Latn-BA"/>
        </w:rPr>
      </w:pPr>
    </w:p>
    <w:p w:rsidR="00A131AD" w:rsidRPr="00155F80" w:rsidRDefault="00A131AD" w:rsidP="000C0138">
      <w:pPr>
        <w:spacing w:line="276" w:lineRule="auto"/>
        <w:rPr>
          <w:rFonts w:ascii="Times New Roman" w:hAnsi="Times New Roman"/>
          <w:lang w:val="bs-Latn-BA"/>
        </w:rPr>
      </w:pPr>
    </w:p>
    <w:p w:rsidR="00A131AD" w:rsidRPr="00155F80" w:rsidRDefault="00A131AD" w:rsidP="000C0138">
      <w:pPr>
        <w:spacing w:line="276" w:lineRule="auto"/>
        <w:rPr>
          <w:rFonts w:ascii="Times New Roman" w:hAnsi="Times New Roman"/>
          <w:lang w:val="bs-Latn-BA"/>
        </w:rPr>
      </w:pPr>
    </w:p>
    <w:p w:rsidR="00A131AD" w:rsidRPr="00155F80" w:rsidRDefault="00A131AD" w:rsidP="000C0138">
      <w:pPr>
        <w:spacing w:line="276" w:lineRule="auto"/>
        <w:rPr>
          <w:rFonts w:ascii="Times New Roman" w:hAnsi="Times New Roman"/>
          <w:lang w:val="bs-Latn-BA"/>
        </w:rPr>
      </w:pPr>
    </w:p>
    <w:p w:rsidR="00A131AD" w:rsidRPr="00155F80" w:rsidRDefault="00A131AD" w:rsidP="000C0138">
      <w:pPr>
        <w:spacing w:line="276" w:lineRule="auto"/>
        <w:rPr>
          <w:rFonts w:ascii="Times New Roman" w:hAnsi="Times New Roman"/>
          <w:lang w:val="bs-Latn-BA"/>
        </w:rPr>
      </w:pPr>
    </w:p>
    <w:p w:rsidR="00A131AD" w:rsidRPr="00155F80" w:rsidRDefault="00A131AD" w:rsidP="000C0138">
      <w:pPr>
        <w:spacing w:line="276" w:lineRule="auto"/>
        <w:rPr>
          <w:rFonts w:ascii="Times New Roman" w:hAnsi="Times New Roman"/>
          <w:lang w:val="bs-Latn-BA"/>
        </w:rPr>
      </w:pPr>
    </w:p>
    <w:p w:rsidR="00A131AD" w:rsidRPr="00155F80" w:rsidRDefault="00A131AD" w:rsidP="000C0138">
      <w:pPr>
        <w:spacing w:line="276" w:lineRule="auto"/>
        <w:rPr>
          <w:rFonts w:ascii="Times New Roman" w:hAnsi="Times New Roman"/>
          <w:lang w:val="bs-Latn-BA"/>
        </w:rPr>
      </w:pPr>
    </w:p>
    <w:p w:rsidR="00A131AD" w:rsidRPr="00155F80" w:rsidRDefault="00A131AD" w:rsidP="000C0138">
      <w:pPr>
        <w:spacing w:line="276" w:lineRule="auto"/>
        <w:rPr>
          <w:rFonts w:ascii="Times New Roman" w:hAnsi="Times New Roman"/>
          <w:lang w:val="bs-Latn-BA"/>
        </w:rPr>
      </w:pPr>
    </w:p>
    <w:p w:rsidR="00A131AD" w:rsidRPr="00155F80" w:rsidRDefault="00A131AD" w:rsidP="000C0138">
      <w:pPr>
        <w:spacing w:line="276" w:lineRule="auto"/>
        <w:rPr>
          <w:rFonts w:ascii="Times New Roman" w:hAnsi="Times New Roman"/>
          <w:lang w:val="bs-Latn-BA"/>
        </w:rPr>
      </w:pPr>
    </w:p>
    <w:p w:rsidR="00A131AD" w:rsidRPr="00155F80" w:rsidRDefault="00A131AD" w:rsidP="000C0138">
      <w:pPr>
        <w:spacing w:line="276" w:lineRule="auto"/>
        <w:rPr>
          <w:rFonts w:ascii="Times New Roman" w:hAnsi="Times New Roman"/>
          <w:lang w:val="bs-Latn-BA"/>
        </w:rPr>
      </w:pPr>
    </w:p>
    <w:p w:rsidR="00A131AD" w:rsidRPr="00155F80" w:rsidRDefault="00A131AD" w:rsidP="000C0138">
      <w:pPr>
        <w:spacing w:line="276" w:lineRule="auto"/>
        <w:rPr>
          <w:rFonts w:ascii="Times New Roman" w:hAnsi="Times New Roman"/>
          <w:lang w:val="bs-Latn-BA"/>
        </w:rPr>
      </w:pPr>
    </w:p>
    <w:p w:rsidR="00A131AD" w:rsidRPr="00155F80" w:rsidRDefault="00A131AD" w:rsidP="000C0138">
      <w:pPr>
        <w:spacing w:line="276" w:lineRule="auto"/>
        <w:rPr>
          <w:rFonts w:ascii="Times New Roman" w:hAnsi="Times New Roman"/>
          <w:lang w:val="bs-Latn-BA"/>
        </w:rPr>
      </w:pPr>
    </w:p>
    <w:p w:rsidR="00A131AD" w:rsidRPr="00155F80" w:rsidRDefault="00A131AD" w:rsidP="000C0138">
      <w:pPr>
        <w:spacing w:line="276" w:lineRule="auto"/>
        <w:rPr>
          <w:rFonts w:ascii="Times New Roman" w:hAnsi="Times New Roman"/>
          <w:lang w:val="bs-Latn-BA"/>
        </w:rPr>
      </w:pPr>
    </w:p>
    <w:p w:rsidR="00A131AD" w:rsidRPr="00155F80" w:rsidRDefault="00A131AD" w:rsidP="000C0138">
      <w:pPr>
        <w:spacing w:line="276" w:lineRule="auto"/>
        <w:rPr>
          <w:rFonts w:ascii="Times New Roman" w:hAnsi="Times New Roman"/>
          <w:lang w:val="bs-Latn-BA"/>
        </w:rPr>
      </w:pPr>
    </w:p>
    <w:p w:rsidR="00A131AD" w:rsidRPr="00155F80" w:rsidRDefault="00A131AD" w:rsidP="000C0138">
      <w:pPr>
        <w:spacing w:line="276" w:lineRule="auto"/>
        <w:rPr>
          <w:rFonts w:ascii="Times New Roman" w:hAnsi="Times New Roman"/>
          <w:lang w:val="bs-Latn-BA"/>
        </w:rPr>
      </w:pPr>
    </w:p>
    <w:p w:rsidR="00A131AD" w:rsidRPr="00155F80" w:rsidRDefault="00A131AD" w:rsidP="000C0138">
      <w:pPr>
        <w:spacing w:line="276" w:lineRule="auto"/>
        <w:rPr>
          <w:rFonts w:ascii="Times New Roman" w:hAnsi="Times New Roman"/>
          <w:lang w:val="bs-Latn-BA"/>
        </w:rPr>
      </w:pPr>
    </w:p>
    <w:p w:rsidR="00A131AD" w:rsidRPr="00155F80" w:rsidRDefault="00A131AD" w:rsidP="00534C26">
      <w:pPr>
        <w:pStyle w:val="Poglavlje1"/>
      </w:pPr>
      <w:bookmarkStart w:id="4" w:name="_Toc456095897"/>
      <w:r w:rsidRPr="00155F80">
        <w:lastRenderedPageBreak/>
        <w:t>STANOVNIŠTVO</w:t>
      </w:r>
      <w:bookmarkEnd w:id="4"/>
    </w:p>
    <w:p w:rsidR="00A131AD" w:rsidRPr="00155F80" w:rsidRDefault="00A131AD" w:rsidP="000C0138">
      <w:pPr>
        <w:spacing w:line="276" w:lineRule="auto"/>
        <w:rPr>
          <w:rFonts w:ascii="Times New Roman" w:hAnsi="Times New Roman"/>
          <w:b/>
          <w:color w:val="FF0000"/>
          <w:lang w:val="bs-Latn-BA"/>
        </w:rPr>
      </w:pPr>
    </w:p>
    <w:p w:rsidR="00A131AD" w:rsidRPr="00155F80" w:rsidRDefault="00A131AD" w:rsidP="000C0138">
      <w:pPr>
        <w:spacing w:line="276" w:lineRule="auto"/>
        <w:rPr>
          <w:rFonts w:ascii="Times New Roman" w:hAnsi="Times New Roman"/>
        </w:rPr>
      </w:pPr>
      <w:r w:rsidRPr="00155F80">
        <w:rPr>
          <w:rFonts w:ascii="Times New Roman" w:hAnsi="Times New Roman"/>
        </w:rPr>
        <w:t>Zdravstvena zaštita i zdravlje stanovništva ne ovise isključivo o djelovanju zdravstvenog s</w:t>
      </w:r>
      <w:r w:rsidR="00065CCF">
        <w:rPr>
          <w:rFonts w:ascii="Times New Roman" w:hAnsi="Times New Roman"/>
        </w:rPr>
        <w:t>ustava</w:t>
      </w:r>
      <w:r w:rsidRPr="00155F80">
        <w:rPr>
          <w:rFonts w:ascii="Times New Roman" w:hAnsi="Times New Roman"/>
        </w:rPr>
        <w:t xml:space="preserve"> i ne mogu se promatrati odvojeno od demografskih, socioekono</w:t>
      </w:r>
      <w:r w:rsidR="002D67A3">
        <w:rPr>
          <w:rFonts w:ascii="Times New Roman" w:hAnsi="Times New Roman"/>
        </w:rPr>
        <w:t>mskih i ekoloških pokazatelja.</w:t>
      </w:r>
      <w:r w:rsidRPr="00155F80">
        <w:rPr>
          <w:rFonts w:ascii="Times New Roman" w:hAnsi="Times New Roman"/>
        </w:rPr>
        <w:t xml:space="preserve"> </w:t>
      </w:r>
    </w:p>
    <w:p w:rsidR="00A131AD" w:rsidRPr="00155F80" w:rsidRDefault="00A131AD" w:rsidP="000C0138">
      <w:pPr>
        <w:spacing w:line="276" w:lineRule="auto"/>
        <w:rPr>
          <w:rFonts w:ascii="Times New Roman" w:hAnsi="Times New Roman"/>
        </w:rPr>
      </w:pPr>
    </w:p>
    <w:p w:rsidR="00A131AD" w:rsidRPr="00155F80" w:rsidRDefault="00A131AD" w:rsidP="000C0138">
      <w:pPr>
        <w:spacing w:line="276" w:lineRule="auto"/>
        <w:rPr>
          <w:rFonts w:ascii="Times New Roman" w:hAnsi="Times New Roman"/>
        </w:rPr>
      </w:pPr>
      <w:r w:rsidRPr="00155F80">
        <w:rPr>
          <w:rFonts w:ascii="Times New Roman" w:hAnsi="Times New Roman"/>
        </w:rPr>
        <w:t>Federacija BiH sa deset kantona prostire se na površin</w:t>
      </w:r>
      <w:r w:rsidR="00065CCF">
        <w:rPr>
          <w:rFonts w:ascii="Times New Roman" w:hAnsi="Times New Roman"/>
        </w:rPr>
        <w:t>i</w:t>
      </w:r>
      <w:r w:rsidRPr="00155F80">
        <w:rPr>
          <w:rFonts w:ascii="Times New Roman" w:hAnsi="Times New Roman"/>
        </w:rPr>
        <w:t xml:space="preserve"> od 26.109,7 km² sa gustinom naseljenosti oko 89 stanovnika na km².</w:t>
      </w:r>
    </w:p>
    <w:p w:rsidR="00A131AD" w:rsidRPr="00155F80" w:rsidRDefault="00A131AD" w:rsidP="000C0138">
      <w:pPr>
        <w:spacing w:line="276" w:lineRule="auto"/>
        <w:rPr>
          <w:rFonts w:ascii="Times New Roman" w:hAnsi="Times New Roman"/>
        </w:rPr>
      </w:pPr>
    </w:p>
    <w:p w:rsidR="00A131AD" w:rsidRPr="00155F80" w:rsidRDefault="00A131AD" w:rsidP="000C0138">
      <w:pPr>
        <w:spacing w:line="276" w:lineRule="auto"/>
        <w:rPr>
          <w:rFonts w:ascii="Times New Roman" w:hAnsi="Times New Roman"/>
        </w:rPr>
      </w:pPr>
      <w:r w:rsidRPr="00155F80">
        <w:rPr>
          <w:rFonts w:ascii="Times New Roman" w:hAnsi="Times New Roman"/>
        </w:rPr>
        <w:t xml:space="preserve">Prema procjeni Federalnog zavoda za statistiku, na terirtoriji FBiH ukupan broj prisutnog stanovništva iznosio je 2.334.348 i u odnosu na prethodnu godinu smanjen je za 2.374 stanovnika. U </w:t>
      </w:r>
      <w:r w:rsidR="00065CCF">
        <w:rPr>
          <w:rFonts w:ascii="Times New Roman" w:hAnsi="Times New Roman"/>
        </w:rPr>
        <w:t>razdoblju</w:t>
      </w:r>
      <w:r w:rsidRPr="00155F80">
        <w:rPr>
          <w:rFonts w:ascii="Times New Roman" w:hAnsi="Times New Roman"/>
        </w:rPr>
        <w:t xml:space="preserve"> 2010</w:t>
      </w:r>
      <w:r w:rsidR="00065CCF">
        <w:rPr>
          <w:rFonts w:ascii="Times New Roman" w:hAnsi="Times New Roman"/>
        </w:rPr>
        <w:t>-</w:t>
      </w:r>
      <w:r w:rsidRPr="00155F80">
        <w:rPr>
          <w:rFonts w:ascii="Times New Roman" w:hAnsi="Times New Roman"/>
        </w:rPr>
        <w:t>2015. godine bilježi se negativan demografski trend, odnosno smanjenje ukupnog broja stanovnika, uz skoro jednak udio žena i muškaraca u ukupnom broju stanovnika</w:t>
      </w:r>
      <w:r w:rsidRPr="00F83CAD">
        <w:rPr>
          <w:rFonts w:ascii="Times New Roman" w:hAnsi="Times New Roman"/>
        </w:rPr>
        <w:t xml:space="preserve">. </w:t>
      </w:r>
      <w:r w:rsidR="006A4FB7" w:rsidRPr="00F83CAD">
        <w:rPr>
          <w:rFonts w:ascii="Times New Roman" w:hAnsi="Times New Roman"/>
        </w:rPr>
        <w:t>(1)</w:t>
      </w:r>
    </w:p>
    <w:p w:rsidR="00A131AD" w:rsidRPr="00155F80" w:rsidRDefault="00A131AD" w:rsidP="000C0138">
      <w:pPr>
        <w:spacing w:line="276" w:lineRule="auto"/>
        <w:rPr>
          <w:rFonts w:ascii="Times New Roman" w:hAnsi="Times New Roman"/>
        </w:rPr>
      </w:pPr>
    </w:p>
    <w:p w:rsidR="00A131AD" w:rsidRPr="00250204" w:rsidRDefault="00A131AD" w:rsidP="000C0138">
      <w:pPr>
        <w:spacing w:line="276" w:lineRule="auto"/>
        <w:rPr>
          <w:rFonts w:ascii="Times New Roman" w:hAnsi="Times New Roman"/>
        </w:rPr>
      </w:pPr>
      <w:r w:rsidRPr="00155F80">
        <w:rPr>
          <w:rFonts w:ascii="Times New Roman" w:hAnsi="Times New Roman"/>
        </w:rPr>
        <w:t xml:space="preserve">Stanovništvo Federacije BiH, biološki, spada u regresivni tip prema kojem djeca do 14 godina imaju </w:t>
      </w:r>
      <w:r w:rsidRPr="00250204">
        <w:rPr>
          <w:rFonts w:ascii="Times New Roman" w:hAnsi="Times New Roman"/>
        </w:rPr>
        <w:t>u</w:t>
      </w:r>
      <w:r w:rsidR="00243A26">
        <w:rPr>
          <w:rFonts w:ascii="Times New Roman" w:hAnsi="Times New Roman"/>
        </w:rPr>
        <w:t>dio</w:t>
      </w:r>
      <w:r w:rsidRPr="00250204">
        <w:rPr>
          <w:rFonts w:ascii="Times New Roman" w:hAnsi="Times New Roman"/>
        </w:rPr>
        <w:t xml:space="preserve"> od 18,1%, znatno manji u odnosu na broj stanovnika starosne dobi preko 50 godina.</w:t>
      </w:r>
      <w:r w:rsidR="002D67A3" w:rsidRPr="00250204">
        <w:rPr>
          <w:rFonts w:ascii="Times New Roman" w:hAnsi="Times New Roman"/>
        </w:rPr>
        <w:t xml:space="preserve"> U</w:t>
      </w:r>
      <w:r w:rsidR="00243A26">
        <w:rPr>
          <w:rFonts w:ascii="Times New Roman" w:hAnsi="Times New Roman"/>
        </w:rPr>
        <w:t>dio</w:t>
      </w:r>
      <w:r w:rsidRPr="00250204">
        <w:rPr>
          <w:rFonts w:ascii="Times New Roman" w:hAnsi="Times New Roman"/>
        </w:rPr>
        <w:t xml:space="preserve"> stanovnika sa 65 i više godina iz</w:t>
      </w:r>
      <w:r w:rsidR="00F30AE6" w:rsidRPr="00250204">
        <w:rPr>
          <w:rFonts w:ascii="Times New Roman" w:hAnsi="Times New Roman"/>
        </w:rPr>
        <w:t xml:space="preserve">nosi 14,3% ukupnog stanovništva, slično kao u </w:t>
      </w:r>
      <w:r w:rsidR="009847F0">
        <w:rPr>
          <w:rFonts w:ascii="Times New Roman" w:hAnsi="Times New Roman"/>
        </w:rPr>
        <w:t>e</w:t>
      </w:r>
      <w:r w:rsidR="00243A26">
        <w:rPr>
          <w:rFonts w:ascii="Times New Roman" w:hAnsi="Times New Roman"/>
        </w:rPr>
        <w:t>u</w:t>
      </w:r>
      <w:r w:rsidR="00F30AE6" w:rsidRPr="00250204">
        <w:rPr>
          <w:rFonts w:ascii="Times New Roman" w:hAnsi="Times New Roman"/>
        </w:rPr>
        <w:t>ropsko</w:t>
      </w:r>
      <w:r w:rsidR="009847F0">
        <w:rPr>
          <w:rFonts w:ascii="Times New Roman" w:hAnsi="Times New Roman"/>
        </w:rPr>
        <w:t>j</w:t>
      </w:r>
      <w:r w:rsidR="00F30AE6" w:rsidRPr="00250204">
        <w:rPr>
          <w:rFonts w:ascii="Times New Roman" w:hAnsi="Times New Roman"/>
        </w:rPr>
        <w:t xml:space="preserve"> regi</w:t>
      </w:r>
      <w:r w:rsidR="009847F0">
        <w:rPr>
          <w:rFonts w:ascii="Times New Roman" w:hAnsi="Times New Roman"/>
        </w:rPr>
        <w:t>ji</w:t>
      </w:r>
      <w:r w:rsidR="00F30AE6" w:rsidRPr="00250204">
        <w:rPr>
          <w:rFonts w:ascii="Times New Roman" w:hAnsi="Times New Roman"/>
        </w:rPr>
        <w:t xml:space="preserve"> (14,8%)</w:t>
      </w:r>
    </w:p>
    <w:p w:rsidR="00A131AD" w:rsidRPr="00155F80" w:rsidRDefault="00A131AD" w:rsidP="000C0138">
      <w:pPr>
        <w:spacing w:line="276" w:lineRule="auto"/>
        <w:rPr>
          <w:rFonts w:ascii="Times New Roman" w:hAnsi="Times New Roman"/>
        </w:rPr>
      </w:pPr>
    </w:p>
    <w:p w:rsidR="00A131AD" w:rsidRPr="00EB7CC7" w:rsidRDefault="00A131AD" w:rsidP="00EB7CC7">
      <w:pPr>
        <w:pStyle w:val="refererere"/>
      </w:pPr>
      <w:r w:rsidRPr="00EB7CC7">
        <w:t>Grafikon 1: Starosna struktura stanovništva u Federaciji BiH sa 30.06.2015.godine</w:t>
      </w:r>
    </w:p>
    <w:p w:rsidR="00A131AD" w:rsidRPr="00155F80" w:rsidRDefault="00A131AD" w:rsidP="000C0138">
      <w:pPr>
        <w:spacing w:line="276" w:lineRule="auto"/>
        <w:rPr>
          <w:rFonts w:ascii="Times New Roman" w:hAnsi="Times New Roman"/>
        </w:rPr>
      </w:pPr>
      <w:r w:rsidRPr="00155F80">
        <w:rPr>
          <w:rFonts w:ascii="Times New Roman" w:hAnsi="Times New Roman"/>
          <w:noProof/>
          <w:lang w:val="bs-Latn-BA" w:eastAsia="bs-Latn-BA"/>
        </w:rPr>
        <w:drawing>
          <wp:inline distT="0" distB="0" distL="0" distR="0" wp14:anchorId="4EE0130D" wp14:editId="0547AE8C">
            <wp:extent cx="5895340" cy="2695698"/>
            <wp:effectExtent l="0" t="0" r="10160" b="9525"/>
            <wp:docPr id="14"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A131AD" w:rsidRPr="00155F80" w:rsidRDefault="00A131AD" w:rsidP="000C0138">
      <w:pPr>
        <w:spacing w:line="276" w:lineRule="auto"/>
        <w:rPr>
          <w:rFonts w:ascii="Times New Roman" w:hAnsi="Times New Roman"/>
        </w:rPr>
      </w:pPr>
    </w:p>
    <w:p w:rsidR="00A131AD" w:rsidRPr="00155F80" w:rsidRDefault="00A131AD" w:rsidP="000C0138">
      <w:pPr>
        <w:spacing w:line="276" w:lineRule="auto"/>
        <w:rPr>
          <w:rFonts w:ascii="Times New Roman" w:hAnsi="Times New Roman"/>
          <w:b/>
        </w:rPr>
      </w:pPr>
    </w:p>
    <w:p w:rsidR="00A131AD" w:rsidRPr="00155F80" w:rsidRDefault="00A131AD" w:rsidP="000C0138">
      <w:pPr>
        <w:pStyle w:val="Poglavlje2"/>
        <w:spacing w:line="276" w:lineRule="auto"/>
      </w:pPr>
      <w:bookmarkStart w:id="5" w:name="_Toc453328490"/>
      <w:bookmarkStart w:id="6" w:name="_Toc456095898"/>
      <w:r w:rsidRPr="00155F80">
        <w:t>1.1 Vitalni pokazatelji</w:t>
      </w:r>
      <w:bookmarkEnd w:id="5"/>
      <w:bookmarkEnd w:id="6"/>
    </w:p>
    <w:p w:rsidR="00A131AD" w:rsidRPr="00155F80" w:rsidRDefault="00A131AD" w:rsidP="000C0138">
      <w:pPr>
        <w:spacing w:line="276" w:lineRule="auto"/>
        <w:rPr>
          <w:rFonts w:ascii="Times New Roman" w:hAnsi="Times New Roman"/>
        </w:rPr>
      </w:pPr>
    </w:p>
    <w:p w:rsidR="00A131AD" w:rsidRPr="00155F80" w:rsidRDefault="00A131AD" w:rsidP="000C0138">
      <w:pPr>
        <w:spacing w:line="276" w:lineRule="auto"/>
        <w:rPr>
          <w:rFonts w:ascii="Times New Roman" w:hAnsi="Times New Roman"/>
        </w:rPr>
      </w:pPr>
      <w:r w:rsidRPr="00155F80">
        <w:rPr>
          <w:rFonts w:ascii="Times New Roman" w:hAnsi="Times New Roman"/>
        </w:rPr>
        <w:t>U 2015.</w:t>
      </w:r>
      <w:r w:rsidR="009847F0">
        <w:rPr>
          <w:rFonts w:ascii="Times New Roman" w:hAnsi="Times New Roman"/>
        </w:rPr>
        <w:t xml:space="preserve"> </w:t>
      </w:r>
      <w:r w:rsidRPr="00155F80">
        <w:rPr>
          <w:rFonts w:ascii="Times New Roman" w:hAnsi="Times New Roman"/>
        </w:rPr>
        <w:t>godini u</w:t>
      </w:r>
      <w:r w:rsidR="00C96D1D" w:rsidRPr="00155F80">
        <w:rPr>
          <w:rFonts w:ascii="Times New Roman" w:hAnsi="Times New Roman"/>
        </w:rPr>
        <w:t xml:space="preserve"> Federaciji BiH rođeno je 19.358</w:t>
      </w:r>
      <w:r w:rsidRPr="00155F80">
        <w:rPr>
          <w:rFonts w:ascii="Times New Roman" w:hAnsi="Times New Roman"/>
        </w:rPr>
        <w:t xml:space="preserve"> žive djece</w:t>
      </w:r>
      <w:r w:rsidR="00C96D1D" w:rsidRPr="00155F80">
        <w:rPr>
          <w:rFonts w:ascii="Times New Roman" w:hAnsi="Times New Roman"/>
        </w:rPr>
        <w:t xml:space="preserve"> dok </w:t>
      </w:r>
      <w:r w:rsidR="009847F0">
        <w:rPr>
          <w:rFonts w:ascii="Times New Roman" w:hAnsi="Times New Roman"/>
        </w:rPr>
        <w:t>su</w:t>
      </w:r>
      <w:r w:rsidR="00C96D1D" w:rsidRPr="00155F80">
        <w:rPr>
          <w:rFonts w:ascii="Times New Roman" w:hAnsi="Times New Roman"/>
        </w:rPr>
        <w:t xml:space="preserve"> iste godine umrl</w:t>
      </w:r>
      <w:r w:rsidR="009847F0">
        <w:rPr>
          <w:rFonts w:ascii="Times New Roman" w:hAnsi="Times New Roman"/>
        </w:rPr>
        <w:t>e</w:t>
      </w:r>
      <w:r w:rsidR="00C96D1D" w:rsidRPr="00155F80">
        <w:rPr>
          <w:rFonts w:ascii="Times New Roman" w:hAnsi="Times New Roman"/>
        </w:rPr>
        <w:t xml:space="preserve"> 21.703</w:t>
      </w:r>
      <w:r w:rsidRPr="00155F80">
        <w:rPr>
          <w:rFonts w:ascii="Times New Roman" w:hAnsi="Times New Roman"/>
        </w:rPr>
        <w:t xml:space="preserve"> osobe. Stoga, prirodni prira</w:t>
      </w:r>
      <w:r w:rsidR="009847F0">
        <w:rPr>
          <w:rFonts w:ascii="Times New Roman" w:hAnsi="Times New Roman"/>
        </w:rPr>
        <w:t>st</w:t>
      </w:r>
      <w:r w:rsidRPr="00155F80">
        <w:rPr>
          <w:rFonts w:ascii="Times New Roman" w:hAnsi="Times New Roman"/>
        </w:rPr>
        <w:t xml:space="preserve"> je iz</w:t>
      </w:r>
      <w:r w:rsidR="00C96D1D" w:rsidRPr="00155F80">
        <w:rPr>
          <w:rFonts w:ascii="Times New Roman" w:hAnsi="Times New Roman"/>
        </w:rPr>
        <w:t>razito nepovoljan i iznosi -1</w:t>
      </w:r>
      <w:r w:rsidRPr="00155F80">
        <w:rPr>
          <w:rFonts w:ascii="Times New Roman" w:hAnsi="Times New Roman"/>
        </w:rPr>
        <w:t>%</w:t>
      </w:r>
      <w:r w:rsidRPr="00155F80">
        <w:rPr>
          <w:rFonts w:ascii="Times New Roman" w:hAnsi="Times New Roman"/>
          <w:sz w:val="16"/>
          <w:szCs w:val="16"/>
        </w:rPr>
        <w:t>0</w:t>
      </w:r>
      <w:r w:rsidRPr="00155F80">
        <w:rPr>
          <w:rFonts w:ascii="Times New Roman" w:hAnsi="Times New Roman"/>
        </w:rPr>
        <w:t>. Negativnu vrijednost prirodnog prira</w:t>
      </w:r>
      <w:r w:rsidR="009847F0">
        <w:rPr>
          <w:rFonts w:ascii="Times New Roman" w:hAnsi="Times New Roman"/>
        </w:rPr>
        <w:t>sta</w:t>
      </w:r>
      <w:r w:rsidRPr="00155F80">
        <w:rPr>
          <w:rFonts w:ascii="Times New Roman" w:hAnsi="Times New Roman"/>
        </w:rPr>
        <w:t xml:space="preserve"> u 2015. godini bilježe svi kantoni u Federaciji BiH osim Kantona Sarajevo (0,3%</w:t>
      </w:r>
      <w:r w:rsidR="002D67A3" w:rsidRPr="002D67A3">
        <w:rPr>
          <w:rFonts w:ascii="Times New Roman" w:hAnsi="Times New Roman"/>
          <w:sz w:val="16"/>
          <w:szCs w:val="16"/>
        </w:rPr>
        <w:t>0</w:t>
      </w:r>
      <w:r w:rsidRPr="00155F80">
        <w:rPr>
          <w:rFonts w:ascii="Times New Roman" w:hAnsi="Times New Roman"/>
        </w:rPr>
        <w:t>). Vrijednost stope naliteta od 8,3/1.000 stanovnika u 2015. godini bilježi blagi pad u odnosu na prošlu godinu i spada u kategoriju niskog nataliteta. Broj um</w:t>
      </w:r>
      <w:r w:rsidR="00C96D1D" w:rsidRPr="00155F80">
        <w:rPr>
          <w:rFonts w:ascii="Times New Roman" w:hAnsi="Times New Roman"/>
        </w:rPr>
        <w:t xml:space="preserve">rlih stanovnika </w:t>
      </w:r>
      <w:r w:rsidR="009847F0">
        <w:rPr>
          <w:rFonts w:ascii="Times New Roman" w:hAnsi="Times New Roman"/>
        </w:rPr>
        <w:t xml:space="preserve">povećan </w:t>
      </w:r>
      <w:r w:rsidR="00C96D1D" w:rsidRPr="00155F80">
        <w:rPr>
          <w:rFonts w:ascii="Times New Roman" w:hAnsi="Times New Roman"/>
        </w:rPr>
        <w:t>je za 7</w:t>
      </w:r>
      <w:r w:rsidRPr="00155F80">
        <w:rPr>
          <w:rFonts w:ascii="Times New Roman" w:hAnsi="Times New Roman"/>
        </w:rPr>
        <w:t>% u odnosu na prethodnu godinu, te je i vrijednost stope mortaliteta povećana i iznosi 9,2%. U</w:t>
      </w:r>
      <w:r w:rsidR="00C96D1D" w:rsidRPr="00155F80">
        <w:rPr>
          <w:rFonts w:ascii="Times New Roman" w:hAnsi="Times New Roman"/>
        </w:rPr>
        <w:t xml:space="preserve"> 2015.</w:t>
      </w:r>
      <w:r w:rsidR="00BE5655" w:rsidRPr="00155F80">
        <w:rPr>
          <w:rFonts w:ascii="Times New Roman" w:hAnsi="Times New Roman"/>
        </w:rPr>
        <w:t xml:space="preserve"> </w:t>
      </w:r>
      <w:r w:rsidR="00C96D1D" w:rsidRPr="00155F80">
        <w:rPr>
          <w:rFonts w:ascii="Times New Roman" w:hAnsi="Times New Roman"/>
        </w:rPr>
        <w:t>godini registr</w:t>
      </w:r>
      <w:r w:rsidR="009847F0">
        <w:rPr>
          <w:rFonts w:ascii="Times New Roman" w:hAnsi="Times New Roman"/>
        </w:rPr>
        <w:t xml:space="preserve">irano </w:t>
      </w:r>
      <w:r w:rsidR="00C96D1D" w:rsidRPr="00155F80">
        <w:rPr>
          <w:rFonts w:ascii="Times New Roman" w:hAnsi="Times New Roman"/>
        </w:rPr>
        <w:t>je 154</w:t>
      </w:r>
      <w:r w:rsidRPr="00155F80">
        <w:rPr>
          <w:rFonts w:ascii="Times New Roman" w:hAnsi="Times New Roman"/>
        </w:rPr>
        <w:t xml:space="preserve"> umrle dojenčadi, što je, u odnosu na prethodnu godinu ut</w:t>
      </w:r>
      <w:r w:rsidR="009847F0">
        <w:rPr>
          <w:rFonts w:ascii="Times New Roman" w:hAnsi="Times New Roman"/>
        </w:rPr>
        <w:t>je</w:t>
      </w:r>
      <w:r w:rsidRPr="00155F80">
        <w:rPr>
          <w:rFonts w:ascii="Times New Roman" w:hAnsi="Times New Roman"/>
        </w:rPr>
        <w:t xml:space="preserve">calo na povećanje dojenačke </w:t>
      </w:r>
      <w:r w:rsidR="003E65EE" w:rsidRPr="00155F80">
        <w:rPr>
          <w:rFonts w:ascii="Times New Roman" w:hAnsi="Times New Roman"/>
        </w:rPr>
        <w:t>smrtnosti na 7,9</w:t>
      </w:r>
      <w:r w:rsidRPr="00155F80">
        <w:rPr>
          <w:rFonts w:ascii="Times New Roman" w:hAnsi="Times New Roman"/>
        </w:rPr>
        <w:t>%</w:t>
      </w:r>
      <w:r w:rsidRPr="00155F80">
        <w:rPr>
          <w:rFonts w:ascii="Times New Roman" w:hAnsi="Times New Roman"/>
          <w:sz w:val="16"/>
          <w:szCs w:val="16"/>
        </w:rPr>
        <w:t>0</w:t>
      </w:r>
      <w:r w:rsidRPr="00155F80">
        <w:rPr>
          <w:rFonts w:ascii="Times New Roman" w:hAnsi="Times New Roman"/>
        </w:rPr>
        <w:t xml:space="preserve"> . Najnižu vrijednost dojenačke smrtnosti imao je Zapadnohercegovač</w:t>
      </w:r>
      <w:r w:rsidR="009847F0">
        <w:rPr>
          <w:rFonts w:ascii="Times New Roman" w:hAnsi="Times New Roman"/>
        </w:rPr>
        <w:t>k</w:t>
      </w:r>
      <w:r w:rsidRPr="00155F80">
        <w:rPr>
          <w:rFonts w:ascii="Times New Roman" w:hAnsi="Times New Roman"/>
        </w:rPr>
        <w:t>i kanton (1,4%</w:t>
      </w:r>
      <w:r w:rsidRPr="00155F80">
        <w:rPr>
          <w:rFonts w:ascii="Times New Roman" w:hAnsi="Times New Roman"/>
          <w:sz w:val="16"/>
          <w:szCs w:val="16"/>
        </w:rPr>
        <w:t>0</w:t>
      </w:r>
      <w:r w:rsidRPr="00155F80">
        <w:rPr>
          <w:rFonts w:ascii="Times New Roman" w:hAnsi="Times New Roman"/>
        </w:rPr>
        <w:t>).</w:t>
      </w:r>
    </w:p>
    <w:p w:rsidR="00A131AD" w:rsidRPr="00155F80" w:rsidRDefault="00A131AD" w:rsidP="000C0138">
      <w:pPr>
        <w:spacing w:line="276" w:lineRule="auto"/>
        <w:rPr>
          <w:rFonts w:ascii="Times New Roman" w:hAnsi="Times New Roman"/>
        </w:rPr>
      </w:pPr>
    </w:p>
    <w:p w:rsidR="00A131AD" w:rsidRPr="00155F80" w:rsidRDefault="00A131AD" w:rsidP="000C0138">
      <w:pPr>
        <w:spacing w:after="160" w:line="276" w:lineRule="auto"/>
        <w:jc w:val="left"/>
        <w:rPr>
          <w:rFonts w:ascii="Times New Roman" w:hAnsi="Times New Roman"/>
        </w:rPr>
      </w:pPr>
      <w:r w:rsidRPr="00155F80">
        <w:rPr>
          <w:rFonts w:ascii="Times New Roman" w:hAnsi="Times New Roman"/>
        </w:rPr>
        <w:br w:type="page"/>
      </w:r>
    </w:p>
    <w:p w:rsidR="00A131AD" w:rsidRPr="00155F80" w:rsidRDefault="00A131AD" w:rsidP="00EB7CC7">
      <w:pPr>
        <w:pStyle w:val="refererere"/>
        <w:rPr>
          <w:noProof/>
          <w:color w:val="7030A0"/>
          <w:lang w:val="bs-Latn-BA" w:eastAsia="bs-Latn-BA"/>
        </w:rPr>
      </w:pPr>
      <w:r w:rsidRPr="00155F80">
        <w:lastRenderedPageBreak/>
        <w:t xml:space="preserve">Grafikon 2: Vitalni pokazatelji u Federaciji BiH, za </w:t>
      </w:r>
      <w:r w:rsidR="009847F0">
        <w:t>razdoblje</w:t>
      </w:r>
      <w:r w:rsidRPr="00155F80">
        <w:t xml:space="preserve"> 2010.-2015.godina</w:t>
      </w:r>
    </w:p>
    <w:p w:rsidR="0048739F" w:rsidRPr="00155F80" w:rsidRDefault="0048739F" w:rsidP="000C0138">
      <w:pPr>
        <w:spacing w:line="276" w:lineRule="auto"/>
        <w:rPr>
          <w:rFonts w:ascii="Times New Roman" w:hAnsi="Times New Roman"/>
        </w:rPr>
      </w:pPr>
      <w:r w:rsidRPr="00155F80">
        <w:rPr>
          <w:rFonts w:ascii="Times New Roman" w:hAnsi="Times New Roman"/>
          <w:noProof/>
          <w:lang w:val="bs-Latn-BA" w:eastAsia="bs-Latn-BA"/>
        </w:rPr>
        <w:drawing>
          <wp:inline distT="0" distB="0" distL="0" distR="0" wp14:anchorId="29FFE11D" wp14:editId="586BEE79">
            <wp:extent cx="5760720" cy="215519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60720" cy="2155190"/>
                    </a:xfrm>
                    <a:prstGeom prst="rect">
                      <a:avLst/>
                    </a:prstGeom>
                  </pic:spPr>
                </pic:pic>
              </a:graphicData>
            </a:graphic>
          </wp:inline>
        </w:drawing>
      </w:r>
    </w:p>
    <w:p w:rsidR="00A131AD" w:rsidRPr="00155F80" w:rsidRDefault="00A131AD" w:rsidP="000C0138">
      <w:pPr>
        <w:spacing w:line="276" w:lineRule="auto"/>
        <w:rPr>
          <w:rFonts w:ascii="Times New Roman" w:hAnsi="Times New Roman"/>
        </w:rPr>
      </w:pPr>
    </w:p>
    <w:p w:rsidR="00A131AD" w:rsidRPr="00155F80" w:rsidRDefault="00A131AD" w:rsidP="000C0138">
      <w:pPr>
        <w:spacing w:line="276" w:lineRule="auto"/>
        <w:rPr>
          <w:rFonts w:ascii="Times New Roman" w:hAnsi="Times New Roman"/>
        </w:rPr>
      </w:pPr>
      <w:r w:rsidRPr="00155F80">
        <w:rPr>
          <w:rFonts w:ascii="Times New Roman" w:hAnsi="Times New Roman"/>
        </w:rPr>
        <w:t>Najvišu stopu nataliteta i ove godine ima Kanton Sarajevo (10,4%</w:t>
      </w:r>
      <w:r w:rsidRPr="00155F80">
        <w:rPr>
          <w:rFonts w:ascii="Times New Roman" w:hAnsi="Times New Roman"/>
          <w:sz w:val="16"/>
          <w:szCs w:val="16"/>
        </w:rPr>
        <w:t>0</w:t>
      </w:r>
      <w:r w:rsidRPr="00155F80">
        <w:rPr>
          <w:rFonts w:ascii="Times New Roman" w:hAnsi="Times New Roman"/>
        </w:rPr>
        <w:t>), a mortaliteta Posavski kanton (12,1%</w:t>
      </w:r>
      <w:r w:rsidRPr="00155F80">
        <w:rPr>
          <w:rFonts w:ascii="Times New Roman" w:hAnsi="Times New Roman"/>
          <w:sz w:val="16"/>
          <w:szCs w:val="16"/>
        </w:rPr>
        <w:t>0</w:t>
      </w:r>
      <w:r w:rsidRPr="00155F80">
        <w:rPr>
          <w:rFonts w:ascii="Times New Roman" w:hAnsi="Times New Roman"/>
        </w:rPr>
        <w:t>).</w:t>
      </w:r>
    </w:p>
    <w:p w:rsidR="00A131AD" w:rsidRPr="00155F80" w:rsidRDefault="00A131AD" w:rsidP="000C0138">
      <w:pPr>
        <w:spacing w:line="276" w:lineRule="auto"/>
        <w:rPr>
          <w:rFonts w:ascii="Times New Roman" w:hAnsi="Times New Roman"/>
        </w:rPr>
      </w:pPr>
    </w:p>
    <w:p w:rsidR="00A131AD" w:rsidRPr="00155F80" w:rsidRDefault="00A131AD" w:rsidP="00EB7CC7">
      <w:pPr>
        <w:pStyle w:val="refererere"/>
      </w:pPr>
      <w:r w:rsidRPr="00155F80">
        <w:t>Grafikon 3: Prirodno kretanje stanovništva, po kantonima u Federaciji BiH, 2015.godina</w:t>
      </w:r>
    </w:p>
    <w:p w:rsidR="00A131AD" w:rsidRPr="00155F80" w:rsidRDefault="00A131AD" w:rsidP="000C0138">
      <w:pPr>
        <w:spacing w:line="276" w:lineRule="auto"/>
        <w:rPr>
          <w:rFonts w:ascii="Times New Roman" w:hAnsi="Times New Roman"/>
        </w:rPr>
      </w:pPr>
      <w:r w:rsidRPr="00155F80">
        <w:rPr>
          <w:rFonts w:ascii="Times New Roman" w:hAnsi="Times New Roman"/>
          <w:noProof/>
          <w:lang w:val="bs-Latn-BA" w:eastAsia="bs-Latn-BA"/>
        </w:rPr>
        <w:drawing>
          <wp:inline distT="0" distB="0" distL="0" distR="0" wp14:anchorId="3FA88919" wp14:editId="3FA06890">
            <wp:extent cx="5799221" cy="2305050"/>
            <wp:effectExtent l="0" t="0" r="11430" b="0"/>
            <wp:docPr id="32"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A131AD" w:rsidRPr="00155F80" w:rsidRDefault="00A131AD" w:rsidP="000C0138">
      <w:pPr>
        <w:spacing w:line="276" w:lineRule="auto"/>
        <w:rPr>
          <w:rFonts w:ascii="Times New Roman" w:hAnsi="Times New Roman"/>
          <w:b/>
        </w:rPr>
      </w:pPr>
    </w:p>
    <w:p w:rsidR="00A131AD" w:rsidRPr="00155F80" w:rsidRDefault="00A131AD" w:rsidP="000C0138">
      <w:pPr>
        <w:spacing w:line="276" w:lineRule="auto"/>
        <w:rPr>
          <w:rFonts w:ascii="Times New Roman" w:hAnsi="Times New Roman"/>
          <w:b/>
        </w:rPr>
      </w:pPr>
    </w:p>
    <w:p w:rsidR="00A131AD" w:rsidRPr="00155F80" w:rsidRDefault="00A131AD" w:rsidP="000C0138">
      <w:pPr>
        <w:pStyle w:val="Poglavlje2"/>
        <w:numPr>
          <w:ilvl w:val="1"/>
          <w:numId w:val="3"/>
        </w:numPr>
        <w:spacing w:line="276" w:lineRule="auto"/>
      </w:pPr>
      <w:bookmarkStart w:id="7" w:name="_Toc453328491"/>
      <w:bookmarkStart w:id="8" w:name="_Toc456095899"/>
      <w:r w:rsidRPr="00155F80">
        <w:t>Očekivana dužina života</w:t>
      </w:r>
      <w:bookmarkEnd w:id="7"/>
      <w:bookmarkEnd w:id="8"/>
    </w:p>
    <w:p w:rsidR="00CE6ED4" w:rsidRPr="00155F80" w:rsidRDefault="00CE6ED4" w:rsidP="000C0138">
      <w:pPr>
        <w:pStyle w:val="Poglavlje2"/>
        <w:spacing w:line="276" w:lineRule="auto"/>
        <w:ind w:left="720"/>
      </w:pPr>
    </w:p>
    <w:p w:rsidR="00A131AD" w:rsidRPr="00155F80" w:rsidRDefault="00A131AD" w:rsidP="000C0138">
      <w:pPr>
        <w:spacing w:line="276" w:lineRule="auto"/>
        <w:rPr>
          <w:rFonts w:ascii="Times New Roman" w:hAnsi="Times New Roman"/>
          <w:color w:val="FF0000"/>
        </w:rPr>
      </w:pPr>
      <w:r w:rsidRPr="00155F80">
        <w:rPr>
          <w:rFonts w:ascii="Times New Roman" w:hAnsi="Times New Roman"/>
        </w:rPr>
        <w:t xml:space="preserve">Svjetska zdravstvena organizacija (SZO) </w:t>
      </w:r>
      <w:r w:rsidR="00685B54" w:rsidRPr="00155F80">
        <w:rPr>
          <w:rFonts w:ascii="Times New Roman" w:hAnsi="Times New Roman"/>
        </w:rPr>
        <w:t xml:space="preserve">je objavila </w:t>
      </w:r>
      <w:r w:rsidR="00F02826">
        <w:rPr>
          <w:rFonts w:ascii="Times New Roman" w:hAnsi="Times New Roman"/>
        </w:rPr>
        <w:t>da se prosječni životni vijek od 1980. godine</w:t>
      </w:r>
      <w:r w:rsidRPr="00155F80">
        <w:rPr>
          <w:rFonts w:ascii="Times New Roman" w:hAnsi="Times New Roman"/>
        </w:rPr>
        <w:t xml:space="preserve"> na globalno</w:t>
      </w:r>
      <w:r w:rsidR="009847F0">
        <w:rPr>
          <w:rFonts w:ascii="Times New Roman" w:hAnsi="Times New Roman"/>
        </w:rPr>
        <w:t>j</w:t>
      </w:r>
      <w:r w:rsidRPr="00155F80">
        <w:rPr>
          <w:rFonts w:ascii="Times New Roman" w:hAnsi="Times New Roman"/>
        </w:rPr>
        <w:t xml:space="preserve"> </w:t>
      </w:r>
      <w:r w:rsidR="009847F0">
        <w:rPr>
          <w:rFonts w:ascii="Times New Roman" w:hAnsi="Times New Roman"/>
        </w:rPr>
        <w:t>razini</w:t>
      </w:r>
      <w:r w:rsidRPr="00155F80">
        <w:rPr>
          <w:rFonts w:ascii="Times New Roman" w:hAnsi="Times New Roman"/>
        </w:rPr>
        <w:t xml:space="preserve">, produžio za pet godina. Međutim, naglašeno je da je napredak nejednak jer i dalje ljudi siromašnih zemalja umiru mlađi od onih u bogatim. Najdugovječnije žene su </w:t>
      </w:r>
      <w:r w:rsidR="00685B54" w:rsidRPr="00155F80">
        <w:rPr>
          <w:rFonts w:ascii="Times New Roman" w:hAnsi="Times New Roman"/>
        </w:rPr>
        <w:t>u Japanu (</w:t>
      </w:r>
      <w:r w:rsidRPr="00155F80">
        <w:rPr>
          <w:rFonts w:ascii="Times New Roman" w:hAnsi="Times New Roman"/>
        </w:rPr>
        <w:t>86,8 godina</w:t>
      </w:r>
      <w:r w:rsidR="00685B54" w:rsidRPr="00155F80">
        <w:rPr>
          <w:rFonts w:ascii="Times New Roman" w:hAnsi="Times New Roman"/>
        </w:rPr>
        <w:t>)</w:t>
      </w:r>
      <w:r w:rsidRPr="00155F80">
        <w:rPr>
          <w:rFonts w:ascii="Times New Roman" w:hAnsi="Times New Roman"/>
        </w:rPr>
        <w:t xml:space="preserve">, a muškarci u Švicarskoj </w:t>
      </w:r>
      <w:r w:rsidR="00685B54" w:rsidRPr="00155F80">
        <w:rPr>
          <w:rFonts w:ascii="Times New Roman" w:hAnsi="Times New Roman"/>
        </w:rPr>
        <w:t>(</w:t>
      </w:r>
      <w:r w:rsidRPr="00155F80">
        <w:rPr>
          <w:rFonts w:ascii="Times New Roman" w:hAnsi="Times New Roman"/>
        </w:rPr>
        <w:t>81,3 godine</w:t>
      </w:r>
      <w:r w:rsidR="00685B54" w:rsidRPr="00155F80">
        <w:rPr>
          <w:rFonts w:ascii="Times New Roman" w:hAnsi="Times New Roman"/>
        </w:rPr>
        <w:t>)</w:t>
      </w:r>
      <w:r w:rsidRPr="00155F80">
        <w:rPr>
          <w:rFonts w:ascii="Times New Roman" w:hAnsi="Times New Roman"/>
        </w:rPr>
        <w:t>. Prosječna starost umrlih osoba je 72,3 godine, za žene 75 a muškarce 69,6 godina.</w:t>
      </w:r>
    </w:p>
    <w:p w:rsidR="00A131AD" w:rsidRPr="00155F80" w:rsidRDefault="00A131AD" w:rsidP="000C0138">
      <w:pPr>
        <w:spacing w:line="276" w:lineRule="auto"/>
        <w:rPr>
          <w:rFonts w:ascii="Times New Roman" w:hAnsi="Times New Roman"/>
          <w:b/>
        </w:rPr>
      </w:pPr>
    </w:p>
    <w:p w:rsidR="00A131AD" w:rsidRPr="00155F80" w:rsidRDefault="00A131AD" w:rsidP="000C0138">
      <w:pPr>
        <w:spacing w:line="276" w:lineRule="auto"/>
        <w:rPr>
          <w:rFonts w:ascii="Times New Roman" w:hAnsi="Times New Roman"/>
          <w:b/>
        </w:rPr>
      </w:pPr>
      <w:r w:rsidRPr="00155F80">
        <w:rPr>
          <w:rFonts w:ascii="Times New Roman" w:hAnsi="Times New Roman"/>
        </w:rPr>
        <w:t>Prema procjeni SZO, očekivana dužina života za stanovnike Bosne i Hercegovine je 76,66 godina, za žene je 79,01</w:t>
      </w:r>
      <w:r w:rsidR="00685B54" w:rsidRPr="00155F80">
        <w:rPr>
          <w:rFonts w:ascii="Times New Roman" w:hAnsi="Times New Roman"/>
        </w:rPr>
        <w:t xml:space="preserve"> godina</w:t>
      </w:r>
      <w:r w:rsidRPr="00155F80">
        <w:rPr>
          <w:rFonts w:ascii="Times New Roman" w:hAnsi="Times New Roman"/>
        </w:rPr>
        <w:t xml:space="preserve">, a za muškarce 74,23 godine, što je slično prosjeku zemalja </w:t>
      </w:r>
      <w:r w:rsidR="009847F0">
        <w:rPr>
          <w:rFonts w:ascii="Times New Roman" w:hAnsi="Times New Roman"/>
        </w:rPr>
        <w:t>e</w:t>
      </w:r>
      <w:r w:rsidR="005901AB">
        <w:rPr>
          <w:rFonts w:ascii="Times New Roman" w:hAnsi="Times New Roman"/>
        </w:rPr>
        <w:t>u</w:t>
      </w:r>
      <w:r w:rsidRPr="00155F80">
        <w:rPr>
          <w:rFonts w:ascii="Times New Roman" w:hAnsi="Times New Roman"/>
        </w:rPr>
        <w:t>ropsk</w:t>
      </w:r>
      <w:r w:rsidR="009847F0">
        <w:rPr>
          <w:rFonts w:ascii="Times New Roman" w:hAnsi="Times New Roman"/>
        </w:rPr>
        <w:t>e</w:t>
      </w:r>
      <w:r w:rsidRPr="00155F80">
        <w:rPr>
          <w:rFonts w:ascii="Times New Roman" w:hAnsi="Times New Roman"/>
        </w:rPr>
        <w:t xml:space="preserve"> regi</w:t>
      </w:r>
      <w:r w:rsidR="009847F0">
        <w:rPr>
          <w:rFonts w:ascii="Times New Roman" w:hAnsi="Times New Roman"/>
        </w:rPr>
        <w:t>je</w:t>
      </w:r>
      <w:r w:rsidRPr="00155F80">
        <w:rPr>
          <w:rFonts w:ascii="Times New Roman" w:hAnsi="Times New Roman"/>
        </w:rPr>
        <w:t xml:space="preserve"> (77,29 godina) i prosjeku zemalja koje su postale članice EU od </w:t>
      </w:r>
      <w:r w:rsidR="009847F0">
        <w:rPr>
          <w:rFonts w:ascii="Times New Roman" w:hAnsi="Times New Roman"/>
        </w:rPr>
        <w:t>svibnja</w:t>
      </w:r>
      <w:r w:rsidRPr="00155F80">
        <w:rPr>
          <w:rFonts w:ascii="Times New Roman" w:hAnsi="Times New Roman"/>
        </w:rPr>
        <w:t xml:space="preserve"> 2004. godine (76,26 godina).</w:t>
      </w:r>
      <w:r w:rsidR="006A4FB7" w:rsidRPr="00155F80">
        <w:rPr>
          <w:rFonts w:ascii="Times New Roman" w:hAnsi="Times New Roman"/>
        </w:rPr>
        <w:t xml:space="preserve"> </w:t>
      </w:r>
      <w:r w:rsidR="006A4FB7" w:rsidRPr="00F83CAD">
        <w:rPr>
          <w:rFonts w:ascii="Times New Roman" w:hAnsi="Times New Roman"/>
        </w:rPr>
        <w:t>(2)</w:t>
      </w:r>
    </w:p>
    <w:p w:rsidR="00A131AD" w:rsidRPr="00155F80" w:rsidRDefault="00A131AD" w:rsidP="000C0138">
      <w:pPr>
        <w:spacing w:line="276" w:lineRule="auto"/>
        <w:rPr>
          <w:rFonts w:ascii="Times New Roman" w:hAnsi="Times New Roman"/>
        </w:rPr>
      </w:pPr>
    </w:p>
    <w:p w:rsidR="00A131AD" w:rsidRPr="00155F80" w:rsidRDefault="00A131AD" w:rsidP="000C0138">
      <w:pPr>
        <w:spacing w:line="276" w:lineRule="auto"/>
        <w:rPr>
          <w:rFonts w:ascii="Times New Roman" w:hAnsi="Times New Roman"/>
        </w:rPr>
      </w:pPr>
    </w:p>
    <w:p w:rsidR="00A131AD" w:rsidRPr="00155F80" w:rsidRDefault="00A131AD" w:rsidP="000C0138">
      <w:pPr>
        <w:spacing w:line="276" w:lineRule="auto"/>
        <w:rPr>
          <w:rFonts w:ascii="Times New Roman" w:hAnsi="Times New Roman"/>
        </w:rPr>
      </w:pPr>
    </w:p>
    <w:p w:rsidR="009A5B2B" w:rsidRPr="00155F80" w:rsidRDefault="009A5B2B" w:rsidP="000C0138">
      <w:pPr>
        <w:spacing w:after="160" w:line="276" w:lineRule="auto"/>
        <w:jc w:val="left"/>
        <w:rPr>
          <w:rFonts w:ascii="Times New Roman" w:hAnsi="Times New Roman"/>
        </w:rPr>
      </w:pPr>
    </w:p>
    <w:p w:rsidR="00A131AD" w:rsidRPr="00155F80" w:rsidRDefault="00A131AD" w:rsidP="000C0138">
      <w:pPr>
        <w:pStyle w:val="Poglavlje1"/>
        <w:spacing w:line="276" w:lineRule="auto"/>
      </w:pPr>
      <w:bookmarkStart w:id="9" w:name="_Toc456095900"/>
      <w:r w:rsidRPr="00155F80">
        <w:t>SOCIOEKONOMSKI POKAZATELJI</w:t>
      </w:r>
      <w:bookmarkEnd w:id="9"/>
    </w:p>
    <w:p w:rsidR="00A131AD" w:rsidRPr="00155F80" w:rsidRDefault="00A131AD" w:rsidP="000C0138">
      <w:pPr>
        <w:pStyle w:val="ListParagraph"/>
        <w:spacing w:line="276" w:lineRule="auto"/>
        <w:rPr>
          <w:rFonts w:ascii="Times New Roman" w:hAnsi="Times New Roman"/>
          <w:b/>
          <w:lang w:val="bs-Latn-BA"/>
        </w:rPr>
      </w:pPr>
    </w:p>
    <w:p w:rsidR="00A131AD" w:rsidRPr="00155F80" w:rsidRDefault="00A131AD" w:rsidP="000C0138">
      <w:pPr>
        <w:spacing w:line="276" w:lineRule="auto"/>
        <w:rPr>
          <w:rFonts w:ascii="Times New Roman" w:hAnsi="Times New Roman"/>
        </w:rPr>
      </w:pPr>
      <w:r w:rsidRPr="00155F80">
        <w:rPr>
          <w:rFonts w:ascii="Times New Roman" w:hAnsi="Times New Roman"/>
        </w:rPr>
        <w:t>U 2015.</w:t>
      </w:r>
      <w:r w:rsidR="00685B54" w:rsidRPr="00155F80">
        <w:rPr>
          <w:rFonts w:ascii="Times New Roman" w:hAnsi="Times New Roman"/>
        </w:rPr>
        <w:t xml:space="preserve"> </w:t>
      </w:r>
      <w:r w:rsidRPr="00155F80">
        <w:rPr>
          <w:rFonts w:ascii="Times New Roman" w:hAnsi="Times New Roman"/>
        </w:rPr>
        <w:t xml:space="preserve">godini, u službama za </w:t>
      </w:r>
      <w:r w:rsidR="009847F0">
        <w:rPr>
          <w:rFonts w:ascii="Times New Roman" w:hAnsi="Times New Roman"/>
        </w:rPr>
        <w:t>u</w:t>
      </w:r>
      <w:r w:rsidRPr="00155F80">
        <w:rPr>
          <w:rFonts w:ascii="Times New Roman" w:hAnsi="Times New Roman"/>
        </w:rPr>
        <w:t xml:space="preserve">pošljavanje, evidentirano je ukupno 389.865 </w:t>
      </w:r>
      <w:r w:rsidR="00F311A8">
        <w:rPr>
          <w:rFonts w:ascii="Times New Roman" w:hAnsi="Times New Roman"/>
        </w:rPr>
        <w:t>osoba</w:t>
      </w:r>
      <w:r w:rsidRPr="00155F80">
        <w:rPr>
          <w:rFonts w:ascii="Times New Roman" w:hAnsi="Times New Roman"/>
        </w:rPr>
        <w:t xml:space="preserve"> koja traže </w:t>
      </w:r>
      <w:r w:rsidR="00F311A8">
        <w:rPr>
          <w:rFonts w:ascii="Times New Roman" w:hAnsi="Times New Roman"/>
        </w:rPr>
        <w:t>posao</w:t>
      </w:r>
      <w:r w:rsidRPr="00155F80">
        <w:rPr>
          <w:rFonts w:ascii="Times New Roman" w:hAnsi="Times New Roman"/>
        </w:rPr>
        <w:t xml:space="preserve">. Broj nezaposlenih </w:t>
      </w:r>
      <w:r w:rsidR="00F311A8">
        <w:rPr>
          <w:rFonts w:ascii="Times New Roman" w:hAnsi="Times New Roman"/>
        </w:rPr>
        <w:t>osoba</w:t>
      </w:r>
      <w:r w:rsidRPr="00155F80">
        <w:rPr>
          <w:rFonts w:ascii="Times New Roman" w:hAnsi="Times New Roman"/>
        </w:rPr>
        <w:t xml:space="preserve"> do sad je imao tendenciju rasta, prvi put zabilježeno je smanjene za 0,4% u odnosu na prethodnu godinu. Veći udio među nezaposlenim </w:t>
      </w:r>
      <w:r w:rsidR="00EC6842">
        <w:rPr>
          <w:rFonts w:ascii="Times New Roman" w:hAnsi="Times New Roman"/>
        </w:rPr>
        <w:t>zauzimaju žene (52,7%), pri čemu je najviše nezaposlenih</w:t>
      </w:r>
      <w:r w:rsidRPr="00155F80">
        <w:rPr>
          <w:rFonts w:ascii="Times New Roman" w:hAnsi="Times New Roman"/>
        </w:rPr>
        <w:t xml:space="preserve"> registr</w:t>
      </w:r>
      <w:r w:rsidR="00F311A8">
        <w:rPr>
          <w:rFonts w:ascii="Times New Roman" w:hAnsi="Times New Roman"/>
        </w:rPr>
        <w:t xml:space="preserve">irano </w:t>
      </w:r>
      <w:r w:rsidRPr="00155F80">
        <w:rPr>
          <w:rFonts w:ascii="Times New Roman" w:hAnsi="Times New Roman"/>
        </w:rPr>
        <w:t xml:space="preserve">u Tuzlanskom i Sarajevskom kantonu. </w:t>
      </w:r>
    </w:p>
    <w:p w:rsidR="00A131AD" w:rsidRPr="00155F80" w:rsidRDefault="00A131AD" w:rsidP="000C0138">
      <w:pPr>
        <w:spacing w:line="276" w:lineRule="auto"/>
        <w:rPr>
          <w:rFonts w:ascii="Times New Roman" w:hAnsi="Times New Roman"/>
        </w:rPr>
      </w:pPr>
    </w:p>
    <w:p w:rsidR="00A131AD" w:rsidRPr="00155F80" w:rsidRDefault="00A131AD" w:rsidP="000C0138">
      <w:pPr>
        <w:spacing w:line="276" w:lineRule="auto"/>
        <w:rPr>
          <w:rFonts w:ascii="Times New Roman" w:hAnsi="Times New Roman"/>
        </w:rPr>
      </w:pPr>
      <w:r w:rsidRPr="00155F80">
        <w:rPr>
          <w:rFonts w:ascii="Times New Roman" w:hAnsi="Times New Roman"/>
        </w:rPr>
        <w:t xml:space="preserve">Federalni zavod za </w:t>
      </w:r>
      <w:r w:rsidR="00F311A8">
        <w:rPr>
          <w:rFonts w:ascii="Times New Roman" w:hAnsi="Times New Roman"/>
        </w:rPr>
        <w:t>u</w:t>
      </w:r>
      <w:r w:rsidRPr="00155F80">
        <w:rPr>
          <w:rFonts w:ascii="Times New Roman" w:hAnsi="Times New Roman"/>
        </w:rPr>
        <w:t>pošljavanje u 2015. godini za</w:t>
      </w:r>
      <w:r w:rsidR="00F311A8">
        <w:rPr>
          <w:rFonts w:ascii="Times New Roman" w:hAnsi="Times New Roman"/>
        </w:rPr>
        <w:t>b</w:t>
      </w:r>
      <w:r w:rsidRPr="00155F80">
        <w:rPr>
          <w:rFonts w:ascii="Times New Roman" w:hAnsi="Times New Roman"/>
        </w:rPr>
        <w:t xml:space="preserve">ilježio je porast broja </w:t>
      </w:r>
      <w:r w:rsidR="00F311A8">
        <w:rPr>
          <w:rFonts w:ascii="Times New Roman" w:hAnsi="Times New Roman"/>
        </w:rPr>
        <w:t>u</w:t>
      </w:r>
      <w:r w:rsidRPr="00155F80">
        <w:rPr>
          <w:rFonts w:ascii="Times New Roman" w:hAnsi="Times New Roman"/>
        </w:rPr>
        <w:t>poslenih za 1,47% u odnosu na 2014. godinu.</w:t>
      </w:r>
      <w:r w:rsidR="002F0665">
        <w:rPr>
          <w:rFonts w:ascii="Times New Roman" w:hAnsi="Times New Roman"/>
        </w:rPr>
        <w:t xml:space="preserve"> </w:t>
      </w:r>
      <w:r w:rsidR="002F0665" w:rsidRPr="00F83CAD">
        <w:rPr>
          <w:rFonts w:ascii="Times New Roman" w:hAnsi="Times New Roman"/>
        </w:rPr>
        <w:t>(3)</w:t>
      </w:r>
    </w:p>
    <w:p w:rsidR="00A131AD" w:rsidRPr="00155F80" w:rsidRDefault="00A131AD" w:rsidP="000C0138">
      <w:pPr>
        <w:spacing w:line="276" w:lineRule="auto"/>
        <w:rPr>
          <w:rFonts w:ascii="Times New Roman" w:hAnsi="Times New Roman"/>
        </w:rPr>
      </w:pPr>
    </w:p>
    <w:p w:rsidR="00A131AD" w:rsidRPr="00155F80" w:rsidRDefault="00A131AD" w:rsidP="00EB7CC7">
      <w:pPr>
        <w:pStyle w:val="refererere"/>
      </w:pPr>
      <w:r w:rsidRPr="00155F80">
        <w:t>Grafikon 4: Broj zaposlenih i nezaposlenih osoba po kantonima Federacije BiH, 2015. godina</w:t>
      </w:r>
      <w:r w:rsidRPr="00155F80">
        <w:rPr>
          <w:noProof/>
          <w:lang w:val="bs-Latn-BA" w:eastAsia="bs-Latn-BA"/>
        </w:rPr>
        <w:drawing>
          <wp:anchor distT="0" distB="0" distL="114300" distR="114300" simplePos="0" relativeHeight="251661312" behindDoc="0" locked="0" layoutInCell="1" allowOverlap="1" wp14:anchorId="07D8260C" wp14:editId="0A3843A6">
            <wp:simplePos x="0" y="0"/>
            <wp:positionH relativeFrom="column">
              <wp:posOffset>26035</wp:posOffset>
            </wp:positionH>
            <wp:positionV relativeFrom="paragraph">
              <wp:posOffset>228600</wp:posOffset>
            </wp:positionV>
            <wp:extent cx="5857875" cy="2814320"/>
            <wp:effectExtent l="0" t="0" r="9525" b="5080"/>
            <wp:wrapTopAndBottom/>
            <wp:docPr id="33"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14:sizeRelH relativeFrom="margin">
              <wp14:pctWidth>0</wp14:pctWidth>
            </wp14:sizeRelH>
            <wp14:sizeRelV relativeFrom="margin">
              <wp14:pctHeight>0</wp14:pctHeight>
            </wp14:sizeRelV>
          </wp:anchor>
        </w:drawing>
      </w:r>
    </w:p>
    <w:p w:rsidR="00F6067A" w:rsidRDefault="00F6067A" w:rsidP="000C0138">
      <w:pPr>
        <w:spacing w:line="276" w:lineRule="auto"/>
        <w:rPr>
          <w:rFonts w:ascii="Times New Roman" w:hAnsi="Times New Roman"/>
        </w:rPr>
      </w:pPr>
    </w:p>
    <w:p w:rsidR="00F6067A" w:rsidRPr="00155F80" w:rsidRDefault="00F6067A" w:rsidP="000C0138">
      <w:pPr>
        <w:spacing w:line="276" w:lineRule="auto"/>
        <w:rPr>
          <w:rFonts w:ascii="Times New Roman" w:hAnsi="Times New Roman"/>
        </w:rPr>
      </w:pPr>
      <w:r>
        <w:rPr>
          <w:rFonts w:ascii="Times New Roman" w:hAnsi="Times New Roman"/>
        </w:rPr>
        <w:t>S</w:t>
      </w:r>
      <w:r w:rsidRPr="00155F80">
        <w:rPr>
          <w:rFonts w:ascii="Times New Roman" w:hAnsi="Times New Roman"/>
        </w:rPr>
        <w:t>topa nezaposlenosti u Federaciji BiH, na osnovu Ankete o radnoj snazi</w:t>
      </w:r>
      <w:r>
        <w:rPr>
          <w:rFonts w:ascii="Times New Roman" w:hAnsi="Times New Roman"/>
        </w:rPr>
        <w:t>,</w:t>
      </w:r>
      <w:r w:rsidRPr="00155F80">
        <w:rPr>
          <w:rFonts w:ascii="Times New Roman" w:hAnsi="Times New Roman"/>
        </w:rPr>
        <w:t xml:space="preserve"> iznosi 29,1% (za muš</w:t>
      </w:r>
      <w:r>
        <w:rPr>
          <w:rFonts w:ascii="Times New Roman" w:hAnsi="Times New Roman"/>
        </w:rPr>
        <w:t xml:space="preserve">karce 25,7%, za žene 32,4%). </w:t>
      </w:r>
      <w:r w:rsidR="002F0665" w:rsidRPr="00F83CAD">
        <w:rPr>
          <w:rFonts w:ascii="Times New Roman" w:hAnsi="Times New Roman"/>
        </w:rPr>
        <w:t>(4</w:t>
      </w:r>
      <w:r w:rsidRPr="00F83CAD">
        <w:rPr>
          <w:rFonts w:ascii="Times New Roman" w:hAnsi="Times New Roman"/>
        </w:rPr>
        <w:t>)</w:t>
      </w:r>
    </w:p>
    <w:p w:rsidR="00A131AD" w:rsidRPr="00155F80" w:rsidRDefault="00A131AD" w:rsidP="000C0138">
      <w:pPr>
        <w:spacing w:line="276" w:lineRule="auto"/>
        <w:rPr>
          <w:rFonts w:ascii="Times New Roman" w:hAnsi="Times New Roman"/>
        </w:rPr>
      </w:pPr>
    </w:p>
    <w:p w:rsidR="00A131AD" w:rsidRPr="00155F80" w:rsidRDefault="00F6067A" w:rsidP="000C0138">
      <w:pPr>
        <w:spacing w:line="276" w:lineRule="auto"/>
        <w:rPr>
          <w:rFonts w:ascii="Times New Roman" w:hAnsi="Times New Roman"/>
        </w:rPr>
      </w:pPr>
      <w:r>
        <w:rPr>
          <w:rFonts w:ascii="Times New Roman" w:hAnsi="Times New Roman"/>
        </w:rPr>
        <w:t>Ra</w:t>
      </w:r>
      <w:r w:rsidR="00A131AD" w:rsidRPr="00155F80">
        <w:rPr>
          <w:rFonts w:ascii="Times New Roman" w:hAnsi="Times New Roman"/>
        </w:rPr>
        <w:t xml:space="preserve">st broja zaposlenih nije praćen rastom prosječne neto plaće u Federaciji BiH. Prosječna neto plaća u </w:t>
      </w:r>
      <w:r w:rsidR="00EC6842">
        <w:rPr>
          <w:rFonts w:ascii="Times New Roman" w:hAnsi="Times New Roman"/>
        </w:rPr>
        <w:t>2015. godini je</w:t>
      </w:r>
      <w:r w:rsidR="00A131AD" w:rsidRPr="00155F80">
        <w:rPr>
          <w:rFonts w:ascii="Times New Roman" w:hAnsi="Times New Roman"/>
        </w:rPr>
        <w:t xml:space="preserve"> iznosila je 830 KM i manja je za 3</w:t>
      </w:r>
      <w:r w:rsidR="00685B54" w:rsidRPr="00155F80">
        <w:rPr>
          <w:rFonts w:ascii="Times New Roman" w:hAnsi="Times New Roman"/>
        </w:rPr>
        <w:t xml:space="preserve"> KM u odnosu na prethodnu godinu</w:t>
      </w:r>
      <w:r w:rsidR="00A131AD" w:rsidRPr="00155F80">
        <w:rPr>
          <w:rFonts w:ascii="Times New Roman" w:hAnsi="Times New Roman"/>
        </w:rPr>
        <w:t xml:space="preserve">. </w:t>
      </w:r>
    </w:p>
    <w:p w:rsidR="00A131AD" w:rsidRPr="00155F80" w:rsidRDefault="00A131AD" w:rsidP="000C0138">
      <w:pPr>
        <w:spacing w:line="276" w:lineRule="auto"/>
        <w:rPr>
          <w:rFonts w:ascii="Times New Roman" w:hAnsi="Times New Roman"/>
        </w:rPr>
      </w:pPr>
    </w:p>
    <w:p w:rsidR="00A131AD" w:rsidRPr="00155F80" w:rsidRDefault="00A131AD" w:rsidP="00EB7CC7">
      <w:pPr>
        <w:pStyle w:val="refererere"/>
      </w:pPr>
      <w:r w:rsidRPr="00155F80">
        <w:t>Grafikon 5: Prosječna neto plaća u Federaciji BiH u 2015.godini, po kantonima u KM</w:t>
      </w:r>
    </w:p>
    <w:p w:rsidR="00A131AD" w:rsidRPr="00155F80" w:rsidRDefault="00A131AD" w:rsidP="000C0138">
      <w:pPr>
        <w:spacing w:line="276" w:lineRule="auto"/>
        <w:rPr>
          <w:rFonts w:ascii="Times New Roman" w:hAnsi="Times New Roman"/>
        </w:rPr>
      </w:pPr>
      <w:r w:rsidRPr="00155F80">
        <w:rPr>
          <w:rFonts w:ascii="Times New Roman" w:hAnsi="Times New Roman"/>
          <w:noProof/>
          <w:lang w:val="bs-Latn-BA" w:eastAsia="bs-Latn-BA"/>
        </w:rPr>
        <w:lastRenderedPageBreak/>
        <w:drawing>
          <wp:inline distT="0" distB="0" distL="0" distR="0" wp14:anchorId="2B87EE01" wp14:editId="18C266C5">
            <wp:extent cx="5857875" cy="2333625"/>
            <wp:effectExtent l="0" t="0" r="9525" b="9525"/>
            <wp:docPr id="34"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A131AD" w:rsidRPr="00155F80" w:rsidRDefault="00A131AD" w:rsidP="000C0138">
      <w:pPr>
        <w:pStyle w:val="Poglavlje2"/>
        <w:spacing w:line="276" w:lineRule="auto"/>
      </w:pPr>
      <w:bookmarkStart w:id="10" w:name="_Toc422749721"/>
      <w:bookmarkStart w:id="11" w:name="_Toc456095901"/>
      <w:r w:rsidRPr="00155F80">
        <w:t>2.1 Siromaštvo</w:t>
      </w:r>
      <w:bookmarkEnd w:id="10"/>
      <w:r w:rsidRPr="00155F80">
        <w:t xml:space="preserve"> i socijalna isklučenost</w:t>
      </w:r>
      <w:bookmarkEnd w:id="11"/>
    </w:p>
    <w:p w:rsidR="00A131AD" w:rsidRPr="00155F80" w:rsidRDefault="00A131AD" w:rsidP="000C0138">
      <w:pPr>
        <w:spacing w:line="276" w:lineRule="auto"/>
        <w:rPr>
          <w:rFonts w:ascii="Times New Roman" w:hAnsi="Times New Roman"/>
          <w:lang w:val="bs-Latn-BA"/>
        </w:rPr>
      </w:pPr>
    </w:p>
    <w:p w:rsidR="00A131AD" w:rsidRPr="00155F80" w:rsidRDefault="00A131AD" w:rsidP="000C0138">
      <w:pPr>
        <w:spacing w:line="276" w:lineRule="auto"/>
        <w:rPr>
          <w:rFonts w:ascii="Times New Roman" w:hAnsi="Times New Roman"/>
          <w:lang w:val="bs-Latn-BA"/>
        </w:rPr>
      </w:pPr>
      <w:r w:rsidRPr="00155F80">
        <w:rPr>
          <w:rFonts w:ascii="Times New Roman" w:hAnsi="Times New Roman"/>
          <w:lang w:val="bs-Latn-BA"/>
        </w:rPr>
        <w:t>Pojam siromaštva se uglavnom defini</w:t>
      </w:r>
      <w:r w:rsidR="00F311A8">
        <w:rPr>
          <w:rFonts w:ascii="Times New Roman" w:hAnsi="Times New Roman"/>
          <w:lang w:val="bs-Latn-BA"/>
        </w:rPr>
        <w:t>ra</w:t>
      </w:r>
      <w:r w:rsidRPr="00155F80">
        <w:rPr>
          <w:rFonts w:ascii="Times New Roman" w:hAnsi="Times New Roman"/>
          <w:lang w:val="bs-Latn-BA"/>
        </w:rPr>
        <w:t xml:space="preserve"> kao oskudica materijalnih ili novčanih sredstava. </w:t>
      </w:r>
      <w:r w:rsidRPr="00155F80">
        <w:rPr>
          <w:rFonts w:ascii="Times New Roman" w:eastAsia="Arial" w:hAnsi="Times New Roman"/>
          <w:color w:val="000000"/>
          <w:lang w:val="bs-Latn-BA" w:eastAsia="bs-Latn-BA"/>
        </w:rPr>
        <w:t>Siromaštvo se najčešće mjeri indikatorima koji su vezani za prihode, dok se višedimenzionalnost siromaštva p</w:t>
      </w:r>
      <w:r w:rsidR="00F311A8">
        <w:rPr>
          <w:rFonts w:ascii="Times New Roman" w:eastAsia="Arial" w:hAnsi="Times New Roman"/>
          <w:color w:val="000000"/>
          <w:lang w:val="bs-Latn-BA" w:eastAsia="bs-Latn-BA"/>
        </w:rPr>
        <w:t>r</w:t>
      </w:r>
      <w:r w:rsidRPr="00155F80">
        <w:rPr>
          <w:rFonts w:ascii="Times New Roman" w:eastAsia="Arial" w:hAnsi="Times New Roman"/>
          <w:color w:val="000000"/>
          <w:lang w:val="bs-Latn-BA" w:eastAsia="bs-Latn-BA"/>
        </w:rPr>
        <w:t xml:space="preserve">omatra kroz dugotrajni ili stalni nedostatak resursa, </w:t>
      </w:r>
      <w:r w:rsidR="00450B4A" w:rsidRPr="00155F80">
        <w:rPr>
          <w:rFonts w:ascii="Times New Roman" w:eastAsia="Arial" w:hAnsi="Times New Roman"/>
          <w:color w:val="000000"/>
          <w:lang w:val="bs-Latn-BA" w:eastAsia="bs-Latn-BA"/>
        </w:rPr>
        <w:t>sposobnosti, mogućnosti izbora i sigurnosnih u</w:t>
      </w:r>
      <w:r w:rsidR="00F311A8">
        <w:rPr>
          <w:rFonts w:ascii="Times New Roman" w:eastAsia="Arial" w:hAnsi="Times New Roman"/>
          <w:color w:val="000000"/>
          <w:lang w:val="bs-Latn-BA" w:eastAsia="bs-Latn-BA"/>
        </w:rPr>
        <w:t>vjeta</w:t>
      </w:r>
      <w:r w:rsidRPr="00155F80">
        <w:rPr>
          <w:rFonts w:ascii="Times New Roman" w:eastAsia="Arial" w:hAnsi="Times New Roman"/>
          <w:color w:val="000000"/>
          <w:lang w:val="bs-Latn-BA" w:eastAsia="bs-Latn-BA"/>
        </w:rPr>
        <w:t xml:space="preserve"> koji su potrebni za uživanje primjerenog životnog standarda i realizaciju </w:t>
      </w:r>
      <w:r w:rsidR="00F311A8">
        <w:rPr>
          <w:rFonts w:ascii="Times New Roman" w:eastAsia="Arial" w:hAnsi="Times New Roman"/>
          <w:color w:val="000000"/>
          <w:lang w:val="bs-Latn-BA" w:eastAsia="bs-Latn-BA"/>
        </w:rPr>
        <w:t>gospodarskih</w:t>
      </w:r>
      <w:r w:rsidRPr="00155F80">
        <w:rPr>
          <w:rFonts w:ascii="Times New Roman" w:eastAsia="Arial" w:hAnsi="Times New Roman"/>
          <w:color w:val="000000"/>
          <w:lang w:val="bs-Latn-BA" w:eastAsia="bs-Latn-BA"/>
        </w:rPr>
        <w:t xml:space="preserve">, političkih, kulturnih i socijalnih prava. </w:t>
      </w:r>
    </w:p>
    <w:p w:rsidR="00A131AD" w:rsidRPr="00155F80" w:rsidRDefault="00A131AD" w:rsidP="000C0138">
      <w:pPr>
        <w:spacing w:after="243" w:line="276" w:lineRule="auto"/>
        <w:ind w:left="-15" w:right="49" w:firstLine="4"/>
        <w:rPr>
          <w:rFonts w:ascii="Times New Roman" w:eastAsia="Arial" w:hAnsi="Times New Roman"/>
          <w:color w:val="000000"/>
          <w:lang w:val="bs-Latn-BA" w:eastAsia="bs-Latn-BA"/>
        </w:rPr>
      </w:pPr>
      <w:r w:rsidRPr="00155F80">
        <w:rPr>
          <w:rFonts w:ascii="Times New Roman" w:eastAsia="Arial" w:hAnsi="Times New Roman"/>
          <w:color w:val="000000"/>
          <w:lang w:val="bs-Latn-BA" w:eastAsia="bs-Latn-BA"/>
        </w:rPr>
        <w:t xml:space="preserve">Dva su uobičajena </w:t>
      </w:r>
      <w:r w:rsidR="00F311A8">
        <w:rPr>
          <w:rFonts w:ascii="Times New Roman" w:eastAsia="Arial" w:hAnsi="Times New Roman"/>
          <w:color w:val="000000"/>
          <w:lang w:val="bs-Latn-BA" w:eastAsia="bs-Latn-BA"/>
        </w:rPr>
        <w:t>znanstvena</w:t>
      </w:r>
      <w:r w:rsidRPr="00155F80">
        <w:rPr>
          <w:rFonts w:ascii="Times New Roman" w:eastAsia="Arial" w:hAnsi="Times New Roman"/>
          <w:color w:val="000000"/>
          <w:lang w:val="bs-Latn-BA" w:eastAsia="bs-Latn-BA"/>
        </w:rPr>
        <w:t xml:space="preserve"> pristupa mjerenju siromaštva: apsolutno i relativno siromaštvo. </w:t>
      </w:r>
    </w:p>
    <w:p w:rsidR="00A131AD" w:rsidRPr="00155F80" w:rsidRDefault="00A131AD" w:rsidP="000C0138">
      <w:pPr>
        <w:spacing w:after="243" w:line="276" w:lineRule="auto"/>
        <w:ind w:left="-15" w:right="49" w:firstLine="4"/>
        <w:rPr>
          <w:rFonts w:ascii="Times New Roman" w:eastAsia="Arial" w:hAnsi="Times New Roman"/>
          <w:color w:val="000000"/>
          <w:lang w:val="bs-Latn-BA" w:eastAsia="bs-Latn-BA"/>
        </w:rPr>
      </w:pPr>
      <w:r w:rsidRPr="00155F80">
        <w:rPr>
          <w:rFonts w:ascii="Times New Roman" w:eastAsia="Arial" w:hAnsi="Times New Roman"/>
          <w:color w:val="000000"/>
          <w:lang w:val="bs-Latn-BA" w:eastAsia="bs-Latn-BA"/>
        </w:rPr>
        <w:t xml:space="preserve">Apsolutna linija siromaštva ne mjeri siromaštvo u odnosu na druge </w:t>
      </w:r>
      <w:r w:rsidR="00B43765">
        <w:rPr>
          <w:rFonts w:ascii="Times New Roman" w:eastAsia="Arial" w:hAnsi="Times New Roman"/>
          <w:color w:val="000000"/>
          <w:lang w:val="bs-Latn-BA" w:eastAsia="bs-Latn-BA"/>
        </w:rPr>
        <w:t>razine</w:t>
      </w:r>
      <w:r w:rsidRPr="00155F80">
        <w:rPr>
          <w:rFonts w:ascii="Times New Roman" w:eastAsia="Arial" w:hAnsi="Times New Roman"/>
          <w:color w:val="000000"/>
          <w:lang w:val="bs-Latn-BA" w:eastAsia="bs-Latn-BA"/>
        </w:rPr>
        <w:t xml:space="preserve"> blagostanja već nastoji da definira vrijednost potrošnje koja je potrebna bilo kojoj osobi bez obzira na vrijeme i mjesto. Najčešće korištena apsolutna linija siromaštva je ona koja se </w:t>
      </w:r>
      <w:r w:rsidR="00B43765">
        <w:rPr>
          <w:rFonts w:ascii="Times New Roman" w:eastAsia="Arial" w:hAnsi="Times New Roman"/>
          <w:color w:val="000000"/>
          <w:lang w:val="bs-Latn-BA" w:eastAsia="bs-Latn-BA"/>
        </w:rPr>
        <w:t>temelji</w:t>
      </w:r>
      <w:r w:rsidRPr="00155F80">
        <w:rPr>
          <w:rFonts w:ascii="Times New Roman" w:eastAsia="Arial" w:hAnsi="Times New Roman"/>
          <w:color w:val="000000"/>
          <w:lang w:val="bs-Latn-BA" w:eastAsia="bs-Latn-BA"/>
        </w:rPr>
        <w:t xml:space="preserve"> na potrošnji hrane. </w:t>
      </w:r>
    </w:p>
    <w:p w:rsidR="00C77EBB" w:rsidRDefault="00A131AD" w:rsidP="00C77EBB">
      <w:pPr>
        <w:spacing w:line="276" w:lineRule="auto"/>
        <w:ind w:left="-15" w:right="49"/>
        <w:rPr>
          <w:rFonts w:ascii="Times New Roman" w:eastAsia="Arial" w:hAnsi="Times New Roman"/>
          <w:color w:val="000000"/>
          <w:lang w:val="bs-Latn-BA" w:eastAsia="bs-Latn-BA"/>
        </w:rPr>
      </w:pPr>
      <w:r w:rsidRPr="00155F80">
        <w:rPr>
          <w:rFonts w:ascii="Times New Roman" w:eastAsia="Arial" w:hAnsi="Times New Roman"/>
          <w:color w:val="000000"/>
          <w:lang w:val="bs-Latn-BA" w:eastAsia="bs-Latn-BA"/>
        </w:rPr>
        <w:t>Relativno siromaštvo poredi standard jedne kategorije stanovništva sa drugom u istom društvu. U izračunu apsolutnog siromaštva utvrđuje se prag odnosno generalna i ekstremna linija siromaštva. Razlike između ove dvije linije siromaštva su u tome što ekstremna linija p</w:t>
      </w:r>
      <w:r w:rsidR="00BB0F79">
        <w:rPr>
          <w:rFonts w:ascii="Times New Roman" w:eastAsia="Arial" w:hAnsi="Times New Roman"/>
          <w:color w:val="000000"/>
          <w:lang w:val="bs-Latn-BA" w:eastAsia="bs-Latn-BA"/>
        </w:rPr>
        <w:t>r</w:t>
      </w:r>
      <w:r w:rsidRPr="00155F80">
        <w:rPr>
          <w:rFonts w:ascii="Times New Roman" w:eastAsia="Arial" w:hAnsi="Times New Roman"/>
          <w:color w:val="000000"/>
          <w:lang w:val="bs-Latn-BA" w:eastAsia="bs-Latn-BA"/>
        </w:rPr>
        <w:t xml:space="preserve">omatra samo prehrambene potrebe pojedinca, koje se </w:t>
      </w:r>
      <w:r w:rsidR="00BB0F79">
        <w:rPr>
          <w:rFonts w:ascii="Times New Roman" w:eastAsia="Arial" w:hAnsi="Times New Roman"/>
          <w:color w:val="000000"/>
          <w:lang w:val="bs-Latn-BA" w:eastAsia="bs-Latn-BA"/>
        </w:rPr>
        <w:t>temelje</w:t>
      </w:r>
      <w:r w:rsidRPr="00155F80">
        <w:rPr>
          <w:rFonts w:ascii="Times New Roman" w:eastAsia="Arial" w:hAnsi="Times New Roman"/>
          <w:color w:val="000000"/>
          <w:lang w:val="bs-Latn-BA" w:eastAsia="bs-Latn-BA"/>
        </w:rPr>
        <w:t xml:space="preserve"> na minimumu kalorijskih potreba pojedinca. </w:t>
      </w:r>
    </w:p>
    <w:p w:rsidR="00C77EBB" w:rsidRDefault="00C77EBB" w:rsidP="00C77EBB">
      <w:pPr>
        <w:spacing w:line="276" w:lineRule="auto"/>
        <w:ind w:left="-15" w:right="49"/>
        <w:rPr>
          <w:rFonts w:ascii="Times New Roman" w:eastAsia="Arial" w:hAnsi="Times New Roman"/>
          <w:color w:val="000000"/>
          <w:lang w:val="bs-Latn-BA" w:eastAsia="bs-Latn-BA"/>
        </w:rPr>
      </w:pPr>
    </w:p>
    <w:p w:rsidR="00A131AD" w:rsidRPr="00155F80" w:rsidRDefault="00A131AD" w:rsidP="00C77EBB">
      <w:pPr>
        <w:spacing w:after="192" w:line="276" w:lineRule="auto"/>
        <w:ind w:left="-15" w:right="49"/>
        <w:rPr>
          <w:rFonts w:ascii="Times New Roman" w:eastAsiaTheme="minorHAnsi" w:hAnsi="Times New Roman"/>
          <w:lang w:val="bs-Latn-BA"/>
        </w:rPr>
      </w:pPr>
      <w:r w:rsidRPr="00155F80">
        <w:rPr>
          <w:rFonts w:ascii="Times New Roman" w:eastAsia="Arial" w:hAnsi="Times New Roman"/>
          <w:color w:val="000000"/>
          <w:lang w:val="bs-Latn-BA" w:eastAsia="bs-Latn-BA"/>
        </w:rPr>
        <w:t>Socijalna isključenost je mnogo širi pojam od siromaštva. To</w:t>
      </w:r>
      <w:r w:rsidRPr="00155F80">
        <w:rPr>
          <w:rFonts w:ascii="Times New Roman" w:eastAsia="Arial" w:hAnsi="Times New Roman"/>
          <w:b/>
          <w:color w:val="000000"/>
          <w:lang w:val="bs-Latn-BA" w:eastAsia="bs-Latn-BA"/>
        </w:rPr>
        <w:t xml:space="preserve"> </w:t>
      </w:r>
      <w:r w:rsidRPr="00155F80">
        <w:rPr>
          <w:rFonts w:ascii="Times New Roman" w:eastAsia="Arial" w:hAnsi="Times New Roman"/>
          <w:color w:val="000000"/>
          <w:lang w:val="bs-Latn-BA" w:eastAsia="bs-Latn-BA"/>
        </w:rPr>
        <w:t>je proces kojim se određeni pojedinci ili grupe potiskuju na rub društva, spr</w:t>
      </w:r>
      <w:r w:rsidR="00BB0F79">
        <w:rPr>
          <w:rFonts w:ascii="Times New Roman" w:eastAsia="Arial" w:hAnsi="Times New Roman"/>
          <w:color w:val="000000"/>
          <w:lang w:val="bs-Latn-BA" w:eastAsia="bs-Latn-BA"/>
        </w:rPr>
        <w:t>j</w:t>
      </w:r>
      <w:r w:rsidRPr="00155F80">
        <w:rPr>
          <w:rFonts w:ascii="Times New Roman" w:eastAsia="Arial" w:hAnsi="Times New Roman"/>
          <w:color w:val="000000"/>
          <w:lang w:val="bs-Latn-BA" w:eastAsia="bs-Latn-BA"/>
        </w:rPr>
        <w:t>ečava ih se u</w:t>
      </w:r>
      <w:r w:rsidRPr="00155F80">
        <w:rPr>
          <w:rFonts w:ascii="Times New Roman" w:eastAsia="Arial" w:hAnsi="Times New Roman"/>
          <w:color w:val="000000"/>
          <w:vertAlign w:val="superscript"/>
          <w:lang w:val="bs-Latn-BA" w:eastAsia="bs-Latn-BA"/>
        </w:rPr>
        <w:t xml:space="preserve"> </w:t>
      </w:r>
      <w:r w:rsidRPr="00155F80">
        <w:rPr>
          <w:rFonts w:ascii="Times New Roman" w:eastAsia="Arial" w:hAnsi="Times New Roman"/>
          <w:color w:val="000000"/>
          <w:lang w:val="bs-Latn-BA" w:eastAsia="bs-Latn-BA"/>
        </w:rPr>
        <w:t>njihovim nastojanjima da žive pristojnim životom uz puno sudjelovanje u društvu zbog njihovog etničkog po</w:t>
      </w:r>
      <w:r w:rsidR="00BB0F79">
        <w:rPr>
          <w:rFonts w:ascii="Times New Roman" w:eastAsia="Arial" w:hAnsi="Times New Roman"/>
          <w:color w:val="000000"/>
          <w:lang w:val="bs-Latn-BA" w:eastAsia="bs-Latn-BA"/>
        </w:rPr>
        <w:t>d</w:t>
      </w:r>
      <w:r w:rsidRPr="00155F80">
        <w:rPr>
          <w:rFonts w:ascii="Times New Roman" w:eastAsia="Arial" w:hAnsi="Times New Roman"/>
          <w:color w:val="000000"/>
          <w:lang w:val="bs-Latn-BA" w:eastAsia="bs-Latn-BA"/>
        </w:rPr>
        <w:t>rije</w:t>
      </w:r>
      <w:r w:rsidR="00BB0F79">
        <w:rPr>
          <w:rFonts w:ascii="Times New Roman" w:eastAsia="Arial" w:hAnsi="Times New Roman"/>
          <w:color w:val="000000"/>
          <w:lang w:val="bs-Latn-BA" w:eastAsia="bs-Latn-BA"/>
        </w:rPr>
        <w:t>t</w:t>
      </w:r>
      <w:r w:rsidRPr="00155F80">
        <w:rPr>
          <w:rFonts w:ascii="Times New Roman" w:eastAsia="Arial" w:hAnsi="Times New Roman"/>
          <w:color w:val="000000"/>
          <w:lang w:val="bs-Latn-BA" w:eastAsia="bs-Latn-BA"/>
        </w:rPr>
        <w:t>la, vjerske pripadnosti, staleža u društvu, dobnih ili spolnih razlika, invalidnosti, finan</w:t>
      </w:r>
      <w:r w:rsidR="00BB0F79">
        <w:rPr>
          <w:rFonts w:ascii="Times New Roman" w:eastAsia="Arial" w:hAnsi="Times New Roman"/>
          <w:color w:val="000000"/>
          <w:lang w:val="bs-Latn-BA" w:eastAsia="bs-Latn-BA"/>
        </w:rPr>
        <w:t>c</w:t>
      </w:r>
      <w:r w:rsidRPr="00155F80">
        <w:rPr>
          <w:rFonts w:ascii="Times New Roman" w:eastAsia="Arial" w:hAnsi="Times New Roman"/>
          <w:color w:val="000000"/>
          <w:lang w:val="bs-Latn-BA" w:eastAsia="bs-Latn-BA"/>
        </w:rPr>
        <w:t xml:space="preserve">ijskih problema, nedostatka formalnog </w:t>
      </w:r>
      <w:r w:rsidR="00BB0F79">
        <w:rPr>
          <w:rFonts w:ascii="Times New Roman" w:eastAsia="Arial" w:hAnsi="Times New Roman"/>
          <w:color w:val="000000"/>
          <w:lang w:val="bs-Latn-BA" w:eastAsia="bs-Latn-BA"/>
        </w:rPr>
        <w:t>posla</w:t>
      </w:r>
      <w:r w:rsidRPr="00155F80">
        <w:rPr>
          <w:rFonts w:ascii="Times New Roman" w:eastAsia="Arial" w:hAnsi="Times New Roman"/>
          <w:color w:val="000000"/>
          <w:lang w:val="bs-Latn-BA" w:eastAsia="bs-Latn-BA"/>
        </w:rPr>
        <w:t xml:space="preserve"> i obrazovanja, zaraženosti HIV virusom, migraci</w:t>
      </w:r>
      <w:r w:rsidR="00BB0F79">
        <w:rPr>
          <w:rFonts w:ascii="Times New Roman" w:eastAsia="Arial" w:hAnsi="Times New Roman"/>
          <w:color w:val="000000"/>
          <w:lang w:val="bs-Latn-BA" w:eastAsia="bs-Latn-BA"/>
        </w:rPr>
        <w:t xml:space="preserve">jskog </w:t>
      </w:r>
      <w:r w:rsidRPr="00155F80">
        <w:rPr>
          <w:rFonts w:ascii="Times New Roman" w:eastAsia="Arial" w:hAnsi="Times New Roman"/>
          <w:color w:val="000000"/>
          <w:lang w:val="bs-Latn-BA" w:eastAsia="bs-Latn-BA"/>
        </w:rPr>
        <w:t xml:space="preserve">statusa i mjesta prebivališta. </w:t>
      </w:r>
      <w:r w:rsidRPr="00AD6501">
        <w:rPr>
          <w:rFonts w:ascii="Times New Roman" w:hAnsi="Times New Roman"/>
        </w:rPr>
        <w:t>Socijalna isključenost (prema EU2020) se prati putem tri indikatora: stopa rizika od siromaštva, materijalna</w:t>
      </w:r>
      <w:r w:rsidRPr="00155F80">
        <w:rPr>
          <w:rFonts w:ascii="Times New Roman" w:hAnsi="Times New Roman"/>
        </w:rPr>
        <w:t xml:space="preserve"> uskraćenost i </w:t>
      </w:r>
      <w:r w:rsidR="00751A8F">
        <w:rPr>
          <w:rFonts w:ascii="Times New Roman" w:hAnsi="Times New Roman"/>
        </w:rPr>
        <w:t>kućanstva</w:t>
      </w:r>
      <w:r w:rsidRPr="00155F80">
        <w:rPr>
          <w:rFonts w:ascii="Times New Roman" w:hAnsi="Times New Roman"/>
        </w:rPr>
        <w:t xml:space="preserve"> sa niskim intenzitetom rada.</w:t>
      </w:r>
    </w:p>
    <w:p w:rsidR="00A131AD" w:rsidRPr="00155F80" w:rsidRDefault="00A131AD" w:rsidP="000C0138">
      <w:pPr>
        <w:spacing w:line="276" w:lineRule="auto"/>
        <w:rPr>
          <w:rFonts w:ascii="Times New Roman" w:hAnsi="Times New Roman"/>
          <w:lang w:val="bs-Latn-BA"/>
        </w:rPr>
      </w:pPr>
      <w:r w:rsidRPr="00155F80">
        <w:rPr>
          <w:rFonts w:ascii="Times New Roman" w:eastAsiaTheme="minorHAnsi" w:hAnsi="Times New Roman"/>
          <w:lang w:val="bs-Latn-BA"/>
        </w:rPr>
        <w:t xml:space="preserve">Siromaštvo u BiH se prati pomoću Ankete o potrošnji </w:t>
      </w:r>
      <w:r w:rsidR="00BB0F79">
        <w:rPr>
          <w:rFonts w:ascii="Times New Roman" w:eastAsiaTheme="minorHAnsi" w:hAnsi="Times New Roman"/>
          <w:lang w:val="bs-Latn-BA"/>
        </w:rPr>
        <w:t>kućanstava</w:t>
      </w:r>
      <w:r w:rsidRPr="00155F80">
        <w:rPr>
          <w:rFonts w:ascii="Times New Roman" w:eastAsiaTheme="minorHAnsi" w:hAnsi="Times New Roman"/>
          <w:lang w:val="bs-Latn-BA"/>
        </w:rPr>
        <w:t xml:space="preserve"> (AP</w:t>
      </w:r>
      <w:r w:rsidR="00BB0F79">
        <w:rPr>
          <w:rFonts w:ascii="Times New Roman" w:eastAsiaTheme="minorHAnsi" w:hAnsi="Times New Roman"/>
          <w:lang w:val="bs-Latn-BA"/>
        </w:rPr>
        <w:t>K</w:t>
      </w:r>
      <w:r w:rsidRPr="00155F80">
        <w:rPr>
          <w:rFonts w:ascii="Times New Roman" w:eastAsiaTheme="minorHAnsi" w:hAnsi="Times New Roman"/>
          <w:lang w:val="bs-Latn-BA"/>
        </w:rPr>
        <w:t xml:space="preserve">) koju Agencija za statistiku BiH izrađuje na trogodišnjoj osnovi. Anketa o potrošnji </w:t>
      </w:r>
      <w:r w:rsidR="00BB0F79">
        <w:rPr>
          <w:rFonts w:ascii="Times New Roman" w:eastAsiaTheme="minorHAnsi" w:hAnsi="Times New Roman"/>
          <w:lang w:val="bs-Latn-BA"/>
        </w:rPr>
        <w:t>kućanstava</w:t>
      </w:r>
      <w:r w:rsidRPr="00155F80">
        <w:rPr>
          <w:rFonts w:ascii="Times New Roman" w:eastAsiaTheme="minorHAnsi" w:hAnsi="Times New Roman"/>
          <w:lang w:val="bs-Latn-BA"/>
        </w:rPr>
        <w:t>, prvi put u Bosni i Hercegovini, provedena je 2004. godine, zatim 2007. i  2011. godine.</w:t>
      </w:r>
      <w:r w:rsidRPr="00155F80">
        <w:rPr>
          <w:rFonts w:ascii="Times New Roman" w:hAnsi="Times New Roman"/>
        </w:rPr>
        <w:t xml:space="preserve"> </w:t>
      </w:r>
      <w:r w:rsidRPr="00155F80">
        <w:rPr>
          <w:rFonts w:ascii="Times New Roman" w:eastAsiaTheme="minorHAnsi" w:hAnsi="Times New Roman"/>
          <w:lang w:val="bs-Latn-BA"/>
        </w:rPr>
        <w:t xml:space="preserve">Ciljevi Ankete o potrošnji </w:t>
      </w:r>
      <w:r w:rsidR="00BB0F79">
        <w:rPr>
          <w:rFonts w:ascii="Times New Roman" w:eastAsiaTheme="minorHAnsi" w:hAnsi="Times New Roman"/>
          <w:lang w:val="bs-Latn-BA"/>
        </w:rPr>
        <w:t>kućanstava</w:t>
      </w:r>
      <w:r w:rsidRPr="00155F80">
        <w:rPr>
          <w:rFonts w:ascii="Times New Roman" w:eastAsiaTheme="minorHAnsi" w:hAnsi="Times New Roman"/>
          <w:lang w:val="bs-Latn-BA"/>
        </w:rPr>
        <w:t xml:space="preserve"> su dobi</w:t>
      </w:r>
      <w:r w:rsidR="00BB0F79">
        <w:rPr>
          <w:rFonts w:ascii="Times New Roman" w:eastAsiaTheme="minorHAnsi" w:hAnsi="Times New Roman"/>
          <w:lang w:val="bs-Latn-BA"/>
        </w:rPr>
        <w:t>v</w:t>
      </w:r>
      <w:r w:rsidRPr="00155F80">
        <w:rPr>
          <w:rFonts w:ascii="Times New Roman" w:eastAsiaTheme="minorHAnsi" w:hAnsi="Times New Roman"/>
          <w:lang w:val="bs-Latn-BA"/>
        </w:rPr>
        <w:t xml:space="preserve">anje podataka o veličini i strukturi potrošnje </w:t>
      </w:r>
      <w:r w:rsidR="006C228E">
        <w:rPr>
          <w:rFonts w:ascii="Times New Roman" w:eastAsiaTheme="minorHAnsi" w:hAnsi="Times New Roman"/>
          <w:lang w:val="bs-Latn-BA"/>
        </w:rPr>
        <w:t>kućanstava</w:t>
      </w:r>
      <w:r w:rsidRPr="00155F80">
        <w:rPr>
          <w:rFonts w:ascii="Times New Roman" w:eastAsiaTheme="minorHAnsi" w:hAnsi="Times New Roman"/>
          <w:lang w:val="bs-Latn-BA"/>
        </w:rPr>
        <w:t xml:space="preserve"> u BiH, osnovnim demografskim i socioekonomskim karakteristikama njihovih članova, u</w:t>
      </w:r>
      <w:r w:rsidR="006C228E">
        <w:rPr>
          <w:rFonts w:ascii="Times New Roman" w:eastAsiaTheme="minorHAnsi" w:hAnsi="Times New Roman"/>
          <w:lang w:val="bs-Latn-BA"/>
        </w:rPr>
        <w:t>vjetima</w:t>
      </w:r>
      <w:r w:rsidRPr="00155F80">
        <w:rPr>
          <w:rFonts w:ascii="Times New Roman" w:eastAsiaTheme="minorHAnsi" w:hAnsi="Times New Roman"/>
          <w:lang w:val="bs-Latn-BA"/>
        </w:rPr>
        <w:t xml:space="preserve"> stanovanja, izvorima i veličini prihoda, investicijama, socijalnoj uključenosti, zdravlju i slično</w:t>
      </w:r>
      <w:r w:rsidR="00450B4A" w:rsidRPr="00155F80">
        <w:rPr>
          <w:rFonts w:ascii="Times New Roman" w:eastAsiaTheme="minorHAnsi" w:hAnsi="Times New Roman"/>
          <w:lang w:val="bs-Latn-BA"/>
        </w:rPr>
        <w:t xml:space="preserve">. </w:t>
      </w:r>
    </w:p>
    <w:p w:rsidR="00A131AD" w:rsidRPr="00155F80" w:rsidRDefault="00A131AD" w:rsidP="00250204">
      <w:pPr>
        <w:pStyle w:val="TEKST"/>
        <w:rPr>
          <w:i/>
        </w:rPr>
      </w:pPr>
      <w:r w:rsidRPr="00155F80">
        <w:t>Prema posljednjim poda</w:t>
      </w:r>
      <w:r w:rsidR="006C228E">
        <w:t>t</w:t>
      </w:r>
      <w:r w:rsidRPr="00155F80">
        <w:t xml:space="preserve">cima Ankete o potrošnji </w:t>
      </w:r>
      <w:r w:rsidR="006C228E">
        <w:t>kućanstava</w:t>
      </w:r>
      <w:r w:rsidRPr="00155F80">
        <w:t xml:space="preserve"> iz 2011. godine relativna linija siromaštva (standardna linija siromaštva) za BiH iznosi 416 KM za jednočlano odraslo </w:t>
      </w:r>
      <w:r w:rsidR="00751A8F">
        <w:t>kućanstvo</w:t>
      </w:r>
      <w:r w:rsidRPr="00155F80">
        <w:t>. Prema ovom</w:t>
      </w:r>
      <w:r w:rsidR="006C228E">
        <w:t>e</w:t>
      </w:r>
      <w:r w:rsidRPr="00155F80">
        <w:t xml:space="preserve">, u 2011. godini u Federaciji BiH je 16% </w:t>
      </w:r>
      <w:r w:rsidR="006C228E">
        <w:t>kućanstava</w:t>
      </w:r>
      <w:r w:rsidRPr="00155F80">
        <w:t xml:space="preserve"> ili svako šesto </w:t>
      </w:r>
      <w:r w:rsidR="006C228E">
        <w:t>kućanstvo</w:t>
      </w:r>
      <w:r w:rsidRPr="00155F80">
        <w:t xml:space="preserve"> bilo </w:t>
      </w:r>
      <w:r w:rsidRPr="00155F80">
        <w:lastRenderedPageBreak/>
        <w:t>relativno siromašno. Prema tipu naselja, u 2011. godini na teritorij</w:t>
      </w:r>
      <w:r w:rsidR="006C228E">
        <w:t>u</w:t>
      </w:r>
      <w:r w:rsidRPr="00155F80">
        <w:t xml:space="preserve"> Federacije BiH relativno siromaštvo bilo </w:t>
      </w:r>
      <w:r w:rsidR="006C228E">
        <w:t>je</w:t>
      </w:r>
      <w:r w:rsidRPr="00155F80">
        <w:t xml:space="preserve"> izraženije u naseljima tipa „ostalo“ i iznosilo je 21,9%.</w:t>
      </w:r>
      <w:r w:rsidR="00450B4A" w:rsidRPr="00155F80">
        <w:t xml:space="preserve"> </w:t>
      </w:r>
      <w:r w:rsidR="002F0665" w:rsidRPr="00F83CAD">
        <w:t>(5</w:t>
      </w:r>
      <w:r w:rsidR="00450B4A" w:rsidRPr="00F83CAD">
        <w:t>)</w:t>
      </w:r>
    </w:p>
    <w:p w:rsidR="00A131AD" w:rsidRPr="00155F80" w:rsidRDefault="00A131AD" w:rsidP="00250204">
      <w:pPr>
        <w:pStyle w:val="TEKST"/>
        <w:rPr>
          <w:i/>
        </w:rPr>
      </w:pPr>
      <w:r w:rsidRPr="00155F80">
        <w:t>Relativno siromaštvo je najviše koncentri</w:t>
      </w:r>
      <w:r w:rsidR="006C228E">
        <w:t>r</w:t>
      </w:r>
      <w:r w:rsidRPr="00155F80">
        <w:t xml:space="preserve">ano unutar jednočlanih i </w:t>
      </w:r>
      <w:r w:rsidR="006C228E">
        <w:t>kućanstava</w:t>
      </w:r>
      <w:r w:rsidRPr="00155F80">
        <w:t xml:space="preserve"> koja imaju 5 ili više članova, </w:t>
      </w:r>
      <w:r w:rsidR="00B95F35">
        <w:t>posebno kod</w:t>
      </w:r>
      <w:r w:rsidRPr="00155F80">
        <w:t xml:space="preserve"> </w:t>
      </w:r>
      <w:r w:rsidR="006C228E">
        <w:t>kućanstava</w:t>
      </w:r>
      <w:r w:rsidRPr="00155F80">
        <w:t xml:space="preserve"> gdje je os</w:t>
      </w:r>
      <w:r w:rsidR="00B95F35">
        <w:t>oba stara 65 godina i više</w:t>
      </w:r>
      <w:r w:rsidRPr="00155F80">
        <w:t>. Također, ni</w:t>
      </w:r>
      <w:r w:rsidR="006C228E">
        <w:t>ska</w:t>
      </w:r>
      <w:r w:rsidRPr="00155F80">
        <w:t xml:space="preserve"> </w:t>
      </w:r>
      <w:r w:rsidR="006C228E">
        <w:t>razina</w:t>
      </w:r>
      <w:r w:rsidRPr="00155F80">
        <w:t xml:space="preserve"> obrazovanja je povezan</w:t>
      </w:r>
      <w:r w:rsidR="006C228E">
        <w:t>a</w:t>
      </w:r>
      <w:r w:rsidRPr="00155F80">
        <w:t xml:space="preserve"> s rizikom od siromaštva, pa je od ukupnog broja </w:t>
      </w:r>
      <w:r w:rsidR="006C228E">
        <w:t>kućanstava</w:t>
      </w:r>
      <w:r w:rsidRPr="00155F80">
        <w:t xml:space="preserve"> čiji nosi</w:t>
      </w:r>
      <w:r w:rsidR="006C228E">
        <w:t>telj</w:t>
      </w:r>
      <w:r w:rsidRPr="00155F80">
        <w:t xml:space="preserve"> nema nikakvu školsku spremu 39,8% siromašno.</w:t>
      </w:r>
    </w:p>
    <w:p w:rsidR="00A131AD" w:rsidRPr="00155F80" w:rsidRDefault="00A131AD" w:rsidP="00250204">
      <w:pPr>
        <w:pStyle w:val="TEKST"/>
        <w:rPr>
          <w:i/>
        </w:rPr>
      </w:pPr>
      <w:r w:rsidRPr="00DB3434">
        <w:t xml:space="preserve">U Federaciji BiH nastavlja se trend smanjenja broja </w:t>
      </w:r>
      <w:r w:rsidRPr="00055C26">
        <w:t>raseljenih</w:t>
      </w:r>
      <w:r w:rsidRPr="00DB3434">
        <w:rPr>
          <w:b/>
        </w:rPr>
        <w:t xml:space="preserve"> </w:t>
      </w:r>
      <w:r w:rsidRPr="00DB3434">
        <w:t xml:space="preserve">osoba. Federalno ministarstvo raseljenih osoba i izbjeglica evidentiralo je u </w:t>
      </w:r>
      <w:r w:rsidRPr="00F83CAD">
        <w:t xml:space="preserve">2014. godini 38.820 raseljenih osoba ili 13.421 </w:t>
      </w:r>
      <w:r w:rsidR="003F79E2">
        <w:t>obitelj</w:t>
      </w:r>
      <w:r w:rsidRPr="00F83CAD">
        <w:t xml:space="preserve">, za 0,9% manje nego 2013. godine.  </w:t>
      </w:r>
      <w:r w:rsidR="00055C26">
        <w:t>Do</w:t>
      </w:r>
      <w:r w:rsidR="00055C26" w:rsidRPr="00B95F35">
        <w:t xml:space="preserve"> trenutka </w:t>
      </w:r>
      <w:r w:rsidR="00E87324">
        <w:t>završetka</w:t>
      </w:r>
      <w:r w:rsidR="00055C26">
        <w:t xml:space="preserve"> izvješ</w:t>
      </w:r>
      <w:r w:rsidR="003F79E2">
        <w:t>ć</w:t>
      </w:r>
      <w:r w:rsidR="00055C26">
        <w:t>a</w:t>
      </w:r>
      <w:r w:rsidR="00DB3434" w:rsidRPr="00F83CAD">
        <w:t xml:space="preserve"> nisu objavljeni poda</w:t>
      </w:r>
      <w:r w:rsidR="003F79E2">
        <w:t>t</w:t>
      </w:r>
      <w:r w:rsidR="00DB3434" w:rsidRPr="00F83CAD">
        <w:t>ci za 2015. godinu.</w:t>
      </w:r>
    </w:p>
    <w:p w:rsidR="00A131AD" w:rsidRPr="00155F80" w:rsidRDefault="00A131AD" w:rsidP="00250204">
      <w:pPr>
        <w:pStyle w:val="TEKST"/>
        <w:rPr>
          <w:i/>
        </w:rPr>
      </w:pPr>
      <w:r w:rsidRPr="00155F80">
        <w:t>U</w:t>
      </w:r>
      <w:r w:rsidR="003F79E2">
        <w:t>dio</w:t>
      </w:r>
      <w:r w:rsidRPr="00E87324">
        <w:rPr>
          <w:color w:val="00B0F0"/>
        </w:rPr>
        <w:t xml:space="preserve"> </w:t>
      </w:r>
      <w:r w:rsidR="003F79E2">
        <w:t>umirovljenika</w:t>
      </w:r>
      <w:r w:rsidRPr="00155F80">
        <w:rPr>
          <w:b/>
        </w:rPr>
        <w:t xml:space="preserve"> </w:t>
      </w:r>
      <w:r w:rsidRPr="00155F80">
        <w:t>u ukupnom broju stanovnika pokazuje trend po</w:t>
      </w:r>
      <w:r w:rsidR="003F79E2">
        <w:t>većanja</w:t>
      </w:r>
      <w:r w:rsidRPr="00155F80">
        <w:t xml:space="preserve"> posljednjih godina. Prema poda</w:t>
      </w:r>
      <w:r w:rsidR="003F79E2">
        <w:t>t</w:t>
      </w:r>
      <w:r w:rsidRPr="00155F80">
        <w:t xml:space="preserve">cima Federalnog zavoda za </w:t>
      </w:r>
      <w:r w:rsidR="003F79E2">
        <w:t>mirovinsko</w:t>
      </w:r>
      <w:r w:rsidRPr="00155F80">
        <w:t xml:space="preserve"> i invalidsko osiguranje u 2015. godini je bilo 402.044 </w:t>
      </w:r>
      <w:r w:rsidR="003F79E2">
        <w:t>umirovljenika</w:t>
      </w:r>
      <w:r w:rsidRPr="00155F80">
        <w:t xml:space="preserve">, tj. 17,2% u ukupnom stanovništvu. Prosječna </w:t>
      </w:r>
      <w:r w:rsidR="003F79E2">
        <w:t>mirovina</w:t>
      </w:r>
      <w:r w:rsidRPr="00155F80">
        <w:t xml:space="preserve"> iznosila </w:t>
      </w:r>
      <w:r w:rsidR="003F79E2">
        <w:t xml:space="preserve">je </w:t>
      </w:r>
      <w:r w:rsidRPr="00155F80">
        <w:t>366,06</w:t>
      </w:r>
      <w:r w:rsidR="003F79E2">
        <w:t xml:space="preserve"> </w:t>
      </w:r>
      <w:r w:rsidRPr="00155F80">
        <w:t xml:space="preserve">KM. U strukturi, najveći broj čine starosne </w:t>
      </w:r>
      <w:r w:rsidR="003F79E2">
        <w:t>mirovine</w:t>
      </w:r>
      <w:r w:rsidRPr="00155F80">
        <w:t xml:space="preserve"> (206.404 odnosno 51,3%), poslije kojih </w:t>
      </w:r>
      <w:r w:rsidR="00EE5188">
        <w:t>važan</w:t>
      </w:r>
      <w:r w:rsidRPr="00155F80">
        <w:t xml:space="preserve"> </w:t>
      </w:r>
      <w:r w:rsidR="003F79E2">
        <w:t>udio</w:t>
      </w:r>
      <w:r w:rsidRPr="00155F80">
        <w:t xml:space="preserve"> imaju korisnici invalidskih </w:t>
      </w:r>
      <w:r w:rsidR="003F79E2">
        <w:t>mirovina</w:t>
      </w:r>
      <w:r w:rsidRPr="00155F80">
        <w:t xml:space="preserve">: 76.738 ili 19,1%. Prema uzroku invalidnosti i spolu, najviše korisnika invalidske </w:t>
      </w:r>
      <w:r w:rsidR="003F79E2">
        <w:t>mirovine</w:t>
      </w:r>
      <w:r w:rsidRPr="00155F80">
        <w:t xml:space="preserve"> je zbog bolesti, njih 71.672, više muškaraca (47.041) nego žena (24.631). Invalidske </w:t>
      </w:r>
      <w:r w:rsidR="003F79E2">
        <w:t>mirovine</w:t>
      </w:r>
      <w:r w:rsidRPr="00155F80">
        <w:t xml:space="preserve"> kojima su uzrok </w:t>
      </w:r>
      <w:r w:rsidR="003F79E2">
        <w:t>ozljede</w:t>
      </w:r>
      <w:r w:rsidRPr="00155F80">
        <w:t xml:space="preserve"> na radu u 2015. godini je imalo 1.586 korisnika, više muškaraca (1.526) nego žena (60). Registr</w:t>
      </w:r>
      <w:r w:rsidR="003F79E2">
        <w:t>irana su</w:t>
      </w:r>
      <w:r w:rsidRPr="00155F80">
        <w:t xml:space="preserve"> 33 korisnik</w:t>
      </w:r>
      <w:r w:rsidR="003F79E2">
        <w:t>a</w:t>
      </w:r>
      <w:r w:rsidRPr="00155F80">
        <w:t xml:space="preserve"> invalidske </w:t>
      </w:r>
      <w:r w:rsidR="003F79E2">
        <w:t>mirovine</w:t>
      </w:r>
      <w:r w:rsidRPr="00155F80">
        <w:t xml:space="preserve"> zbog profesionalne boles</w:t>
      </w:r>
      <w:r w:rsidR="003F79E2">
        <w:t>t</w:t>
      </w:r>
      <w:r w:rsidRPr="00155F80">
        <w:t>i, od čega 21 muškaraca i 12 žena.</w:t>
      </w:r>
    </w:p>
    <w:p w:rsidR="00A131AD" w:rsidRPr="00155F80" w:rsidRDefault="00A131AD" w:rsidP="00250204">
      <w:pPr>
        <w:pStyle w:val="TEKST"/>
        <w:rPr>
          <w:i/>
        </w:rPr>
      </w:pPr>
      <w:r w:rsidRPr="00155F80">
        <w:t>Zbog kontinuiranog po</w:t>
      </w:r>
      <w:r w:rsidR="00B04616">
        <w:t>većanja</w:t>
      </w:r>
      <w:r w:rsidRPr="00155F80">
        <w:t xml:space="preserve"> broja </w:t>
      </w:r>
      <w:r w:rsidR="00B04616">
        <w:t>umirovljenika</w:t>
      </w:r>
      <w:r w:rsidRPr="00155F80">
        <w:t xml:space="preserve">, odnos </w:t>
      </w:r>
      <w:r w:rsidR="00B04616">
        <w:t>umirovljenika</w:t>
      </w:r>
      <w:r w:rsidRPr="00155F80">
        <w:t xml:space="preserve"> i </w:t>
      </w:r>
      <w:r w:rsidR="00B04616">
        <w:t>u</w:t>
      </w:r>
      <w:r w:rsidRPr="00155F80">
        <w:t>poslenih stanovnika je nepovoljan, iznosi blizu 1:1, što predstavlja opterećenje za zdravstveni s</w:t>
      </w:r>
      <w:r w:rsidR="00B04616">
        <w:t>ustav</w:t>
      </w:r>
      <w:r w:rsidRPr="00155F80">
        <w:t>.</w:t>
      </w:r>
    </w:p>
    <w:p w:rsidR="00A131AD" w:rsidRPr="00155F80" w:rsidRDefault="00A131AD" w:rsidP="00250204">
      <w:pPr>
        <w:pStyle w:val="TEKST"/>
        <w:rPr>
          <w:i/>
        </w:rPr>
      </w:pPr>
      <w:r w:rsidRPr="00155F80">
        <w:t>Prema poda</w:t>
      </w:r>
      <w:r w:rsidR="00B04616">
        <w:t>t</w:t>
      </w:r>
      <w:r w:rsidRPr="00155F80">
        <w:t>cima Federalnog ministarstva za pitanja boraca i invalida odbrambeno oslobodilačkog rata, ukupan broj korisnika braniteljskih invalidnina u 2015. godini je 91.348.</w:t>
      </w:r>
    </w:p>
    <w:p w:rsidR="00A131AD" w:rsidRPr="00155F80" w:rsidRDefault="00A131AD" w:rsidP="00250204">
      <w:pPr>
        <w:pStyle w:val="TEKST"/>
        <w:rPr>
          <w:i/>
        </w:rPr>
      </w:pPr>
      <w:r w:rsidRPr="00155F80">
        <w:t>Prema poda</w:t>
      </w:r>
      <w:r w:rsidR="00B04616">
        <w:t>t</w:t>
      </w:r>
      <w:r w:rsidRPr="00155F80">
        <w:t xml:space="preserve">cima Federalnog ministarstva rada i socijalne politike, pravo po osnovu zaštite civilnih žrtava rata, u 2015. godini je koristilo 10.016 osoba, od čega ih je 4.014 ostvarilo pravo na </w:t>
      </w:r>
      <w:r w:rsidR="00B04616">
        <w:t>osobnu</w:t>
      </w:r>
      <w:r w:rsidRPr="00155F80">
        <w:t xml:space="preserve"> invalidninu i 846 prava na mjesečno </w:t>
      </w:r>
      <w:r w:rsidR="00B04616">
        <w:t>osobno</w:t>
      </w:r>
      <w:r w:rsidRPr="00155F80">
        <w:t xml:space="preserve"> primanje. Od ukupnog broja civilnih žrtava rata njih 5.156 su </w:t>
      </w:r>
      <w:r w:rsidR="00B04616">
        <w:t>obitelji</w:t>
      </w:r>
      <w:r w:rsidRPr="00155F80">
        <w:t xml:space="preserve"> poginulih civilnih žrtava rata.</w:t>
      </w:r>
    </w:p>
    <w:p w:rsidR="00A131AD" w:rsidRPr="00155F80" w:rsidRDefault="00A131AD" w:rsidP="000C0138">
      <w:pPr>
        <w:pStyle w:val="Heading3"/>
        <w:spacing w:line="276" w:lineRule="auto"/>
        <w:rPr>
          <w:rFonts w:ascii="Times New Roman" w:hAnsi="Times New Roman" w:cs="Times New Roman"/>
          <w:sz w:val="22"/>
          <w:szCs w:val="22"/>
        </w:rPr>
      </w:pPr>
      <w:bookmarkStart w:id="12" w:name="_Toc422749722"/>
    </w:p>
    <w:p w:rsidR="00A131AD" w:rsidRPr="00155F80" w:rsidRDefault="00AE2EDA" w:rsidP="0082015E">
      <w:pPr>
        <w:pStyle w:val="Poglavlje2"/>
      </w:pPr>
      <w:bookmarkStart w:id="13" w:name="_Toc456095902"/>
      <w:r>
        <w:t xml:space="preserve">2.2 </w:t>
      </w:r>
      <w:r w:rsidR="00A131AD" w:rsidRPr="00155F80">
        <w:t xml:space="preserve">Stopa </w:t>
      </w:r>
      <w:r w:rsidR="00B04616">
        <w:t>u</w:t>
      </w:r>
      <w:r w:rsidR="00A131AD" w:rsidRPr="00155F80">
        <w:t>zdržavanog stanovništva (Dependency ratio)</w:t>
      </w:r>
      <w:bookmarkEnd w:id="12"/>
      <w:bookmarkEnd w:id="13"/>
      <w:r w:rsidR="00A131AD" w:rsidRPr="00155F80">
        <w:t xml:space="preserve"> </w:t>
      </w:r>
    </w:p>
    <w:p w:rsidR="00A131AD" w:rsidRPr="0082015E" w:rsidRDefault="00A131AD" w:rsidP="00250204">
      <w:pPr>
        <w:pStyle w:val="TEKST"/>
        <w:rPr>
          <w:i/>
        </w:rPr>
      </w:pPr>
      <w:r w:rsidRPr="0082015E">
        <w:t>Visok u</w:t>
      </w:r>
      <w:r w:rsidR="00B04616">
        <w:t>dio</w:t>
      </w:r>
      <w:r w:rsidRPr="0082015E">
        <w:t xml:space="preserve"> </w:t>
      </w:r>
      <w:r w:rsidR="00B04616">
        <w:t>u</w:t>
      </w:r>
      <w:r w:rsidRPr="0082015E">
        <w:t xml:space="preserve">zdržavanog stanovništva predstavlja </w:t>
      </w:r>
      <w:r w:rsidR="00B04616">
        <w:t>važan</w:t>
      </w:r>
      <w:r w:rsidRPr="0082015E">
        <w:t xml:space="preserve"> problem za finan</w:t>
      </w:r>
      <w:r w:rsidR="00B04616">
        <w:t>c</w:t>
      </w:r>
      <w:r w:rsidRPr="0082015E">
        <w:t xml:space="preserve">iranje </w:t>
      </w:r>
      <w:r w:rsidR="00B04616">
        <w:t>mirovinskih</w:t>
      </w:r>
      <w:r w:rsidRPr="0082015E">
        <w:t xml:space="preserve"> fondova, te socijalne i zdravstvene zaštite.</w:t>
      </w:r>
    </w:p>
    <w:p w:rsidR="00A131AD" w:rsidRPr="0082015E" w:rsidRDefault="00A131AD" w:rsidP="00250204">
      <w:pPr>
        <w:pStyle w:val="TEKST"/>
        <w:rPr>
          <w:i/>
        </w:rPr>
      </w:pPr>
      <w:r w:rsidRPr="0082015E">
        <w:t>Pod „</w:t>
      </w:r>
      <w:r w:rsidR="00B04616">
        <w:t>u</w:t>
      </w:r>
      <w:r w:rsidRPr="0082015E">
        <w:t xml:space="preserve">zdržavanim stanovništvom“ se podrazumijevaju djeca mlađa od 15 godina i stanovnici stariji od 65 godina, koje </w:t>
      </w:r>
      <w:r w:rsidR="00B04616">
        <w:t>u</w:t>
      </w:r>
      <w:r w:rsidRPr="0082015E">
        <w:t xml:space="preserve">zdržava radnoaktivni dio stanovništva. Stopa </w:t>
      </w:r>
      <w:r w:rsidR="00B04616">
        <w:t>u</w:t>
      </w:r>
      <w:r w:rsidRPr="0082015E">
        <w:t>zdržavanog stanovništva održava visok</w:t>
      </w:r>
      <w:r w:rsidR="00B04616">
        <w:t>u</w:t>
      </w:r>
      <w:r w:rsidRPr="0082015E">
        <w:t xml:space="preserve"> </w:t>
      </w:r>
      <w:r w:rsidR="00B04616">
        <w:t>razinu</w:t>
      </w:r>
      <w:r w:rsidRPr="0082015E">
        <w:t xml:space="preserve"> posljednjih godina, u 2015. godini je iznosila 44,8%, što znači da je velik u</w:t>
      </w:r>
      <w:r w:rsidR="00B04616">
        <w:t>dio</w:t>
      </w:r>
      <w:r w:rsidRPr="0082015E">
        <w:t xml:space="preserve"> sta</w:t>
      </w:r>
      <w:r w:rsidR="004E6840" w:rsidRPr="0082015E">
        <w:t>novnika koji nisu radno aktivni</w:t>
      </w:r>
      <w:r w:rsidRPr="0082015E">
        <w:t xml:space="preserve">. </w:t>
      </w:r>
    </w:p>
    <w:p w:rsidR="00450B4A" w:rsidRPr="00155F80" w:rsidRDefault="00450B4A" w:rsidP="00250204">
      <w:pPr>
        <w:pStyle w:val="TEKST"/>
      </w:pPr>
    </w:p>
    <w:p w:rsidR="00A131AD" w:rsidRPr="00155F80" w:rsidRDefault="00AE2EDA" w:rsidP="0082015E">
      <w:pPr>
        <w:pStyle w:val="Poglavlje2"/>
      </w:pPr>
      <w:bookmarkStart w:id="14" w:name="_Toc422749723"/>
      <w:bookmarkStart w:id="15" w:name="_Toc456095903"/>
      <w:r>
        <w:t>2.3</w:t>
      </w:r>
      <w:r w:rsidR="00A131AD" w:rsidRPr="00155F80">
        <w:t xml:space="preserve"> Pismenost odraslih</w:t>
      </w:r>
      <w:bookmarkEnd w:id="14"/>
      <w:bookmarkEnd w:id="15"/>
    </w:p>
    <w:p w:rsidR="00A131AD" w:rsidRDefault="00A131AD" w:rsidP="00250204">
      <w:pPr>
        <w:pStyle w:val="TEKST"/>
      </w:pPr>
      <w:r w:rsidRPr="0082015E">
        <w:t>Viš</w:t>
      </w:r>
      <w:r w:rsidR="00B04616">
        <w:t>a</w:t>
      </w:r>
      <w:r w:rsidRPr="0082015E">
        <w:t xml:space="preserve"> </w:t>
      </w:r>
      <w:r w:rsidR="00B04616">
        <w:t>razina</w:t>
      </w:r>
      <w:r w:rsidRPr="0082015E">
        <w:t xml:space="preserve"> edukacije stanovništva je predu</w:t>
      </w:r>
      <w:r w:rsidR="00B04616">
        <w:t>vjet</w:t>
      </w:r>
      <w:r w:rsidRPr="0082015E">
        <w:t xml:space="preserve"> boljeg zdravlja, za što je predu</w:t>
      </w:r>
      <w:r w:rsidR="00B04616">
        <w:t>vjet</w:t>
      </w:r>
      <w:r w:rsidRPr="0082015E">
        <w:t xml:space="preserve"> pismenost. </w:t>
      </w:r>
      <w:r w:rsidR="00F30AE6">
        <w:t>K</w:t>
      </w:r>
      <w:r w:rsidRPr="0082015E">
        <w:t>ao pokazatelj pismenosti odraslog stanovništva može poslužiti stopa pismenosti žena i muškaraca u dobi od 15-24 godine, koja je prema poda</w:t>
      </w:r>
      <w:r w:rsidR="00B04616">
        <w:t>t</w:t>
      </w:r>
      <w:r w:rsidRPr="0082015E">
        <w:t xml:space="preserve">cima MICS4 istraživanja preko 99%, za žene iznosi 99,2%, a za muškarce 100%. </w:t>
      </w:r>
      <w:r w:rsidR="002F0665" w:rsidRPr="0082015E">
        <w:t>(6</w:t>
      </w:r>
      <w:r w:rsidR="00450B4A" w:rsidRPr="0082015E">
        <w:t>)</w:t>
      </w:r>
    </w:p>
    <w:p w:rsidR="00F30AE6" w:rsidRPr="00250204" w:rsidRDefault="00F30AE6" w:rsidP="00250204">
      <w:pPr>
        <w:pStyle w:val="TEKST"/>
      </w:pPr>
      <w:r w:rsidRPr="00250204">
        <w:t xml:space="preserve">Stopa pismenosti za starije od 15 godina za </w:t>
      </w:r>
      <w:r w:rsidR="00B04616">
        <w:t xml:space="preserve">europsku </w:t>
      </w:r>
      <w:r w:rsidRPr="00250204">
        <w:t>regi</w:t>
      </w:r>
      <w:r w:rsidR="00B04616">
        <w:t>ju</w:t>
      </w:r>
      <w:r w:rsidRPr="00250204">
        <w:t xml:space="preserve"> iznosi 98,5%.</w:t>
      </w:r>
    </w:p>
    <w:p w:rsidR="00F30AE6" w:rsidRDefault="00F30AE6" w:rsidP="00250204">
      <w:pPr>
        <w:pStyle w:val="TEKST"/>
      </w:pPr>
    </w:p>
    <w:p w:rsidR="00F30AE6" w:rsidRPr="0082015E" w:rsidRDefault="00F30AE6" w:rsidP="00250204">
      <w:pPr>
        <w:pStyle w:val="TEKST"/>
      </w:pPr>
    </w:p>
    <w:p w:rsidR="00993848" w:rsidRPr="00155F80" w:rsidRDefault="00993848" w:rsidP="00250204">
      <w:pPr>
        <w:pStyle w:val="TEKST"/>
      </w:pPr>
    </w:p>
    <w:p w:rsidR="001911A6" w:rsidRDefault="001911A6" w:rsidP="000C0138">
      <w:pPr>
        <w:spacing w:after="160" w:line="276" w:lineRule="auto"/>
        <w:rPr>
          <w:rFonts w:ascii="Times New Roman" w:eastAsiaTheme="minorHAnsi" w:hAnsi="Times New Roman"/>
          <w:lang w:val="bs-Latn-BA"/>
        </w:rPr>
      </w:pPr>
    </w:p>
    <w:p w:rsidR="00372B78" w:rsidRDefault="00372B78" w:rsidP="000C0138">
      <w:pPr>
        <w:spacing w:after="160" w:line="276" w:lineRule="auto"/>
        <w:rPr>
          <w:rFonts w:ascii="Times New Roman" w:eastAsiaTheme="minorHAnsi" w:hAnsi="Times New Roman"/>
          <w:lang w:val="bs-Latn-BA"/>
        </w:rPr>
      </w:pPr>
    </w:p>
    <w:p w:rsidR="00372B78" w:rsidRDefault="00372B78" w:rsidP="000C0138">
      <w:pPr>
        <w:spacing w:after="160" w:line="276" w:lineRule="auto"/>
        <w:rPr>
          <w:rFonts w:ascii="Times New Roman" w:eastAsiaTheme="minorHAnsi" w:hAnsi="Times New Roman"/>
          <w:lang w:val="bs-Latn-BA"/>
        </w:rPr>
      </w:pPr>
    </w:p>
    <w:p w:rsidR="00372B78" w:rsidRDefault="00372B78" w:rsidP="000C0138">
      <w:pPr>
        <w:spacing w:after="160" w:line="276" w:lineRule="auto"/>
        <w:rPr>
          <w:rFonts w:ascii="Times New Roman" w:eastAsiaTheme="minorHAnsi" w:hAnsi="Times New Roman"/>
          <w:lang w:val="bs-Latn-BA"/>
        </w:rPr>
      </w:pPr>
    </w:p>
    <w:p w:rsidR="00372B78" w:rsidRDefault="00372B78" w:rsidP="000C0138">
      <w:pPr>
        <w:spacing w:after="160" w:line="276" w:lineRule="auto"/>
        <w:rPr>
          <w:rFonts w:ascii="Times New Roman" w:eastAsiaTheme="minorHAnsi" w:hAnsi="Times New Roman"/>
          <w:lang w:val="bs-Latn-BA"/>
        </w:rPr>
      </w:pPr>
    </w:p>
    <w:p w:rsidR="00372B78" w:rsidRDefault="00372B78" w:rsidP="000C0138">
      <w:pPr>
        <w:spacing w:after="160" w:line="276" w:lineRule="auto"/>
        <w:rPr>
          <w:rFonts w:ascii="Times New Roman" w:eastAsiaTheme="minorHAnsi" w:hAnsi="Times New Roman"/>
          <w:lang w:val="bs-Latn-BA"/>
        </w:rPr>
      </w:pPr>
    </w:p>
    <w:p w:rsidR="00372B78" w:rsidRPr="00155F80" w:rsidRDefault="00372B78" w:rsidP="000C0138">
      <w:pPr>
        <w:spacing w:after="160" w:line="276" w:lineRule="auto"/>
        <w:rPr>
          <w:rFonts w:ascii="Times New Roman" w:eastAsiaTheme="minorHAnsi" w:hAnsi="Times New Roman"/>
          <w:lang w:val="bs-Latn-BA"/>
        </w:rPr>
      </w:pPr>
    </w:p>
    <w:p w:rsidR="00AE2EDA" w:rsidRDefault="00A131AD" w:rsidP="000C0138">
      <w:pPr>
        <w:pStyle w:val="Poglavlje1"/>
        <w:spacing w:line="276" w:lineRule="auto"/>
        <w:rPr>
          <w:rFonts w:eastAsiaTheme="minorHAnsi"/>
        </w:rPr>
      </w:pPr>
      <w:bookmarkStart w:id="16" w:name="_Toc456095904"/>
      <w:r w:rsidRPr="00155F80">
        <w:rPr>
          <w:rFonts w:eastAsiaTheme="minorHAnsi"/>
        </w:rPr>
        <w:t>POKAZATELJI ZDRAVLJA STANOVNIŠTVA</w:t>
      </w:r>
      <w:bookmarkEnd w:id="16"/>
    </w:p>
    <w:p w:rsidR="00B4366E" w:rsidRPr="00AE2EDA" w:rsidRDefault="00B4366E" w:rsidP="00B4366E">
      <w:pPr>
        <w:pStyle w:val="Poglavlje1"/>
        <w:numPr>
          <w:ilvl w:val="0"/>
          <w:numId w:val="0"/>
        </w:numPr>
        <w:spacing w:line="276" w:lineRule="auto"/>
        <w:ind w:left="720"/>
        <w:rPr>
          <w:rFonts w:eastAsiaTheme="minorHAnsi"/>
        </w:rPr>
      </w:pPr>
    </w:p>
    <w:p w:rsidR="00A131AD" w:rsidRPr="00155F80" w:rsidRDefault="00B04616" w:rsidP="000C0138">
      <w:pPr>
        <w:spacing w:after="160" w:line="276" w:lineRule="auto"/>
        <w:rPr>
          <w:rFonts w:ascii="Times New Roman" w:eastAsiaTheme="minorHAnsi" w:hAnsi="Times New Roman"/>
          <w:lang w:val="bs-Latn-BA"/>
        </w:rPr>
      </w:pPr>
      <w:r>
        <w:rPr>
          <w:rFonts w:ascii="Times New Roman" w:eastAsiaTheme="minorHAnsi" w:hAnsi="Times New Roman"/>
          <w:lang w:val="bs-Latn-BA"/>
        </w:rPr>
        <w:t>Pobol</w:t>
      </w:r>
      <w:r w:rsidR="00A131AD" w:rsidRPr="00155F80">
        <w:rPr>
          <w:rFonts w:ascii="Times New Roman" w:eastAsiaTheme="minorHAnsi" w:hAnsi="Times New Roman"/>
          <w:lang w:val="bs-Latn-BA"/>
        </w:rPr>
        <w:t xml:space="preserve"> stanovništva Federacije BiH u ovom izvješ</w:t>
      </w:r>
      <w:r>
        <w:rPr>
          <w:rFonts w:ascii="Times New Roman" w:eastAsiaTheme="minorHAnsi" w:hAnsi="Times New Roman"/>
          <w:lang w:val="bs-Latn-BA"/>
        </w:rPr>
        <w:t>ću</w:t>
      </w:r>
      <w:r w:rsidR="00A131AD" w:rsidRPr="00155F80">
        <w:rPr>
          <w:rFonts w:ascii="Times New Roman" w:eastAsiaTheme="minorHAnsi" w:hAnsi="Times New Roman"/>
          <w:lang w:val="bs-Latn-BA"/>
        </w:rPr>
        <w:t xml:space="preserve"> je prikazan za </w:t>
      </w:r>
      <w:r>
        <w:rPr>
          <w:rFonts w:ascii="Times New Roman" w:eastAsiaTheme="minorHAnsi" w:hAnsi="Times New Roman"/>
          <w:lang w:val="bs-Latn-BA"/>
        </w:rPr>
        <w:t xml:space="preserve">razdoblje </w:t>
      </w:r>
      <w:r w:rsidR="00A131AD" w:rsidRPr="00155F80">
        <w:rPr>
          <w:rFonts w:ascii="Times New Roman" w:eastAsiaTheme="minorHAnsi" w:hAnsi="Times New Roman"/>
          <w:lang w:val="bs-Latn-BA"/>
        </w:rPr>
        <w:t>od 2010</w:t>
      </w:r>
      <w:r>
        <w:rPr>
          <w:rFonts w:ascii="Times New Roman" w:eastAsiaTheme="minorHAnsi" w:hAnsi="Times New Roman"/>
          <w:lang w:val="bs-Latn-BA"/>
        </w:rPr>
        <w:t xml:space="preserve">. do </w:t>
      </w:r>
      <w:r w:rsidR="00A131AD" w:rsidRPr="00155F80">
        <w:rPr>
          <w:rFonts w:ascii="Times New Roman" w:eastAsiaTheme="minorHAnsi" w:hAnsi="Times New Roman"/>
          <w:lang w:val="bs-Latn-BA"/>
        </w:rPr>
        <w:t>2015. godine, za što su korišteni poda</w:t>
      </w:r>
      <w:r>
        <w:rPr>
          <w:rFonts w:ascii="Times New Roman" w:eastAsiaTheme="minorHAnsi" w:hAnsi="Times New Roman"/>
          <w:lang w:val="bs-Latn-BA"/>
        </w:rPr>
        <w:t>t</w:t>
      </w:r>
      <w:r w:rsidR="00A131AD" w:rsidRPr="00155F80">
        <w:rPr>
          <w:rFonts w:ascii="Times New Roman" w:eastAsiaTheme="minorHAnsi" w:hAnsi="Times New Roman"/>
          <w:lang w:val="bs-Latn-BA"/>
        </w:rPr>
        <w:t>ci iz ambulantno-polikliničke djelatnosti primarne zdravstvene zaštite, pokazatelji bolničkog morbiditeta, kao i rezultati populaci</w:t>
      </w:r>
      <w:r>
        <w:rPr>
          <w:rFonts w:ascii="Times New Roman" w:eastAsiaTheme="minorHAnsi" w:hAnsi="Times New Roman"/>
          <w:lang w:val="bs-Latn-BA"/>
        </w:rPr>
        <w:t xml:space="preserve">jskih </w:t>
      </w:r>
      <w:r w:rsidR="00A131AD" w:rsidRPr="00155F80">
        <w:rPr>
          <w:rFonts w:ascii="Times New Roman" w:eastAsiaTheme="minorHAnsi" w:hAnsi="Times New Roman"/>
          <w:lang w:val="bs-Latn-BA"/>
        </w:rPr>
        <w:t>istraživanja.</w:t>
      </w:r>
    </w:p>
    <w:p w:rsidR="00A131AD" w:rsidRPr="00155F80" w:rsidRDefault="00A131AD" w:rsidP="000C0138">
      <w:pPr>
        <w:spacing w:after="160" w:line="276" w:lineRule="auto"/>
        <w:rPr>
          <w:rFonts w:ascii="Times New Roman" w:eastAsiaTheme="minorHAnsi" w:hAnsi="Times New Roman"/>
          <w:lang w:val="bs-Latn-BA"/>
        </w:rPr>
      </w:pPr>
      <w:r w:rsidRPr="00155F80">
        <w:rPr>
          <w:rFonts w:ascii="Times New Roman" w:eastAsiaTheme="minorHAnsi" w:hAnsi="Times New Roman"/>
          <w:lang w:val="bs-Latn-BA"/>
        </w:rPr>
        <w:t xml:space="preserve">Važno je napomenuti da se mnogi </w:t>
      </w:r>
      <w:r w:rsidR="00511DCD">
        <w:rPr>
          <w:rFonts w:ascii="Times New Roman" w:eastAsiaTheme="minorHAnsi" w:hAnsi="Times New Roman"/>
          <w:lang w:val="bs-Latn-BA"/>
        </w:rPr>
        <w:t>čimbenici</w:t>
      </w:r>
      <w:r w:rsidRPr="00155F80">
        <w:rPr>
          <w:rFonts w:ascii="Times New Roman" w:eastAsiaTheme="minorHAnsi" w:hAnsi="Times New Roman"/>
          <w:lang w:val="bs-Latn-BA"/>
        </w:rPr>
        <w:t xml:space="preserve"> rizika po zdravlje stanovništva nalaze izvan zdravstvenog s</w:t>
      </w:r>
      <w:r w:rsidR="00511DCD">
        <w:rPr>
          <w:rFonts w:ascii="Times New Roman" w:eastAsiaTheme="minorHAnsi" w:hAnsi="Times New Roman"/>
          <w:lang w:val="bs-Latn-BA"/>
        </w:rPr>
        <w:t>ustava</w:t>
      </w:r>
      <w:r w:rsidRPr="00155F80">
        <w:rPr>
          <w:rFonts w:ascii="Times New Roman" w:eastAsiaTheme="minorHAnsi" w:hAnsi="Times New Roman"/>
          <w:lang w:val="bs-Latn-BA"/>
        </w:rPr>
        <w:t>, što je prikazano i slikom koja slijedi.</w:t>
      </w:r>
    </w:p>
    <w:p w:rsidR="00A131AD" w:rsidRPr="00155F80" w:rsidRDefault="00A131AD" w:rsidP="00EB7CC7">
      <w:pPr>
        <w:pStyle w:val="refererere"/>
        <w:rPr>
          <w:rFonts w:eastAsiaTheme="minorHAnsi"/>
          <w:lang w:val="bs-Latn-BA"/>
        </w:rPr>
      </w:pPr>
      <w:r w:rsidRPr="00155F80">
        <w:rPr>
          <w:rFonts w:eastAsiaTheme="minorHAnsi"/>
          <w:lang w:val="bs-Latn-BA"/>
        </w:rPr>
        <w:t xml:space="preserve">Slika1: </w:t>
      </w:r>
      <w:r w:rsidR="00511DCD">
        <w:rPr>
          <w:rFonts w:eastAsiaTheme="minorHAnsi"/>
          <w:lang w:val="bs-Latn-BA"/>
        </w:rPr>
        <w:t>Čimbenici</w:t>
      </w:r>
      <w:r w:rsidRPr="00155F80">
        <w:rPr>
          <w:rFonts w:eastAsiaTheme="minorHAnsi"/>
          <w:lang w:val="bs-Latn-BA"/>
        </w:rPr>
        <w:t xml:space="preserve"> rizika po zdravlje stanovništva</w:t>
      </w:r>
    </w:p>
    <w:p w:rsidR="00A131AD" w:rsidRPr="00155F80" w:rsidRDefault="00A131AD" w:rsidP="000C0138">
      <w:pPr>
        <w:spacing w:after="160" w:line="276" w:lineRule="auto"/>
        <w:rPr>
          <w:rFonts w:ascii="Times New Roman" w:eastAsiaTheme="minorHAnsi" w:hAnsi="Times New Roman"/>
          <w:lang w:val="bs-Latn-BA"/>
        </w:rPr>
      </w:pPr>
      <w:r w:rsidRPr="00155F80">
        <w:rPr>
          <w:rFonts w:ascii="Times New Roman" w:eastAsiaTheme="minorHAnsi" w:hAnsi="Times New Roman"/>
          <w:noProof/>
          <w:lang w:val="bs-Latn-BA" w:eastAsia="bs-Latn-BA"/>
        </w:rPr>
        <w:drawing>
          <wp:inline distT="0" distB="0" distL="0" distR="0" wp14:anchorId="5ABD735A" wp14:editId="30FF2E52">
            <wp:extent cx="5760720" cy="3601151"/>
            <wp:effectExtent l="0" t="0" r="0" b="0"/>
            <wp:docPr id="2" name="Picture 2" descr="C:\Users\Korisnik\Desktop\bos-generalno socioekonoms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orisnik\Desktop\bos-generalno socioekonomski.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60720" cy="3601151"/>
                    </a:xfrm>
                    <a:prstGeom prst="rect">
                      <a:avLst/>
                    </a:prstGeom>
                    <a:noFill/>
                    <a:ln>
                      <a:noFill/>
                    </a:ln>
                  </pic:spPr>
                </pic:pic>
              </a:graphicData>
            </a:graphic>
          </wp:inline>
        </w:drawing>
      </w:r>
    </w:p>
    <w:p w:rsidR="00A131AD" w:rsidRDefault="001911A6" w:rsidP="000C0138">
      <w:pPr>
        <w:pStyle w:val="Poglavlje2"/>
        <w:spacing w:line="276" w:lineRule="auto"/>
      </w:pPr>
      <w:bookmarkStart w:id="17" w:name="_Toc456095905"/>
      <w:r w:rsidRPr="00155F80">
        <w:lastRenderedPageBreak/>
        <w:t xml:space="preserve">3.1 </w:t>
      </w:r>
      <w:r w:rsidR="00AD6501">
        <w:t>Mortalitet (u</w:t>
      </w:r>
      <w:r w:rsidR="00A131AD" w:rsidRPr="00155F80">
        <w:t>miranje</w:t>
      </w:r>
      <w:r w:rsidR="00AD6501">
        <w:t>)</w:t>
      </w:r>
      <w:bookmarkEnd w:id="17"/>
      <w:r w:rsidR="00A131AD" w:rsidRPr="00155F80">
        <w:t xml:space="preserve"> </w:t>
      </w:r>
    </w:p>
    <w:p w:rsidR="00AE2EDA" w:rsidRPr="00155F80" w:rsidRDefault="00AE2EDA" w:rsidP="000C0138">
      <w:pPr>
        <w:pStyle w:val="Poglavlje2"/>
        <w:spacing w:line="276" w:lineRule="auto"/>
      </w:pPr>
    </w:p>
    <w:p w:rsidR="00A131AD" w:rsidRPr="00155F80" w:rsidRDefault="001911A6" w:rsidP="000C0138">
      <w:pPr>
        <w:pStyle w:val="Poglavlje3"/>
        <w:spacing w:line="276" w:lineRule="auto"/>
        <w:rPr>
          <w:i w:val="0"/>
        </w:rPr>
      </w:pPr>
      <w:bookmarkStart w:id="18" w:name="_Toc456095906"/>
      <w:r w:rsidRPr="00155F80">
        <w:rPr>
          <w:i w:val="0"/>
        </w:rPr>
        <w:t xml:space="preserve">3.1.1 </w:t>
      </w:r>
      <w:r w:rsidR="00A131AD" w:rsidRPr="00155F80">
        <w:rPr>
          <w:i w:val="0"/>
        </w:rPr>
        <w:t>Op</w:t>
      </w:r>
      <w:r w:rsidR="00511DCD">
        <w:rPr>
          <w:i w:val="0"/>
        </w:rPr>
        <w:t>ć</w:t>
      </w:r>
      <w:r w:rsidR="00A131AD" w:rsidRPr="00155F80">
        <w:rPr>
          <w:i w:val="0"/>
        </w:rPr>
        <w:t>i mortalitet</w:t>
      </w:r>
      <w:bookmarkEnd w:id="18"/>
      <w:r w:rsidR="00A131AD" w:rsidRPr="00155F80">
        <w:rPr>
          <w:i w:val="0"/>
        </w:rPr>
        <w:t xml:space="preserve"> </w:t>
      </w:r>
    </w:p>
    <w:p w:rsidR="00A131AD" w:rsidRPr="00155F80" w:rsidRDefault="00A131AD" w:rsidP="000C0138">
      <w:pPr>
        <w:pStyle w:val="Default"/>
        <w:spacing w:line="276" w:lineRule="auto"/>
        <w:jc w:val="both"/>
        <w:rPr>
          <w:rFonts w:ascii="Times New Roman" w:hAnsi="Times New Roman" w:cs="Times New Roman"/>
          <w:sz w:val="22"/>
          <w:szCs w:val="22"/>
        </w:rPr>
      </w:pPr>
    </w:p>
    <w:p w:rsidR="002F0665" w:rsidRPr="00155F80" w:rsidRDefault="002F0665" w:rsidP="000C0138">
      <w:pPr>
        <w:pStyle w:val="Default"/>
        <w:spacing w:line="276" w:lineRule="auto"/>
        <w:jc w:val="both"/>
        <w:rPr>
          <w:rFonts w:ascii="Times New Roman" w:hAnsi="Times New Roman" w:cs="Times New Roman"/>
          <w:sz w:val="22"/>
          <w:szCs w:val="22"/>
        </w:rPr>
      </w:pPr>
      <w:r w:rsidRPr="00155F80">
        <w:rPr>
          <w:rFonts w:ascii="Times New Roman" w:hAnsi="Times New Roman" w:cs="Times New Roman"/>
          <w:sz w:val="22"/>
          <w:szCs w:val="22"/>
        </w:rPr>
        <w:t>Op</w:t>
      </w:r>
      <w:r w:rsidR="00511DCD">
        <w:rPr>
          <w:rFonts w:ascii="Times New Roman" w:hAnsi="Times New Roman" w:cs="Times New Roman"/>
          <w:sz w:val="22"/>
          <w:szCs w:val="22"/>
        </w:rPr>
        <w:t>ć</w:t>
      </w:r>
      <w:r w:rsidRPr="00155F80">
        <w:rPr>
          <w:rFonts w:ascii="Times New Roman" w:hAnsi="Times New Roman" w:cs="Times New Roman"/>
          <w:sz w:val="22"/>
          <w:szCs w:val="22"/>
        </w:rPr>
        <w:t xml:space="preserve">a smrtnost stanovništva je </w:t>
      </w:r>
      <w:r w:rsidR="00511DCD">
        <w:rPr>
          <w:rFonts w:ascii="Times New Roman" w:hAnsi="Times New Roman" w:cs="Times New Roman"/>
          <w:sz w:val="22"/>
          <w:szCs w:val="22"/>
        </w:rPr>
        <w:t>važan</w:t>
      </w:r>
      <w:r w:rsidRPr="00155F80">
        <w:rPr>
          <w:rFonts w:ascii="Times New Roman" w:hAnsi="Times New Roman" w:cs="Times New Roman"/>
          <w:sz w:val="22"/>
          <w:szCs w:val="22"/>
        </w:rPr>
        <w:t xml:space="preserve">, ali ne i precizan zdravstveni </w:t>
      </w:r>
      <w:r w:rsidR="00511DCD">
        <w:rPr>
          <w:rFonts w:ascii="Times New Roman" w:hAnsi="Times New Roman" w:cs="Times New Roman"/>
          <w:sz w:val="22"/>
          <w:szCs w:val="22"/>
        </w:rPr>
        <w:t>indikator</w:t>
      </w:r>
      <w:r w:rsidRPr="00155F80">
        <w:rPr>
          <w:rFonts w:ascii="Times New Roman" w:hAnsi="Times New Roman" w:cs="Times New Roman"/>
          <w:sz w:val="22"/>
          <w:szCs w:val="22"/>
        </w:rPr>
        <w:t xml:space="preserve"> i njena vrijednost je odraz izraženog procesa starenja populacije i shodno tome, dominantne patologije vezane za starenje. </w:t>
      </w:r>
    </w:p>
    <w:p w:rsidR="002F0665" w:rsidRPr="00155F80" w:rsidRDefault="002F0665" w:rsidP="000C0138">
      <w:pPr>
        <w:pStyle w:val="Default"/>
        <w:spacing w:line="276" w:lineRule="auto"/>
        <w:jc w:val="both"/>
        <w:rPr>
          <w:rFonts w:ascii="Times New Roman" w:hAnsi="Times New Roman" w:cs="Times New Roman"/>
          <w:sz w:val="22"/>
          <w:szCs w:val="22"/>
        </w:rPr>
      </w:pPr>
    </w:p>
    <w:p w:rsidR="00A131AD" w:rsidRPr="00155F80" w:rsidRDefault="002F0665" w:rsidP="000C0138">
      <w:pPr>
        <w:pStyle w:val="Default"/>
        <w:spacing w:line="276" w:lineRule="auto"/>
        <w:jc w:val="both"/>
        <w:rPr>
          <w:rFonts w:ascii="Times New Roman" w:hAnsi="Times New Roman" w:cs="Times New Roman"/>
          <w:sz w:val="22"/>
          <w:szCs w:val="22"/>
        </w:rPr>
      </w:pPr>
      <w:r>
        <w:rPr>
          <w:rFonts w:ascii="Times New Roman" w:hAnsi="Times New Roman" w:cs="Times New Roman"/>
          <w:sz w:val="22"/>
          <w:szCs w:val="22"/>
        </w:rPr>
        <w:t>Prema poda</w:t>
      </w:r>
      <w:r w:rsidR="00511DCD">
        <w:rPr>
          <w:rFonts w:ascii="Times New Roman" w:hAnsi="Times New Roman" w:cs="Times New Roman"/>
          <w:sz w:val="22"/>
          <w:szCs w:val="22"/>
        </w:rPr>
        <w:t>t</w:t>
      </w:r>
      <w:r>
        <w:rPr>
          <w:rFonts w:ascii="Times New Roman" w:hAnsi="Times New Roman" w:cs="Times New Roman"/>
          <w:sz w:val="22"/>
          <w:szCs w:val="22"/>
        </w:rPr>
        <w:t>cima Federalnog zavoda za statistiku, u</w:t>
      </w:r>
      <w:r w:rsidR="00A131AD" w:rsidRPr="00155F80">
        <w:rPr>
          <w:rFonts w:ascii="Times New Roman" w:hAnsi="Times New Roman" w:cs="Times New Roman"/>
          <w:sz w:val="22"/>
          <w:szCs w:val="22"/>
        </w:rPr>
        <w:t xml:space="preserve"> Federaciji BiH je 2015. godine </w:t>
      </w:r>
      <w:r>
        <w:rPr>
          <w:rFonts w:ascii="Times New Roman" w:hAnsi="Times New Roman" w:cs="Times New Roman"/>
          <w:sz w:val="22"/>
          <w:szCs w:val="22"/>
        </w:rPr>
        <w:t xml:space="preserve">umrlo </w:t>
      </w:r>
      <w:r w:rsidR="00AE2EDA" w:rsidRPr="00AE2EDA">
        <w:rPr>
          <w:rFonts w:ascii="Times New Roman" w:hAnsi="Times New Roman" w:cs="Times New Roman"/>
          <w:sz w:val="22"/>
          <w:szCs w:val="22"/>
        </w:rPr>
        <w:t xml:space="preserve">21.474 </w:t>
      </w:r>
      <w:r>
        <w:rPr>
          <w:rFonts w:ascii="Times New Roman" w:hAnsi="Times New Roman" w:cs="Times New Roman"/>
          <w:sz w:val="22"/>
          <w:szCs w:val="22"/>
        </w:rPr>
        <w:t xml:space="preserve">stanovnika, pa je </w:t>
      </w:r>
      <w:r w:rsidR="00A131AD" w:rsidRPr="00155F80">
        <w:rPr>
          <w:rFonts w:ascii="Times New Roman" w:hAnsi="Times New Roman" w:cs="Times New Roman"/>
          <w:sz w:val="22"/>
          <w:szCs w:val="22"/>
        </w:rPr>
        <w:t>stopa op</w:t>
      </w:r>
      <w:r w:rsidR="00511DCD">
        <w:rPr>
          <w:rFonts w:ascii="Times New Roman" w:hAnsi="Times New Roman" w:cs="Times New Roman"/>
          <w:sz w:val="22"/>
          <w:szCs w:val="22"/>
        </w:rPr>
        <w:t>ć</w:t>
      </w:r>
      <w:r w:rsidR="00A131AD" w:rsidRPr="00155F80">
        <w:rPr>
          <w:rFonts w:ascii="Times New Roman" w:hAnsi="Times New Roman" w:cs="Times New Roman"/>
          <w:sz w:val="22"/>
          <w:szCs w:val="22"/>
        </w:rPr>
        <w:t>eg mortali</w:t>
      </w:r>
      <w:r>
        <w:rPr>
          <w:rFonts w:ascii="Times New Roman" w:hAnsi="Times New Roman" w:cs="Times New Roman"/>
          <w:sz w:val="22"/>
          <w:szCs w:val="22"/>
        </w:rPr>
        <w:t>t</w:t>
      </w:r>
      <w:r w:rsidR="00A131AD" w:rsidRPr="00155F80">
        <w:rPr>
          <w:rFonts w:ascii="Times New Roman" w:hAnsi="Times New Roman" w:cs="Times New Roman"/>
          <w:sz w:val="22"/>
          <w:szCs w:val="22"/>
        </w:rPr>
        <w:t xml:space="preserve">eta </w:t>
      </w:r>
      <w:r w:rsidR="008206E3" w:rsidRPr="00155F80">
        <w:rPr>
          <w:rFonts w:ascii="Times New Roman" w:hAnsi="Times New Roman" w:cs="Times New Roman"/>
          <w:sz w:val="22"/>
          <w:szCs w:val="22"/>
        </w:rPr>
        <w:t xml:space="preserve">iznosila 929,7 </w:t>
      </w:r>
      <w:r w:rsidR="00A131AD" w:rsidRPr="00155F80">
        <w:rPr>
          <w:rFonts w:ascii="Times New Roman" w:hAnsi="Times New Roman" w:cs="Times New Roman"/>
          <w:sz w:val="22"/>
          <w:szCs w:val="22"/>
        </w:rPr>
        <w:t xml:space="preserve">na 100.000 stanovnika što je blagi rast u </w:t>
      </w:r>
      <w:r w:rsidR="00511DCD">
        <w:rPr>
          <w:rFonts w:ascii="Times New Roman" w:hAnsi="Times New Roman" w:cs="Times New Roman"/>
          <w:sz w:val="22"/>
          <w:szCs w:val="22"/>
        </w:rPr>
        <w:t xml:space="preserve">usporedbi </w:t>
      </w:r>
      <w:r w:rsidR="00A131AD" w:rsidRPr="00155F80">
        <w:rPr>
          <w:rFonts w:ascii="Times New Roman" w:hAnsi="Times New Roman" w:cs="Times New Roman"/>
          <w:sz w:val="22"/>
          <w:szCs w:val="22"/>
        </w:rPr>
        <w:t>sa 2010. godinom kad</w:t>
      </w:r>
      <w:r w:rsidR="00511DCD">
        <w:rPr>
          <w:rFonts w:ascii="Times New Roman" w:hAnsi="Times New Roman" w:cs="Times New Roman"/>
          <w:sz w:val="22"/>
          <w:szCs w:val="22"/>
        </w:rPr>
        <w:t>a</w:t>
      </w:r>
      <w:r w:rsidR="00A131AD" w:rsidRPr="00155F80">
        <w:rPr>
          <w:rFonts w:ascii="Times New Roman" w:hAnsi="Times New Roman" w:cs="Times New Roman"/>
          <w:sz w:val="22"/>
          <w:szCs w:val="22"/>
        </w:rPr>
        <w:t xml:space="preserve"> je stopa op</w:t>
      </w:r>
      <w:r w:rsidR="00511DCD">
        <w:rPr>
          <w:rFonts w:ascii="Times New Roman" w:hAnsi="Times New Roman" w:cs="Times New Roman"/>
          <w:sz w:val="22"/>
          <w:szCs w:val="22"/>
        </w:rPr>
        <w:t>ć</w:t>
      </w:r>
      <w:r w:rsidR="00A131AD" w:rsidRPr="00155F80">
        <w:rPr>
          <w:rFonts w:ascii="Times New Roman" w:hAnsi="Times New Roman" w:cs="Times New Roman"/>
          <w:sz w:val="22"/>
          <w:szCs w:val="22"/>
        </w:rPr>
        <w:t>eg mortalieta na 100.000 stanovnika iznosila 876,2.</w:t>
      </w:r>
    </w:p>
    <w:p w:rsidR="00262AD1" w:rsidRDefault="00262AD1" w:rsidP="000C0138">
      <w:pPr>
        <w:pStyle w:val="Default"/>
        <w:spacing w:line="276" w:lineRule="auto"/>
        <w:jc w:val="both"/>
        <w:rPr>
          <w:rFonts w:ascii="Times New Roman" w:hAnsi="Times New Roman" w:cs="Times New Roman"/>
          <w:sz w:val="22"/>
          <w:szCs w:val="22"/>
        </w:rPr>
      </w:pPr>
    </w:p>
    <w:p w:rsidR="00A131AD" w:rsidRDefault="00A131AD" w:rsidP="000C0138">
      <w:pPr>
        <w:pStyle w:val="Default"/>
        <w:spacing w:line="276" w:lineRule="auto"/>
        <w:jc w:val="both"/>
        <w:rPr>
          <w:rFonts w:ascii="Times New Roman" w:hAnsi="Times New Roman" w:cs="Times New Roman"/>
          <w:sz w:val="22"/>
          <w:szCs w:val="22"/>
        </w:rPr>
      </w:pPr>
      <w:r w:rsidRPr="00155F80">
        <w:rPr>
          <w:rFonts w:ascii="Times New Roman" w:hAnsi="Times New Roman" w:cs="Times New Roman"/>
          <w:sz w:val="22"/>
          <w:szCs w:val="22"/>
        </w:rPr>
        <w:t xml:space="preserve">Standardizirana stopa smrtnosti za sve uzroke i sve dobi za Federaciju BiH </w:t>
      </w:r>
      <w:r w:rsidR="004E6840">
        <w:rPr>
          <w:rFonts w:ascii="Times New Roman" w:hAnsi="Times New Roman" w:cs="Times New Roman"/>
          <w:sz w:val="22"/>
          <w:szCs w:val="22"/>
        </w:rPr>
        <w:t>u p</w:t>
      </w:r>
      <w:r w:rsidR="00511DCD">
        <w:rPr>
          <w:rFonts w:ascii="Times New Roman" w:hAnsi="Times New Roman" w:cs="Times New Roman"/>
          <w:sz w:val="22"/>
          <w:szCs w:val="22"/>
        </w:rPr>
        <w:t>r</w:t>
      </w:r>
      <w:r w:rsidR="004E6840">
        <w:rPr>
          <w:rFonts w:ascii="Times New Roman" w:hAnsi="Times New Roman" w:cs="Times New Roman"/>
          <w:sz w:val="22"/>
          <w:szCs w:val="22"/>
        </w:rPr>
        <w:t xml:space="preserve">omatranom </w:t>
      </w:r>
      <w:r w:rsidR="00511DCD">
        <w:rPr>
          <w:rFonts w:ascii="Times New Roman" w:hAnsi="Times New Roman" w:cs="Times New Roman"/>
          <w:sz w:val="22"/>
          <w:szCs w:val="22"/>
        </w:rPr>
        <w:t>razdoblju</w:t>
      </w:r>
      <w:r w:rsidR="004E6840">
        <w:rPr>
          <w:rFonts w:ascii="Times New Roman" w:hAnsi="Times New Roman" w:cs="Times New Roman"/>
          <w:sz w:val="22"/>
          <w:szCs w:val="22"/>
        </w:rPr>
        <w:t xml:space="preserve"> </w:t>
      </w:r>
      <w:r w:rsidRPr="00155F80">
        <w:rPr>
          <w:rFonts w:ascii="Times New Roman" w:hAnsi="Times New Roman" w:cs="Times New Roman"/>
          <w:sz w:val="22"/>
          <w:szCs w:val="22"/>
        </w:rPr>
        <w:t xml:space="preserve">pokazuje kontinuiranu vrijednost, s </w:t>
      </w:r>
      <w:r w:rsidR="00262AD1">
        <w:rPr>
          <w:rFonts w:ascii="Times New Roman" w:hAnsi="Times New Roman" w:cs="Times New Roman"/>
          <w:sz w:val="22"/>
          <w:szCs w:val="22"/>
        </w:rPr>
        <w:t>po</w:t>
      </w:r>
      <w:r w:rsidR="00511DCD">
        <w:rPr>
          <w:rFonts w:ascii="Times New Roman" w:hAnsi="Times New Roman" w:cs="Times New Roman"/>
          <w:sz w:val="22"/>
          <w:szCs w:val="22"/>
        </w:rPr>
        <w:t>rastom</w:t>
      </w:r>
      <w:r w:rsidRPr="00155F80">
        <w:rPr>
          <w:rFonts w:ascii="Times New Roman" w:hAnsi="Times New Roman" w:cs="Times New Roman"/>
          <w:sz w:val="22"/>
          <w:szCs w:val="22"/>
        </w:rPr>
        <w:t xml:space="preserve"> u 2015. godini.</w:t>
      </w:r>
    </w:p>
    <w:p w:rsidR="00B74B6A" w:rsidRPr="00155F80" w:rsidRDefault="00B74B6A" w:rsidP="000C0138">
      <w:pPr>
        <w:pStyle w:val="Default"/>
        <w:spacing w:line="276" w:lineRule="auto"/>
        <w:jc w:val="both"/>
        <w:rPr>
          <w:rFonts w:ascii="Times New Roman" w:hAnsi="Times New Roman" w:cs="Times New Roman"/>
          <w:sz w:val="22"/>
          <w:szCs w:val="22"/>
        </w:rPr>
      </w:pPr>
    </w:p>
    <w:p w:rsidR="00A131AD" w:rsidRPr="00155F80" w:rsidRDefault="00A131AD" w:rsidP="000C0138">
      <w:pPr>
        <w:spacing w:line="276" w:lineRule="auto"/>
        <w:rPr>
          <w:rFonts w:ascii="Times New Roman" w:hAnsi="Times New Roman"/>
          <w:color w:val="000000"/>
          <w:lang w:eastAsia="bs-Latn-BA"/>
        </w:rPr>
      </w:pPr>
    </w:p>
    <w:p w:rsidR="009A5B2B" w:rsidRPr="00155F80" w:rsidRDefault="009A5B2B" w:rsidP="000C0138">
      <w:pPr>
        <w:spacing w:after="160" w:line="276" w:lineRule="auto"/>
        <w:jc w:val="left"/>
        <w:rPr>
          <w:rFonts w:ascii="Times New Roman" w:eastAsiaTheme="minorHAnsi" w:hAnsi="Times New Roman"/>
          <w:iCs/>
          <w:color w:val="000000"/>
          <w:lang w:val="bs-Latn-BA"/>
        </w:rPr>
      </w:pPr>
      <w:r w:rsidRPr="00155F80">
        <w:rPr>
          <w:rFonts w:ascii="Times New Roman" w:hAnsi="Times New Roman"/>
          <w:iCs/>
        </w:rPr>
        <w:br w:type="page"/>
      </w:r>
    </w:p>
    <w:p w:rsidR="00A131AD" w:rsidRPr="00155F80" w:rsidRDefault="00A131AD" w:rsidP="00EB7CC7">
      <w:pPr>
        <w:pStyle w:val="refererere"/>
      </w:pPr>
      <w:r w:rsidRPr="00155F80">
        <w:lastRenderedPageBreak/>
        <w:t>Grafikon 6: Op</w:t>
      </w:r>
      <w:r w:rsidR="00511DCD">
        <w:t>ć</w:t>
      </w:r>
      <w:r w:rsidRPr="00155F80">
        <w:t xml:space="preserve">a i standardizirana stopa mortaliteta (SDR) u Federaciji BiH, za </w:t>
      </w:r>
      <w:r w:rsidR="00511DCD">
        <w:t>razdoblje 2010</w:t>
      </w:r>
      <w:r w:rsidRPr="00155F80">
        <w:rPr>
          <w:rFonts w:ascii="Cambria Math" w:hAnsi="Cambria Math" w:cs="Cambria Math"/>
        </w:rPr>
        <w:t>‐</w:t>
      </w:r>
      <w:r w:rsidRPr="00155F80">
        <w:t xml:space="preserve">2015.godina, stopa na 100.000 stanovnika </w:t>
      </w:r>
    </w:p>
    <w:p w:rsidR="00A131AD" w:rsidRPr="00155F80" w:rsidRDefault="00A131AD" w:rsidP="000C0138">
      <w:pPr>
        <w:pStyle w:val="Default"/>
        <w:spacing w:line="276" w:lineRule="auto"/>
        <w:jc w:val="both"/>
        <w:rPr>
          <w:rFonts w:ascii="Times New Roman" w:hAnsi="Times New Roman" w:cs="Times New Roman"/>
          <w:sz w:val="22"/>
          <w:szCs w:val="22"/>
        </w:rPr>
      </w:pPr>
      <w:r w:rsidRPr="00155F80">
        <w:rPr>
          <w:rFonts w:ascii="Times New Roman" w:hAnsi="Times New Roman" w:cs="Times New Roman"/>
          <w:noProof/>
          <w:sz w:val="22"/>
          <w:szCs w:val="22"/>
          <w:lang w:eastAsia="bs-Latn-BA"/>
        </w:rPr>
        <w:drawing>
          <wp:inline distT="0" distB="0" distL="0" distR="0" wp14:anchorId="48A0C579" wp14:editId="5AC489F3">
            <wp:extent cx="5630779" cy="2101850"/>
            <wp:effectExtent l="0" t="0" r="8255" b="12700"/>
            <wp:docPr id="53" name="Chart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A131AD" w:rsidRPr="00155F80" w:rsidRDefault="008206E3" w:rsidP="00C77EBB">
      <w:pPr>
        <w:pStyle w:val="Default"/>
        <w:spacing w:before="240" w:line="276" w:lineRule="auto"/>
        <w:jc w:val="both"/>
        <w:rPr>
          <w:rFonts w:ascii="Times New Roman" w:hAnsi="Times New Roman" w:cs="Times New Roman"/>
          <w:iCs/>
          <w:sz w:val="22"/>
          <w:szCs w:val="22"/>
        </w:rPr>
      </w:pPr>
      <w:r w:rsidRPr="00155F80">
        <w:rPr>
          <w:rFonts w:ascii="Times New Roman" w:hAnsi="Times New Roman" w:cs="Times New Roman"/>
          <w:iCs/>
          <w:sz w:val="22"/>
          <w:szCs w:val="22"/>
        </w:rPr>
        <w:t>Standardizirana stopa</w:t>
      </w:r>
      <w:r w:rsidR="00A131AD" w:rsidRPr="00155F80">
        <w:rPr>
          <w:rFonts w:ascii="Times New Roman" w:hAnsi="Times New Roman" w:cs="Times New Roman"/>
          <w:iCs/>
          <w:sz w:val="22"/>
          <w:szCs w:val="22"/>
        </w:rPr>
        <w:t xml:space="preserve"> mortaliteta za sve uzroke i sve dobne grupe na 100.000 stanovnika za 2015. godinu za F BiH bila je 762,2 i nešto je lošija u </w:t>
      </w:r>
      <w:r w:rsidR="00511DCD">
        <w:rPr>
          <w:rFonts w:ascii="Times New Roman" w:hAnsi="Times New Roman" w:cs="Times New Roman"/>
          <w:iCs/>
          <w:sz w:val="22"/>
          <w:szCs w:val="22"/>
        </w:rPr>
        <w:t>usporedbi</w:t>
      </w:r>
      <w:r w:rsidR="00A131AD" w:rsidRPr="00155F80">
        <w:rPr>
          <w:rFonts w:ascii="Times New Roman" w:hAnsi="Times New Roman" w:cs="Times New Roman"/>
          <w:iCs/>
          <w:sz w:val="22"/>
          <w:szCs w:val="22"/>
        </w:rPr>
        <w:t xml:space="preserve"> sa EU i Hrvatskom, dok je isto</w:t>
      </w:r>
      <w:r w:rsidR="00511DCD">
        <w:rPr>
          <w:rFonts w:ascii="Times New Roman" w:hAnsi="Times New Roman" w:cs="Times New Roman"/>
          <w:iCs/>
          <w:sz w:val="22"/>
          <w:szCs w:val="22"/>
        </w:rPr>
        <w:t>dobno</w:t>
      </w:r>
      <w:r w:rsidR="00A131AD" w:rsidRPr="00155F80">
        <w:rPr>
          <w:rFonts w:ascii="Times New Roman" w:hAnsi="Times New Roman" w:cs="Times New Roman"/>
          <w:iCs/>
          <w:sz w:val="22"/>
          <w:szCs w:val="22"/>
        </w:rPr>
        <w:t xml:space="preserve"> bolja ako poredimo </w:t>
      </w:r>
      <w:r w:rsidR="005F7D3A" w:rsidRPr="00155F80">
        <w:rPr>
          <w:rFonts w:ascii="Times New Roman" w:hAnsi="Times New Roman" w:cs="Times New Roman"/>
          <w:iCs/>
          <w:sz w:val="22"/>
          <w:szCs w:val="22"/>
        </w:rPr>
        <w:t>sa Mađarskom, Rumunijom i Bugarskom</w:t>
      </w:r>
      <w:r w:rsidR="00A131AD" w:rsidRPr="00155F80">
        <w:rPr>
          <w:rFonts w:ascii="Times New Roman" w:hAnsi="Times New Roman" w:cs="Times New Roman"/>
          <w:iCs/>
          <w:sz w:val="22"/>
          <w:szCs w:val="22"/>
        </w:rPr>
        <w:t>.</w:t>
      </w:r>
    </w:p>
    <w:p w:rsidR="00A131AD" w:rsidRPr="00155F80" w:rsidRDefault="00A131AD" w:rsidP="000C0138">
      <w:pPr>
        <w:pStyle w:val="Default"/>
        <w:spacing w:line="276" w:lineRule="auto"/>
        <w:jc w:val="both"/>
        <w:rPr>
          <w:rFonts w:ascii="Times New Roman" w:hAnsi="Times New Roman" w:cs="Times New Roman"/>
          <w:iCs/>
          <w:sz w:val="22"/>
          <w:szCs w:val="22"/>
        </w:rPr>
      </w:pPr>
    </w:p>
    <w:p w:rsidR="00A131AD" w:rsidRPr="00155F80" w:rsidRDefault="00A131AD" w:rsidP="00EB7CC7">
      <w:pPr>
        <w:pStyle w:val="refererere"/>
      </w:pPr>
      <w:r w:rsidRPr="00155F80">
        <w:t>Grafikon 7: SDR mortaliteta za sve uzroke i sve dobi na 100.000 stanovnika* za 2015. godinu</w:t>
      </w:r>
    </w:p>
    <w:p w:rsidR="00A131AD" w:rsidRPr="00155F80" w:rsidRDefault="00A131AD" w:rsidP="000C0138">
      <w:pPr>
        <w:pStyle w:val="Default"/>
        <w:spacing w:line="276" w:lineRule="auto"/>
        <w:jc w:val="both"/>
        <w:rPr>
          <w:rFonts w:ascii="Times New Roman" w:hAnsi="Times New Roman" w:cs="Times New Roman"/>
          <w:sz w:val="22"/>
          <w:szCs w:val="22"/>
        </w:rPr>
      </w:pPr>
      <w:r w:rsidRPr="00155F80">
        <w:rPr>
          <w:rFonts w:ascii="Times New Roman" w:hAnsi="Times New Roman" w:cs="Times New Roman"/>
          <w:noProof/>
          <w:sz w:val="22"/>
          <w:szCs w:val="22"/>
          <w:lang w:eastAsia="bs-Latn-BA"/>
        </w:rPr>
        <w:drawing>
          <wp:inline distT="0" distB="0" distL="0" distR="0" wp14:anchorId="40ED04B2" wp14:editId="5FD9FD33">
            <wp:extent cx="5648325" cy="1838325"/>
            <wp:effectExtent l="0" t="0" r="9525" b="9525"/>
            <wp:docPr id="54"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A131AD" w:rsidRPr="00155F80" w:rsidRDefault="00A131AD" w:rsidP="000C0138">
      <w:pPr>
        <w:pStyle w:val="Default"/>
        <w:spacing w:line="276" w:lineRule="auto"/>
        <w:jc w:val="both"/>
        <w:rPr>
          <w:rFonts w:ascii="Times New Roman" w:hAnsi="Times New Roman" w:cs="Times New Roman"/>
          <w:iCs/>
          <w:sz w:val="22"/>
          <w:szCs w:val="22"/>
        </w:rPr>
      </w:pPr>
      <w:r w:rsidRPr="00155F80">
        <w:rPr>
          <w:rFonts w:ascii="Times New Roman" w:hAnsi="Times New Roman" w:cs="Times New Roman"/>
          <w:iCs/>
          <w:sz w:val="22"/>
          <w:szCs w:val="22"/>
        </w:rPr>
        <w:t>*za FBiH se odnosi na procijenjeno stanovništvo</w:t>
      </w:r>
    </w:p>
    <w:p w:rsidR="00A131AD" w:rsidRPr="00155F80" w:rsidRDefault="00A131AD" w:rsidP="000C0138">
      <w:pPr>
        <w:pStyle w:val="Default"/>
        <w:spacing w:line="276" w:lineRule="auto"/>
        <w:jc w:val="both"/>
        <w:rPr>
          <w:rFonts w:ascii="Times New Roman" w:hAnsi="Times New Roman" w:cs="Times New Roman"/>
          <w:iCs/>
          <w:sz w:val="22"/>
          <w:szCs w:val="22"/>
        </w:rPr>
      </w:pPr>
    </w:p>
    <w:p w:rsidR="009A5B2B" w:rsidRDefault="008206E3" w:rsidP="00C77EBB">
      <w:pPr>
        <w:pStyle w:val="Default"/>
        <w:spacing w:line="276" w:lineRule="auto"/>
        <w:jc w:val="both"/>
        <w:rPr>
          <w:rFonts w:ascii="Times New Roman" w:hAnsi="Times New Roman" w:cs="Times New Roman"/>
          <w:iCs/>
          <w:sz w:val="22"/>
          <w:szCs w:val="22"/>
        </w:rPr>
      </w:pPr>
      <w:r w:rsidRPr="00155F80">
        <w:rPr>
          <w:rFonts w:ascii="Times New Roman" w:hAnsi="Times New Roman" w:cs="Times New Roman"/>
          <w:iCs/>
          <w:sz w:val="22"/>
          <w:szCs w:val="22"/>
        </w:rPr>
        <w:t>Standardizirana stopa</w:t>
      </w:r>
      <w:r w:rsidR="00A131AD" w:rsidRPr="00155F80">
        <w:rPr>
          <w:rFonts w:ascii="Times New Roman" w:hAnsi="Times New Roman" w:cs="Times New Roman"/>
          <w:iCs/>
          <w:sz w:val="22"/>
          <w:szCs w:val="22"/>
        </w:rPr>
        <w:t xml:space="preserve"> mortaliteta za sve uzroke i sve dobne grupe na 100.000 stanovnika za 201</w:t>
      </w:r>
      <w:r w:rsidR="00511DCD">
        <w:rPr>
          <w:rFonts w:ascii="Times New Roman" w:hAnsi="Times New Roman" w:cs="Times New Roman"/>
          <w:iCs/>
          <w:sz w:val="22"/>
          <w:szCs w:val="22"/>
        </w:rPr>
        <w:t>5. godinu za F</w:t>
      </w:r>
      <w:r w:rsidR="00A131AD" w:rsidRPr="00155F80">
        <w:rPr>
          <w:rFonts w:ascii="Times New Roman" w:hAnsi="Times New Roman" w:cs="Times New Roman"/>
          <w:iCs/>
          <w:sz w:val="22"/>
          <w:szCs w:val="22"/>
        </w:rPr>
        <w:t xml:space="preserve">BiH bila je 762,2 i bilježi trend laganog rasta u prethodnih šest godina, i niža je u </w:t>
      </w:r>
      <w:r w:rsidR="00511DCD">
        <w:rPr>
          <w:rFonts w:ascii="Times New Roman" w:hAnsi="Times New Roman" w:cs="Times New Roman"/>
          <w:iCs/>
          <w:sz w:val="22"/>
          <w:szCs w:val="22"/>
        </w:rPr>
        <w:t>usporedbi</w:t>
      </w:r>
      <w:r w:rsidR="00A131AD" w:rsidRPr="00155F80">
        <w:rPr>
          <w:rFonts w:ascii="Times New Roman" w:hAnsi="Times New Roman" w:cs="Times New Roman"/>
          <w:iCs/>
          <w:sz w:val="22"/>
          <w:szCs w:val="22"/>
        </w:rPr>
        <w:t xml:space="preserve"> sa </w:t>
      </w:r>
      <w:r w:rsidRPr="00155F80">
        <w:rPr>
          <w:rFonts w:ascii="Times New Roman" w:hAnsi="Times New Roman" w:cs="Times New Roman"/>
          <w:iCs/>
          <w:sz w:val="22"/>
          <w:szCs w:val="22"/>
        </w:rPr>
        <w:t>prosjekom zemalja</w:t>
      </w:r>
      <w:r w:rsidR="00A131AD" w:rsidRPr="00155F80">
        <w:rPr>
          <w:rFonts w:ascii="Times New Roman" w:hAnsi="Times New Roman" w:cs="Times New Roman"/>
          <w:iCs/>
          <w:sz w:val="22"/>
          <w:szCs w:val="22"/>
        </w:rPr>
        <w:t xml:space="preserve"> </w:t>
      </w:r>
      <w:r w:rsidR="00511DCD">
        <w:rPr>
          <w:rFonts w:ascii="Times New Roman" w:hAnsi="Times New Roman" w:cs="Times New Roman"/>
          <w:iCs/>
          <w:sz w:val="22"/>
          <w:szCs w:val="22"/>
        </w:rPr>
        <w:t>eu</w:t>
      </w:r>
      <w:r w:rsidR="00A131AD" w:rsidRPr="00155F80">
        <w:rPr>
          <w:rFonts w:ascii="Times New Roman" w:hAnsi="Times New Roman" w:cs="Times New Roman"/>
          <w:iCs/>
          <w:sz w:val="22"/>
          <w:szCs w:val="22"/>
        </w:rPr>
        <w:t>ropsk</w:t>
      </w:r>
      <w:r w:rsidR="00511DCD">
        <w:rPr>
          <w:rFonts w:ascii="Times New Roman" w:hAnsi="Times New Roman" w:cs="Times New Roman"/>
          <w:iCs/>
          <w:sz w:val="22"/>
          <w:szCs w:val="22"/>
        </w:rPr>
        <w:t>e</w:t>
      </w:r>
      <w:r w:rsidR="00A131AD" w:rsidRPr="00155F80">
        <w:rPr>
          <w:rFonts w:ascii="Times New Roman" w:hAnsi="Times New Roman" w:cs="Times New Roman"/>
          <w:iCs/>
          <w:sz w:val="22"/>
          <w:szCs w:val="22"/>
        </w:rPr>
        <w:t xml:space="preserve"> </w:t>
      </w:r>
      <w:r w:rsidR="00511DCD">
        <w:rPr>
          <w:rFonts w:ascii="Times New Roman" w:hAnsi="Times New Roman" w:cs="Times New Roman"/>
          <w:iCs/>
          <w:sz w:val="22"/>
          <w:szCs w:val="22"/>
        </w:rPr>
        <w:t>regije</w:t>
      </w:r>
      <w:r w:rsidR="00BA61D1">
        <w:rPr>
          <w:rFonts w:ascii="Times New Roman" w:hAnsi="Times New Roman" w:cs="Times New Roman"/>
          <w:iCs/>
          <w:sz w:val="22"/>
          <w:szCs w:val="22"/>
        </w:rPr>
        <w:t xml:space="preserve"> i zemljama članica</w:t>
      </w:r>
      <w:r w:rsidRPr="00155F80">
        <w:rPr>
          <w:rFonts w:ascii="Times New Roman" w:hAnsi="Times New Roman" w:cs="Times New Roman"/>
          <w:iCs/>
          <w:sz w:val="22"/>
          <w:szCs w:val="22"/>
        </w:rPr>
        <w:t xml:space="preserve"> EU od 2004. godine.</w:t>
      </w:r>
      <w:r w:rsidR="00A131AD" w:rsidRPr="00155F80">
        <w:rPr>
          <w:rFonts w:ascii="Times New Roman" w:hAnsi="Times New Roman" w:cs="Times New Roman"/>
          <w:iCs/>
          <w:sz w:val="22"/>
          <w:szCs w:val="22"/>
        </w:rPr>
        <w:t xml:space="preserve"> </w:t>
      </w:r>
    </w:p>
    <w:p w:rsidR="00C77EBB" w:rsidRPr="00155F80" w:rsidRDefault="00C77EBB" w:rsidP="00C77EBB">
      <w:pPr>
        <w:pStyle w:val="Default"/>
        <w:spacing w:line="276" w:lineRule="auto"/>
        <w:jc w:val="both"/>
        <w:rPr>
          <w:rFonts w:ascii="Times New Roman" w:hAnsi="Times New Roman"/>
          <w:iCs/>
        </w:rPr>
      </w:pPr>
    </w:p>
    <w:p w:rsidR="000E7362" w:rsidRPr="00155F80" w:rsidRDefault="00A131AD" w:rsidP="00EB7CC7">
      <w:pPr>
        <w:pStyle w:val="refererere"/>
        <w:rPr>
          <w:lang w:eastAsia="bs-Latn-BA"/>
        </w:rPr>
      </w:pPr>
      <w:r w:rsidRPr="00155F80">
        <w:rPr>
          <w:iCs/>
        </w:rPr>
        <w:t xml:space="preserve">Grafikon 8: </w:t>
      </w:r>
      <w:r w:rsidR="00A704EE" w:rsidRPr="00155F80">
        <w:rPr>
          <w:iCs/>
        </w:rPr>
        <w:t>SDR,</w:t>
      </w:r>
      <w:r w:rsidRPr="00155F80">
        <w:rPr>
          <w:lang w:eastAsia="bs-Latn-BA"/>
        </w:rPr>
        <w:t xml:space="preserve"> svi uzroci i sv</w:t>
      </w:r>
      <w:r w:rsidR="00511DCD">
        <w:rPr>
          <w:lang w:eastAsia="bs-Latn-BA"/>
        </w:rPr>
        <w:t>e</w:t>
      </w:r>
      <w:r w:rsidRPr="00155F80">
        <w:rPr>
          <w:lang w:eastAsia="bs-Latn-BA"/>
        </w:rPr>
        <w:t xml:space="preserve"> </w:t>
      </w:r>
      <w:r w:rsidR="00511DCD">
        <w:rPr>
          <w:lang w:eastAsia="bs-Latn-BA"/>
        </w:rPr>
        <w:t>dobi</w:t>
      </w:r>
      <w:r w:rsidR="00EB1E56" w:rsidRPr="00155F80">
        <w:rPr>
          <w:lang w:eastAsia="bs-Latn-BA"/>
        </w:rPr>
        <w:t>,</w:t>
      </w:r>
      <w:r w:rsidRPr="00155F80">
        <w:rPr>
          <w:lang w:eastAsia="bs-Latn-BA"/>
        </w:rPr>
        <w:t xml:space="preserve"> </w:t>
      </w:r>
      <w:r w:rsidR="00EB1E56" w:rsidRPr="00155F80">
        <w:rPr>
          <w:lang w:eastAsia="bs-Latn-BA"/>
        </w:rPr>
        <w:t>stopa</w:t>
      </w:r>
      <w:r w:rsidRPr="00155F80">
        <w:rPr>
          <w:lang w:eastAsia="bs-Latn-BA"/>
        </w:rPr>
        <w:t xml:space="preserve"> na 100.000 stanovnika, </w:t>
      </w:r>
      <w:r w:rsidRPr="00155F80">
        <w:rPr>
          <w:iCs/>
        </w:rPr>
        <w:t>2010</w:t>
      </w:r>
      <w:r w:rsidRPr="00155F80">
        <w:rPr>
          <w:rFonts w:ascii="Cambria Math" w:hAnsi="Cambria Math" w:cs="Cambria Math"/>
        </w:rPr>
        <w:t>‐</w:t>
      </w:r>
      <w:r w:rsidRPr="00155F80">
        <w:rPr>
          <w:iCs/>
        </w:rPr>
        <w:t>2015. godina</w:t>
      </w:r>
      <w:r w:rsidRPr="00155F80">
        <w:rPr>
          <w:lang w:eastAsia="bs-Latn-BA"/>
        </w:rPr>
        <w:t>.</w:t>
      </w:r>
    </w:p>
    <w:p w:rsidR="00A704EE" w:rsidRPr="00155F80" w:rsidRDefault="000E7362" w:rsidP="000C0138">
      <w:pPr>
        <w:spacing w:line="276" w:lineRule="auto"/>
        <w:rPr>
          <w:rFonts w:ascii="Times New Roman" w:hAnsi="Times New Roman"/>
          <w:color w:val="000000"/>
          <w:lang w:eastAsia="bs-Latn-BA"/>
        </w:rPr>
      </w:pPr>
      <w:r>
        <w:rPr>
          <w:noProof/>
          <w:lang w:val="bs-Latn-BA" w:eastAsia="bs-Latn-BA"/>
        </w:rPr>
        <w:drawing>
          <wp:inline distT="0" distB="0" distL="0" distR="0" wp14:anchorId="48D373E1" wp14:editId="73115D38">
            <wp:extent cx="5600700" cy="1952625"/>
            <wp:effectExtent l="0" t="0" r="0" b="9525"/>
            <wp:docPr id="27" name="Chart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A131AD" w:rsidRPr="00155F80" w:rsidRDefault="00A131AD" w:rsidP="000C0138">
      <w:pPr>
        <w:pStyle w:val="Default"/>
        <w:spacing w:line="276" w:lineRule="auto"/>
        <w:jc w:val="both"/>
        <w:rPr>
          <w:rFonts w:ascii="Times New Roman" w:hAnsi="Times New Roman" w:cs="Times New Roman"/>
          <w:sz w:val="22"/>
          <w:szCs w:val="22"/>
        </w:rPr>
      </w:pPr>
    </w:p>
    <w:p w:rsidR="00A131AD" w:rsidRPr="00155F80" w:rsidRDefault="00A131AD" w:rsidP="000C0138">
      <w:pPr>
        <w:pStyle w:val="Default"/>
        <w:spacing w:line="276" w:lineRule="auto"/>
        <w:jc w:val="both"/>
        <w:rPr>
          <w:rFonts w:ascii="Times New Roman" w:hAnsi="Times New Roman" w:cs="Times New Roman"/>
          <w:b/>
          <w:bCs/>
          <w:sz w:val="22"/>
          <w:szCs w:val="22"/>
        </w:rPr>
      </w:pPr>
      <w:r w:rsidRPr="00155F80">
        <w:rPr>
          <w:rFonts w:ascii="Times New Roman" w:hAnsi="Times New Roman" w:cs="Times New Roman"/>
          <w:b/>
          <w:bCs/>
          <w:sz w:val="22"/>
          <w:szCs w:val="22"/>
        </w:rPr>
        <w:lastRenderedPageBreak/>
        <w:t xml:space="preserve">Prerana smrtnost/umiranje </w:t>
      </w:r>
    </w:p>
    <w:p w:rsidR="00A131AD" w:rsidRPr="00155F80" w:rsidRDefault="00A131AD" w:rsidP="000C0138">
      <w:pPr>
        <w:pStyle w:val="Default"/>
        <w:spacing w:line="276" w:lineRule="auto"/>
        <w:jc w:val="both"/>
        <w:rPr>
          <w:rFonts w:ascii="Times New Roman" w:hAnsi="Times New Roman" w:cs="Times New Roman"/>
          <w:b/>
          <w:bCs/>
          <w:sz w:val="22"/>
          <w:szCs w:val="22"/>
        </w:rPr>
      </w:pPr>
    </w:p>
    <w:p w:rsidR="00A131AD" w:rsidRPr="00155F80" w:rsidRDefault="008206E3" w:rsidP="000C0138">
      <w:pPr>
        <w:autoSpaceDE w:val="0"/>
        <w:autoSpaceDN w:val="0"/>
        <w:adjustRightInd w:val="0"/>
        <w:spacing w:line="276" w:lineRule="auto"/>
        <w:rPr>
          <w:rFonts w:ascii="Times New Roman" w:hAnsi="Times New Roman"/>
        </w:rPr>
      </w:pPr>
      <w:r w:rsidRPr="00155F80">
        <w:rPr>
          <w:rFonts w:ascii="Times New Roman" w:hAnsi="Times New Roman"/>
        </w:rPr>
        <w:t>P</w:t>
      </w:r>
      <w:r w:rsidR="00A131AD" w:rsidRPr="00155F80">
        <w:rPr>
          <w:rFonts w:ascii="Times New Roman" w:hAnsi="Times New Roman"/>
        </w:rPr>
        <w:t>rodužetak životnog vijeka stanovnika razvijenih zemalja (s 50 godina početkom 20. vijeka na 70 godina krajem istoga)</w:t>
      </w:r>
      <w:r w:rsidRPr="00155F80">
        <w:rPr>
          <w:rFonts w:ascii="Times New Roman" w:hAnsi="Times New Roman"/>
        </w:rPr>
        <w:t>,</w:t>
      </w:r>
      <w:r w:rsidR="00A131AD" w:rsidRPr="00155F80">
        <w:rPr>
          <w:rFonts w:ascii="Times New Roman" w:hAnsi="Times New Roman"/>
        </w:rPr>
        <w:t xml:space="preserve"> može se dobrim dijelom pripisati mjerama javnog zdravstva. Spomenimo samo neke mjere poput osiguranja higijenski ispravne vode za piće, higijene stanovanja, sustava odvodnje otpadnih voda i prikupljanja otpada, sustavn</w:t>
      </w:r>
      <w:r w:rsidR="00007DCC">
        <w:rPr>
          <w:rFonts w:ascii="Times New Roman" w:hAnsi="Times New Roman"/>
        </w:rPr>
        <w:t>og</w:t>
      </w:r>
      <w:r w:rsidR="00A131AD" w:rsidRPr="00155F80">
        <w:rPr>
          <w:rFonts w:ascii="Times New Roman" w:hAnsi="Times New Roman"/>
        </w:rPr>
        <w:t xml:space="preserve"> </w:t>
      </w:r>
      <w:r w:rsidR="00007DCC">
        <w:rPr>
          <w:rFonts w:ascii="Times New Roman" w:hAnsi="Times New Roman"/>
        </w:rPr>
        <w:t>cijepljenja</w:t>
      </w:r>
      <w:r w:rsidR="00A131AD" w:rsidRPr="00155F80">
        <w:rPr>
          <w:rFonts w:ascii="Times New Roman" w:hAnsi="Times New Roman"/>
        </w:rPr>
        <w:t xml:space="preserve"> protiv brojnih zaraznih bolesti, planiranja obitelji, smanjenja </w:t>
      </w:r>
      <w:r w:rsidR="00FE3B0D">
        <w:rPr>
          <w:rFonts w:ascii="Times New Roman" w:hAnsi="Times New Roman"/>
        </w:rPr>
        <w:t>onečišćenja</w:t>
      </w:r>
      <w:r w:rsidR="00A131AD" w:rsidRPr="00155F80">
        <w:rPr>
          <w:rFonts w:ascii="Times New Roman" w:hAnsi="Times New Roman"/>
        </w:rPr>
        <w:t>a okoliša, programa za prevenciju kroničnih bolesti i slično</w:t>
      </w:r>
      <w:r w:rsidR="00A131AD" w:rsidRPr="00F83CAD">
        <w:rPr>
          <w:rFonts w:ascii="Times New Roman" w:hAnsi="Times New Roman"/>
        </w:rPr>
        <w:t>.</w:t>
      </w:r>
      <w:r w:rsidR="003C79F2" w:rsidRPr="00F83CAD">
        <w:rPr>
          <w:rFonts w:ascii="Times New Roman" w:hAnsi="Times New Roman"/>
        </w:rPr>
        <w:t xml:space="preserve"> (7)</w:t>
      </w:r>
    </w:p>
    <w:p w:rsidR="003C79F2" w:rsidRDefault="003C79F2" w:rsidP="000C0138">
      <w:pPr>
        <w:autoSpaceDE w:val="0"/>
        <w:autoSpaceDN w:val="0"/>
        <w:adjustRightInd w:val="0"/>
        <w:spacing w:line="276" w:lineRule="auto"/>
        <w:rPr>
          <w:rFonts w:ascii="Times New Roman" w:hAnsi="Times New Roman"/>
          <w:bCs/>
          <w:color w:val="000000"/>
          <w:lang w:val="vi-VN"/>
        </w:rPr>
      </w:pPr>
    </w:p>
    <w:p w:rsidR="004E6840" w:rsidRPr="00155F80" w:rsidRDefault="004E6840" w:rsidP="004E6840">
      <w:pPr>
        <w:pStyle w:val="Default"/>
        <w:spacing w:line="276" w:lineRule="auto"/>
        <w:jc w:val="both"/>
        <w:rPr>
          <w:rFonts w:ascii="Times New Roman" w:hAnsi="Times New Roman" w:cs="Times New Roman"/>
          <w:sz w:val="22"/>
          <w:szCs w:val="22"/>
        </w:rPr>
      </w:pPr>
      <w:r w:rsidRPr="00155F80">
        <w:rPr>
          <w:rFonts w:ascii="Times New Roman" w:hAnsi="Times New Roman" w:cs="Times New Roman"/>
          <w:sz w:val="22"/>
          <w:szCs w:val="22"/>
        </w:rPr>
        <w:t xml:space="preserve">Praćenje prerane smrtnosti (smrt prije 65 godina) pruža korisne informacije za razvoj zdravstvene politike, kao i programe i intervencije za prevenciju bolesti i nastanak invaliditeta. </w:t>
      </w:r>
    </w:p>
    <w:p w:rsidR="004E6840" w:rsidRDefault="004E6840" w:rsidP="004E6840">
      <w:pPr>
        <w:pStyle w:val="Default"/>
        <w:spacing w:line="276" w:lineRule="auto"/>
        <w:jc w:val="both"/>
        <w:rPr>
          <w:rFonts w:ascii="Times New Roman" w:hAnsi="Times New Roman" w:cs="Times New Roman"/>
          <w:sz w:val="22"/>
          <w:szCs w:val="22"/>
        </w:rPr>
      </w:pPr>
    </w:p>
    <w:p w:rsidR="004E6840" w:rsidRPr="00155F80" w:rsidRDefault="004E6840" w:rsidP="004E6840">
      <w:pPr>
        <w:pStyle w:val="Default"/>
        <w:spacing w:line="276" w:lineRule="auto"/>
        <w:jc w:val="both"/>
        <w:rPr>
          <w:rFonts w:ascii="Times New Roman" w:hAnsi="Times New Roman" w:cs="Times New Roman"/>
          <w:sz w:val="22"/>
          <w:szCs w:val="22"/>
        </w:rPr>
      </w:pPr>
      <w:r w:rsidRPr="00155F80">
        <w:rPr>
          <w:rFonts w:ascii="Times New Roman" w:hAnsi="Times New Roman" w:cs="Times New Roman"/>
          <w:sz w:val="22"/>
          <w:szCs w:val="22"/>
        </w:rPr>
        <w:t xml:space="preserve">U odnosu na spol, rizik od prerane smrti je 50% veći za muškarce. Općenito, više od 70% smrti javlja se u dobnoj grupi iznad 65 godina. </w:t>
      </w:r>
    </w:p>
    <w:p w:rsidR="008206E3" w:rsidRPr="00155F80" w:rsidRDefault="008206E3" w:rsidP="000C0138">
      <w:pPr>
        <w:pStyle w:val="Default"/>
        <w:spacing w:line="276" w:lineRule="auto"/>
        <w:jc w:val="both"/>
        <w:rPr>
          <w:rFonts w:ascii="Times New Roman" w:hAnsi="Times New Roman" w:cs="Times New Roman"/>
          <w:sz w:val="22"/>
          <w:szCs w:val="22"/>
        </w:rPr>
      </w:pPr>
    </w:p>
    <w:p w:rsidR="008206E3" w:rsidRPr="00155F80" w:rsidRDefault="008206E3" w:rsidP="000C0138">
      <w:pPr>
        <w:pStyle w:val="Default"/>
        <w:tabs>
          <w:tab w:val="left" w:pos="2268"/>
        </w:tabs>
        <w:spacing w:line="276" w:lineRule="auto"/>
        <w:jc w:val="both"/>
        <w:rPr>
          <w:rFonts w:ascii="Times New Roman" w:hAnsi="Times New Roman" w:cs="Times New Roman"/>
          <w:sz w:val="22"/>
          <w:szCs w:val="22"/>
        </w:rPr>
      </w:pPr>
      <w:r w:rsidRPr="00155F80">
        <w:rPr>
          <w:rFonts w:ascii="Times New Roman" w:hAnsi="Times New Roman" w:cs="Times New Roman"/>
          <w:sz w:val="22"/>
          <w:szCs w:val="22"/>
        </w:rPr>
        <w:t xml:space="preserve">Udio prerane smrtnosti u ukupnom mortalitetu u Federaciji BiH u 2015. godini iznosio </w:t>
      </w:r>
      <w:r w:rsidR="00007DCC">
        <w:rPr>
          <w:rFonts w:ascii="Times New Roman" w:hAnsi="Times New Roman" w:cs="Times New Roman"/>
          <w:sz w:val="22"/>
          <w:szCs w:val="22"/>
        </w:rPr>
        <w:t xml:space="preserve">je </w:t>
      </w:r>
      <w:r w:rsidRPr="00155F80">
        <w:rPr>
          <w:rFonts w:ascii="Times New Roman" w:hAnsi="Times New Roman" w:cs="Times New Roman"/>
          <w:sz w:val="22"/>
          <w:szCs w:val="22"/>
        </w:rPr>
        <w:t>23,0% i pokazuje trend opadanja od 2010. godine kada je bio</w:t>
      </w:r>
      <w:r w:rsidR="00035CB1">
        <w:rPr>
          <w:rFonts w:ascii="Times New Roman" w:hAnsi="Times New Roman" w:cs="Times New Roman"/>
          <w:sz w:val="22"/>
          <w:szCs w:val="22"/>
        </w:rPr>
        <w:t xml:space="preserve"> </w:t>
      </w:r>
      <w:r w:rsidRPr="00155F80">
        <w:rPr>
          <w:rFonts w:ascii="Times New Roman" w:hAnsi="Times New Roman" w:cs="Times New Roman"/>
          <w:sz w:val="22"/>
          <w:szCs w:val="22"/>
        </w:rPr>
        <w:t xml:space="preserve"> 26,0%. </w:t>
      </w:r>
    </w:p>
    <w:p w:rsidR="00A131AD" w:rsidRPr="00155F80" w:rsidRDefault="00A131AD" w:rsidP="000C0138">
      <w:pPr>
        <w:pStyle w:val="Default"/>
        <w:spacing w:line="276" w:lineRule="auto"/>
        <w:jc w:val="both"/>
        <w:rPr>
          <w:rFonts w:ascii="Times New Roman" w:hAnsi="Times New Roman" w:cs="Times New Roman"/>
          <w:b/>
          <w:bCs/>
          <w:sz w:val="22"/>
          <w:szCs w:val="22"/>
          <w:highlight w:val="yellow"/>
        </w:rPr>
      </w:pPr>
    </w:p>
    <w:p w:rsidR="00A131AD" w:rsidRPr="00155F80" w:rsidRDefault="00A131AD" w:rsidP="00EB7CC7">
      <w:pPr>
        <w:pStyle w:val="refererere"/>
        <w:rPr>
          <w:lang w:eastAsia="bs-Latn-BA"/>
        </w:rPr>
      </w:pPr>
      <w:r w:rsidRPr="00155F80">
        <w:rPr>
          <w:iCs/>
        </w:rPr>
        <w:t xml:space="preserve">Grafikon 9: </w:t>
      </w:r>
      <w:r w:rsidRPr="00155F80">
        <w:rPr>
          <w:lang w:eastAsia="bs-Latn-BA"/>
        </w:rPr>
        <w:t>U</w:t>
      </w:r>
      <w:r w:rsidR="00243A26">
        <w:rPr>
          <w:lang w:eastAsia="bs-Latn-BA"/>
        </w:rPr>
        <w:t>dio</w:t>
      </w:r>
      <w:r w:rsidRPr="00155F80">
        <w:rPr>
          <w:lang w:eastAsia="bs-Latn-BA"/>
        </w:rPr>
        <w:t xml:space="preserve"> </w:t>
      </w:r>
      <w:r w:rsidR="008206E3" w:rsidRPr="00155F80">
        <w:rPr>
          <w:lang w:eastAsia="bs-Latn-BA"/>
        </w:rPr>
        <w:t>smrtnosti stanovništa sta</w:t>
      </w:r>
      <w:r w:rsidRPr="00155F80">
        <w:rPr>
          <w:lang w:eastAsia="bs-Latn-BA"/>
        </w:rPr>
        <w:t>rosti od 0 - 64  godine u ukupnom moratlitetu u Federacij</w:t>
      </w:r>
      <w:r w:rsidR="00A342B4">
        <w:rPr>
          <w:lang w:eastAsia="bs-Latn-BA"/>
        </w:rPr>
        <w:t>i</w:t>
      </w:r>
      <w:r w:rsidRPr="00155F80">
        <w:rPr>
          <w:lang w:eastAsia="bs-Latn-BA"/>
        </w:rPr>
        <w:t xml:space="preserve"> BiH, za </w:t>
      </w:r>
      <w:r w:rsidR="00A342B4">
        <w:rPr>
          <w:lang w:eastAsia="bs-Latn-BA"/>
        </w:rPr>
        <w:t>razdoblje</w:t>
      </w:r>
      <w:r w:rsidRPr="00155F80">
        <w:rPr>
          <w:lang w:eastAsia="bs-Latn-BA"/>
        </w:rPr>
        <w:t xml:space="preserve"> 2010-2015. godina</w:t>
      </w:r>
    </w:p>
    <w:p w:rsidR="00A131AD" w:rsidRPr="00155F80" w:rsidRDefault="00A131AD" w:rsidP="000C0138">
      <w:pPr>
        <w:pStyle w:val="Default"/>
        <w:spacing w:line="276" w:lineRule="auto"/>
        <w:jc w:val="both"/>
        <w:rPr>
          <w:rFonts w:ascii="Times New Roman" w:hAnsi="Times New Roman" w:cs="Times New Roman"/>
          <w:sz w:val="22"/>
          <w:szCs w:val="22"/>
          <w:highlight w:val="yellow"/>
        </w:rPr>
      </w:pPr>
      <w:r w:rsidRPr="00155F80">
        <w:rPr>
          <w:rFonts w:ascii="Times New Roman" w:hAnsi="Times New Roman" w:cs="Times New Roman"/>
          <w:noProof/>
          <w:sz w:val="22"/>
          <w:szCs w:val="22"/>
          <w:lang w:eastAsia="bs-Latn-BA"/>
        </w:rPr>
        <w:drawing>
          <wp:inline distT="0" distB="0" distL="0" distR="0" wp14:anchorId="7C322F6A" wp14:editId="2C52024D">
            <wp:extent cx="5678905" cy="1935480"/>
            <wp:effectExtent l="0" t="0" r="17145" b="7620"/>
            <wp:docPr id="56"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A131AD" w:rsidRPr="00155F80" w:rsidRDefault="00A131AD" w:rsidP="000C0138">
      <w:pPr>
        <w:pStyle w:val="Default"/>
        <w:spacing w:line="276" w:lineRule="auto"/>
        <w:jc w:val="both"/>
        <w:rPr>
          <w:rFonts w:ascii="Times New Roman" w:hAnsi="Times New Roman" w:cs="Times New Roman"/>
          <w:sz w:val="22"/>
          <w:szCs w:val="22"/>
        </w:rPr>
      </w:pPr>
    </w:p>
    <w:p w:rsidR="00A131AD" w:rsidRPr="00155F80" w:rsidRDefault="00A131AD" w:rsidP="000C0138">
      <w:pPr>
        <w:pStyle w:val="Default"/>
        <w:spacing w:line="276" w:lineRule="auto"/>
        <w:jc w:val="both"/>
        <w:rPr>
          <w:rFonts w:ascii="Times New Roman" w:hAnsi="Times New Roman" w:cs="Times New Roman"/>
          <w:sz w:val="22"/>
          <w:szCs w:val="22"/>
        </w:rPr>
      </w:pPr>
      <w:r w:rsidRPr="00155F80">
        <w:rPr>
          <w:rFonts w:ascii="Times New Roman" w:hAnsi="Times New Roman" w:cs="Times New Roman"/>
          <w:sz w:val="22"/>
          <w:szCs w:val="22"/>
        </w:rPr>
        <w:t>Preuranjena smrtnost od dijabetesa u europskoj regiji pokazala je smanjenje od 1995</w:t>
      </w:r>
      <w:r w:rsidR="00E67339" w:rsidRPr="00155F80">
        <w:rPr>
          <w:rFonts w:ascii="Times New Roman" w:hAnsi="Times New Roman" w:cs="Times New Roman"/>
          <w:sz w:val="22"/>
          <w:szCs w:val="22"/>
        </w:rPr>
        <w:t>.</w:t>
      </w:r>
      <w:r w:rsidRPr="00155F80">
        <w:rPr>
          <w:rFonts w:ascii="Times New Roman" w:hAnsi="Times New Roman" w:cs="Times New Roman"/>
          <w:sz w:val="22"/>
          <w:szCs w:val="22"/>
        </w:rPr>
        <w:t xml:space="preserve"> do 2010. godine za 25%, kada je dostigla stopu od 4 na 100.000 stanovnika. </w:t>
      </w:r>
    </w:p>
    <w:p w:rsidR="00A131AD" w:rsidRPr="00155F80" w:rsidRDefault="00A131AD" w:rsidP="000C0138">
      <w:pPr>
        <w:pStyle w:val="Default"/>
        <w:spacing w:line="276" w:lineRule="auto"/>
        <w:jc w:val="both"/>
        <w:rPr>
          <w:rFonts w:ascii="Times New Roman" w:hAnsi="Times New Roman" w:cs="Times New Roman"/>
          <w:sz w:val="22"/>
          <w:szCs w:val="22"/>
          <w:u w:val="single"/>
        </w:rPr>
      </w:pPr>
    </w:p>
    <w:p w:rsidR="00A131AD" w:rsidRPr="00155F80" w:rsidRDefault="00A131AD" w:rsidP="000C0138">
      <w:pPr>
        <w:pStyle w:val="Default"/>
        <w:spacing w:line="276" w:lineRule="auto"/>
        <w:jc w:val="both"/>
        <w:rPr>
          <w:rFonts w:ascii="Times New Roman" w:hAnsi="Times New Roman" w:cs="Times New Roman"/>
          <w:sz w:val="22"/>
          <w:szCs w:val="22"/>
          <w:u w:val="single"/>
        </w:rPr>
      </w:pPr>
    </w:p>
    <w:p w:rsidR="00A131AD" w:rsidRPr="00155F80" w:rsidRDefault="00A131AD" w:rsidP="000C0138">
      <w:pPr>
        <w:pStyle w:val="Default"/>
        <w:spacing w:line="276" w:lineRule="auto"/>
        <w:jc w:val="both"/>
        <w:rPr>
          <w:rFonts w:ascii="Times New Roman" w:hAnsi="Times New Roman" w:cs="Times New Roman"/>
          <w:b/>
          <w:sz w:val="22"/>
          <w:szCs w:val="22"/>
        </w:rPr>
      </w:pPr>
      <w:r w:rsidRPr="00155F80">
        <w:rPr>
          <w:rFonts w:ascii="Times New Roman" w:hAnsi="Times New Roman" w:cs="Times New Roman"/>
          <w:b/>
          <w:sz w:val="22"/>
          <w:szCs w:val="22"/>
        </w:rPr>
        <w:t>Vodeći uzroci smrti</w:t>
      </w:r>
      <w:r w:rsidR="008206E3" w:rsidRPr="00155F80">
        <w:rPr>
          <w:rFonts w:ascii="Times New Roman" w:hAnsi="Times New Roman" w:cs="Times New Roman"/>
          <w:b/>
          <w:sz w:val="22"/>
          <w:szCs w:val="22"/>
        </w:rPr>
        <w:t xml:space="preserve"> </w:t>
      </w:r>
    </w:p>
    <w:p w:rsidR="00B3288D" w:rsidRPr="00155F80" w:rsidRDefault="00B3288D" w:rsidP="000C0138">
      <w:pPr>
        <w:pStyle w:val="Default"/>
        <w:spacing w:line="276" w:lineRule="auto"/>
        <w:jc w:val="both"/>
        <w:rPr>
          <w:rFonts w:ascii="Times New Roman" w:hAnsi="Times New Roman" w:cs="Times New Roman"/>
          <w:b/>
          <w:sz w:val="22"/>
          <w:szCs w:val="22"/>
          <w:u w:val="single"/>
        </w:rPr>
      </w:pPr>
    </w:p>
    <w:p w:rsidR="00243A26" w:rsidRDefault="00A131AD" w:rsidP="000C0138">
      <w:pPr>
        <w:pStyle w:val="Default"/>
        <w:spacing w:line="276" w:lineRule="auto"/>
        <w:jc w:val="both"/>
        <w:rPr>
          <w:rFonts w:ascii="Times New Roman" w:hAnsi="Times New Roman" w:cs="Times New Roman"/>
          <w:sz w:val="22"/>
          <w:szCs w:val="22"/>
        </w:rPr>
      </w:pPr>
      <w:r w:rsidRPr="00155F80">
        <w:rPr>
          <w:rFonts w:ascii="Times New Roman" w:hAnsi="Times New Roman" w:cs="Times New Roman"/>
          <w:sz w:val="22"/>
          <w:szCs w:val="22"/>
        </w:rPr>
        <w:t>Vodeći uzroci smrti sta</w:t>
      </w:r>
    </w:p>
    <w:p w:rsidR="00A131AD" w:rsidRPr="00155F80" w:rsidRDefault="00A131AD" w:rsidP="000C0138">
      <w:pPr>
        <w:pStyle w:val="Default"/>
        <w:spacing w:line="276" w:lineRule="auto"/>
        <w:jc w:val="both"/>
        <w:rPr>
          <w:rFonts w:ascii="Times New Roman" w:hAnsi="Times New Roman" w:cs="Times New Roman"/>
          <w:sz w:val="22"/>
          <w:szCs w:val="22"/>
        </w:rPr>
      </w:pPr>
      <w:r w:rsidRPr="00155F80">
        <w:rPr>
          <w:rFonts w:ascii="Times New Roman" w:hAnsi="Times New Roman" w:cs="Times New Roman"/>
          <w:sz w:val="22"/>
          <w:szCs w:val="22"/>
        </w:rPr>
        <w:t>novništva Federacije BiH 2015. godine su oboljenja cirkula</w:t>
      </w:r>
      <w:r w:rsidR="00A342B4">
        <w:rPr>
          <w:rFonts w:ascii="Times New Roman" w:hAnsi="Times New Roman" w:cs="Times New Roman"/>
          <w:sz w:val="22"/>
          <w:szCs w:val="22"/>
        </w:rPr>
        <w:t>cijskog</w:t>
      </w:r>
      <w:r w:rsidRPr="00155F80">
        <w:rPr>
          <w:rFonts w:ascii="Times New Roman" w:hAnsi="Times New Roman" w:cs="Times New Roman"/>
          <w:sz w:val="22"/>
          <w:szCs w:val="22"/>
        </w:rPr>
        <w:t xml:space="preserve"> s</w:t>
      </w:r>
      <w:r w:rsidR="00A342B4">
        <w:rPr>
          <w:rFonts w:ascii="Times New Roman" w:hAnsi="Times New Roman" w:cs="Times New Roman"/>
          <w:sz w:val="22"/>
          <w:szCs w:val="22"/>
        </w:rPr>
        <w:t>ustava</w:t>
      </w:r>
      <w:r w:rsidRPr="00155F80">
        <w:rPr>
          <w:rFonts w:ascii="Times New Roman" w:hAnsi="Times New Roman" w:cs="Times New Roman"/>
          <w:sz w:val="22"/>
          <w:szCs w:val="22"/>
        </w:rPr>
        <w:t xml:space="preserve"> (I00-I99) s udjelom od 53,8% svih uzroka (stopa 500,0/100.000 stanovnika) i bilježi jednak procentualni udio kao i u 2010. godini 53,8</w:t>
      </w:r>
      <w:r w:rsidR="00C96D1D" w:rsidRPr="00155F80">
        <w:rPr>
          <w:rFonts w:ascii="Times New Roman" w:hAnsi="Times New Roman" w:cs="Times New Roman"/>
          <w:sz w:val="22"/>
          <w:szCs w:val="22"/>
        </w:rPr>
        <w:t>%</w:t>
      </w:r>
      <w:r w:rsidRPr="00155F80">
        <w:rPr>
          <w:rFonts w:ascii="Times New Roman" w:hAnsi="Times New Roman" w:cs="Times New Roman"/>
          <w:sz w:val="22"/>
          <w:szCs w:val="22"/>
        </w:rPr>
        <w:t xml:space="preserve"> (</w:t>
      </w:r>
      <w:r w:rsidR="00C96D1D" w:rsidRPr="00155F80">
        <w:rPr>
          <w:rFonts w:ascii="Times New Roman" w:hAnsi="Times New Roman" w:cs="Times New Roman"/>
          <w:sz w:val="22"/>
          <w:szCs w:val="22"/>
        </w:rPr>
        <w:t xml:space="preserve">stopa: </w:t>
      </w:r>
      <w:r w:rsidRPr="00155F80">
        <w:rPr>
          <w:rFonts w:ascii="Times New Roman" w:hAnsi="Times New Roman" w:cs="Times New Roman"/>
          <w:sz w:val="22"/>
          <w:szCs w:val="22"/>
        </w:rPr>
        <w:t xml:space="preserve">472,1/100.000), slijede maligne neoplazme (C00-C97) s 21,0% udjela (stopa 194,9/100.000 stanovnika) što je povećanje </w:t>
      </w:r>
      <w:r w:rsidR="00C96D1D" w:rsidRPr="00155F80">
        <w:rPr>
          <w:rFonts w:ascii="Times New Roman" w:hAnsi="Times New Roman" w:cs="Times New Roman"/>
          <w:sz w:val="22"/>
          <w:szCs w:val="22"/>
        </w:rPr>
        <w:t>u odnosu na 2010. godinu</w:t>
      </w:r>
      <w:r w:rsidRPr="00155F80">
        <w:rPr>
          <w:rFonts w:ascii="Times New Roman" w:hAnsi="Times New Roman" w:cs="Times New Roman"/>
          <w:sz w:val="22"/>
          <w:szCs w:val="22"/>
        </w:rPr>
        <w:t xml:space="preserve"> kad</w:t>
      </w:r>
      <w:r w:rsidR="00C96D1D" w:rsidRPr="00155F80">
        <w:rPr>
          <w:rFonts w:ascii="Times New Roman" w:hAnsi="Times New Roman" w:cs="Times New Roman"/>
          <w:sz w:val="22"/>
          <w:szCs w:val="22"/>
        </w:rPr>
        <w:t>a</w:t>
      </w:r>
      <w:r w:rsidRPr="00155F80">
        <w:rPr>
          <w:rFonts w:ascii="Times New Roman" w:hAnsi="Times New Roman" w:cs="Times New Roman"/>
          <w:sz w:val="22"/>
          <w:szCs w:val="22"/>
        </w:rPr>
        <w:t xml:space="preserve"> je udio bio 20,1% a stopa (176,4/100.000). Ove dvije grupe </w:t>
      </w:r>
      <w:r w:rsidR="00CF3D30">
        <w:rPr>
          <w:rFonts w:ascii="Times New Roman" w:hAnsi="Times New Roman" w:cs="Times New Roman"/>
          <w:sz w:val="22"/>
          <w:szCs w:val="22"/>
        </w:rPr>
        <w:t xml:space="preserve">oboljenja </w:t>
      </w:r>
      <w:r w:rsidRPr="00155F80">
        <w:rPr>
          <w:rFonts w:ascii="Times New Roman" w:hAnsi="Times New Roman" w:cs="Times New Roman"/>
          <w:sz w:val="22"/>
          <w:szCs w:val="22"/>
        </w:rPr>
        <w:t xml:space="preserve">čine oko tri četvrtine svih uzroka smrti. </w:t>
      </w:r>
    </w:p>
    <w:p w:rsidR="00A131AD" w:rsidRPr="00155F80" w:rsidRDefault="00A131AD" w:rsidP="000C0138">
      <w:pPr>
        <w:pStyle w:val="Default"/>
        <w:spacing w:line="276" w:lineRule="auto"/>
        <w:jc w:val="both"/>
        <w:rPr>
          <w:rFonts w:ascii="Times New Roman" w:hAnsi="Times New Roman" w:cs="Times New Roman"/>
          <w:sz w:val="22"/>
          <w:szCs w:val="22"/>
        </w:rPr>
      </w:pPr>
      <w:r w:rsidRPr="00155F80">
        <w:rPr>
          <w:rFonts w:ascii="Times New Roman" w:hAnsi="Times New Roman" w:cs="Times New Roman"/>
          <w:sz w:val="22"/>
          <w:szCs w:val="22"/>
        </w:rPr>
        <w:t>Slijede endokrina i metabolička oboljenja s poremećajima u prehrani (E00-E99) sa stopom od 51,3/100.000 stanovnika ili 5,5%, što predstavlja blago smanjenje u odnosu na 2010. godinu kada je stopa iznosila 50,0/100.000 stanovnika ili 5,7%.</w:t>
      </w:r>
    </w:p>
    <w:p w:rsidR="00E67339" w:rsidRPr="00155F80" w:rsidRDefault="00E67339" w:rsidP="000C0138">
      <w:pPr>
        <w:pStyle w:val="Default"/>
        <w:spacing w:line="276" w:lineRule="auto"/>
        <w:jc w:val="both"/>
        <w:rPr>
          <w:rFonts w:ascii="Times New Roman" w:hAnsi="Times New Roman" w:cs="Times New Roman"/>
          <w:sz w:val="22"/>
          <w:szCs w:val="22"/>
        </w:rPr>
      </w:pPr>
    </w:p>
    <w:p w:rsidR="00A131AD" w:rsidRPr="00155F80" w:rsidRDefault="00A131AD" w:rsidP="000C0138">
      <w:pPr>
        <w:pStyle w:val="Default"/>
        <w:spacing w:line="276" w:lineRule="auto"/>
        <w:jc w:val="both"/>
        <w:rPr>
          <w:rFonts w:ascii="Times New Roman" w:hAnsi="Times New Roman" w:cs="Times New Roman"/>
          <w:sz w:val="22"/>
          <w:szCs w:val="22"/>
        </w:rPr>
      </w:pPr>
      <w:r w:rsidRPr="00155F80">
        <w:rPr>
          <w:rFonts w:ascii="Times New Roman" w:hAnsi="Times New Roman" w:cs="Times New Roman"/>
          <w:sz w:val="22"/>
          <w:szCs w:val="22"/>
        </w:rPr>
        <w:lastRenderedPageBreak/>
        <w:t xml:space="preserve">Među pet vodećih uzroka smrti stanovništva u 2015. godini svrstavaju se i oboljenja </w:t>
      </w:r>
      <w:r w:rsidR="00A342B4">
        <w:rPr>
          <w:rFonts w:ascii="Times New Roman" w:hAnsi="Times New Roman" w:cs="Times New Roman"/>
          <w:sz w:val="22"/>
          <w:szCs w:val="22"/>
        </w:rPr>
        <w:t xml:space="preserve">dušnog </w:t>
      </w:r>
      <w:r w:rsidRPr="00155F80">
        <w:rPr>
          <w:rFonts w:ascii="Times New Roman" w:hAnsi="Times New Roman" w:cs="Times New Roman"/>
          <w:sz w:val="22"/>
          <w:szCs w:val="22"/>
        </w:rPr>
        <w:t>s</w:t>
      </w:r>
      <w:r w:rsidR="00A342B4">
        <w:rPr>
          <w:rFonts w:ascii="Times New Roman" w:hAnsi="Times New Roman" w:cs="Times New Roman"/>
          <w:sz w:val="22"/>
          <w:szCs w:val="22"/>
        </w:rPr>
        <w:t>ustava</w:t>
      </w:r>
      <w:r w:rsidRPr="00155F80">
        <w:rPr>
          <w:rFonts w:ascii="Times New Roman" w:hAnsi="Times New Roman" w:cs="Times New Roman"/>
          <w:sz w:val="22"/>
          <w:szCs w:val="22"/>
        </w:rPr>
        <w:t xml:space="preserve"> (J00-J99) sa stopom od 45,2/100.000 stanovnika ili 4,9%, i bilježi trend rasta u </w:t>
      </w:r>
      <w:r w:rsidR="00A342B4">
        <w:rPr>
          <w:rFonts w:ascii="Times New Roman" w:hAnsi="Times New Roman" w:cs="Times New Roman"/>
          <w:sz w:val="22"/>
          <w:szCs w:val="22"/>
        </w:rPr>
        <w:t>usporedbi</w:t>
      </w:r>
      <w:r w:rsidRPr="00155F80">
        <w:rPr>
          <w:rFonts w:ascii="Times New Roman" w:hAnsi="Times New Roman" w:cs="Times New Roman"/>
          <w:sz w:val="22"/>
          <w:szCs w:val="22"/>
        </w:rPr>
        <w:t xml:space="preserve"> sa 2010. godinom kada je stopa bila 29,0/100.00 ili 3,3%.</w:t>
      </w:r>
    </w:p>
    <w:p w:rsidR="00A131AD" w:rsidRPr="00155F80" w:rsidRDefault="00A131AD" w:rsidP="000C0138">
      <w:pPr>
        <w:pStyle w:val="Default"/>
        <w:spacing w:line="276" w:lineRule="auto"/>
        <w:jc w:val="both"/>
        <w:rPr>
          <w:rFonts w:ascii="Times New Roman" w:hAnsi="Times New Roman" w:cs="Times New Roman"/>
          <w:sz w:val="22"/>
          <w:szCs w:val="22"/>
        </w:rPr>
      </w:pPr>
      <w:r w:rsidRPr="00155F80">
        <w:rPr>
          <w:rFonts w:ascii="Times New Roman" w:hAnsi="Times New Roman" w:cs="Times New Roman"/>
          <w:sz w:val="22"/>
          <w:szCs w:val="22"/>
        </w:rPr>
        <w:t>Simptomi, znaci i nenormalni klinički i laboratorijski nalazi (R00-R99)</w:t>
      </w:r>
      <w:r w:rsidR="003C79F2">
        <w:rPr>
          <w:rFonts w:ascii="Times New Roman" w:hAnsi="Times New Roman" w:cs="Times New Roman"/>
          <w:sz w:val="22"/>
          <w:szCs w:val="22"/>
        </w:rPr>
        <w:t xml:space="preserve"> sa stopom od 22,1/100.000 stanovnika i</w:t>
      </w:r>
      <w:r w:rsidRPr="00155F80">
        <w:rPr>
          <w:rFonts w:ascii="Times New Roman" w:hAnsi="Times New Roman" w:cs="Times New Roman"/>
          <w:sz w:val="22"/>
          <w:szCs w:val="22"/>
        </w:rPr>
        <w:t xml:space="preserve"> 2,4% </w:t>
      </w:r>
      <w:r w:rsidR="003C79F2">
        <w:rPr>
          <w:rFonts w:ascii="Times New Roman" w:hAnsi="Times New Roman" w:cs="Times New Roman"/>
          <w:sz w:val="22"/>
          <w:szCs w:val="22"/>
        </w:rPr>
        <w:t>u</w:t>
      </w:r>
      <w:r w:rsidR="00243A26">
        <w:rPr>
          <w:rFonts w:ascii="Times New Roman" w:hAnsi="Times New Roman" w:cs="Times New Roman"/>
          <w:sz w:val="22"/>
          <w:szCs w:val="22"/>
        </w:rPr>
        <w:t>djela</w:t>
      </w:r>
      <w:r w:rsidR="003C79F2">
        <w:rPr>
          <w:rFonts w:ascii="Times New Roman" w:hAnsi="Times New Roman" w:cs="Times New Roman"/>
          <w:sz w:val="22"/>
          <w:szCs w:val="22"/>
        </w:rPr>
        <w:t xml:space="preserve"> </w:t>
      </w:r>
      <w:r w:rsidRPr="00155F80">
        <w:rPr>
          <w:rFonts w:ascii="Times New Roman" w:hAnsi="Times New Roman" w:cs="Times New Roman"/>
          <w:sz w:val="22"/>
          <w:szCs w:val="22"/>
        </w:rPr>
        <w:t>u 2015. godini bilježe smanjenje udjela u odnosu na 2010. godinu kada je stopa izn</w:t>
      </w:r>
      <w:r w:rsidR="003C79F2">
        <w:rPr>
          <w:rFonts w:ascii="Times New Roman" w:hAnsi="Times New Roman" w:cs="Times New Roman"/>
          <w:sz w:val="22"/>
          <w:szCs w:val="22"/>
        </w:rPr>
        <w:t>osila 43,8/100.000, a u</w:t>
      </w:r>
      <w:r w:rsidR="00A342B4">
        <w:rPr>
          <w:rFonts w:ascii="Times New Roman" w:hAnsi="Times New Roman" w:cs="Times New Roman"/>
          <w:sz w:val="22"/>
          <w:szCs w:val="22"/>
        </w:rPr>
        <w:t>dio</w:t>
      </w:r>
      <w:r w:rsidRPr="00155F80">
        <w:rPr>
          <w:rFonts w:ascii="Times New Roman" w:hAnsi="Times New Roman" w:cs="Times New Roman"/>
          <w:sz w:val="22"/>
          <w:szCs w:val="22"/>
        </w:rPr>
        <w:t xml:space="preserve"> 5,0%</w:t>
      </w:r>
      <w:r w:rsidR="003C79F2">
        <w:rPr>
          <w:rFonts w:ascii="Times New Roman" w:hAnsi="Times New Roman" w:cs="Times New Roman"/>
          <w:sz w:val="22"/>
          <w:szCs w:val="22"/>
        </w:rPr>
        <w:t xml:space="preserve"> svih uzroka smrti</w:t>
      </w:r>
      <w:r w:rsidRPr="00155F80">
        <w:rPr>
          <w:rFonts w:ascii="Times New Roman" w:hAnsi="Times New Roman" w:cs="Times New Roman"/>
          <w:sz w:val="22"/>
          <w:szCs w:val="22"/>
        </w:rPr>
        <w:t xml:space="preserve">. </w:t>
      </w:r>
    </w:p>
    <w:p w:rsidR="00A131AD" w:rsidRPr="00155F80" w:rsidRDefault="00A131AD" w:rsidP="000C0138">
      <w:pPr>
        <w:pStyle w:val="Default"/>
        <w:spacing w:line="276" w:lineRule="auto"/>
        <w:jc w:val="both"/>
        <w:rPr>
          <w:rFonts w:ascii="Times New Roman" w:hAnsi="Times New Roman" w:cs="Times New Roman"/>
          <w:sz w:val="22"/>
          <w:szCs w:val="22"/>
          <w:u w:val="single"/>
        </w:rPr>
      </w:pPr>
    </w:p>
    <w:p w:rsidR="00A131AD" w:rsidRPr="00155F80" w:rsidRDefault="00A131AD" w:rsidP="00EB7CC7">
      <w:pPr>
        <w:pStyle w:val="refererere"/>
      </w:pPr>
      <w:r w:rsidRPr="00155F80">
        <w:t>Grafikon 10: Pet vodećih grupa oboljenja kao uzroka smrti u Federaciji BiH, 2010.</w:t>
      </w:r>
      <w:r w:rsidRPr="00155F80">
        <w:rPr>
          <w:rFonts w:ascii="Cambria Math" w:hAnsi="Cambria Math" w:cs="Cambria Math"/>
        </w:rPr>
        <w:t xml:space="preserve">i </w:t>
      </w:r>
      <w:r w:rsidRPr="00155F80">
        <w:t>2015. godina, stopa na 100.000 stanovnika</w:t>
      </w:r>
    </w:p>
    <w:p w:rsidR="00A131AD" w:rsidRPr="00155F80" w:rsidRDefault="00A131AD" w:rsidP="000C0138">
      <w:pPr>
        <w:pStyle w:val="Default"/>
        <w:spacing w:line="276" w:lineRule="auto"/>
        <w:jc w:val="both"/>
        <w:rPr>
          <w:rFonts w:ascii="Times New Roman" w:hAnsi="Times New Roman" w:cs="Times New Roman"/>
          <w:sz w:val="22"/>
          <w:szCs w:val="22"/>
          <w:u w:val="single"/>
        </w:rPr>
      </w:pPr>
      <w:r w:rsidRPr="00155F80">
        <w:rPr>
          <w:rFonts w:ascii="Times New Roman" w:hAnsi="Times New Roman" w:cs="Times New Roman"/>
          <w:noProof/>
          <w:sz w:val="22"/>
          <w:szCs w:val="22"/>
          <w:u w:val="single"/>
          <w:lang w:eastAsia="bs-Latn-BA"/>
        </w:rPr>
        <w:drawing>
          <wp:inline distT="0" distB="0" distL="0" distR="0" wp14:anchorId="612F0323" wp14:editId="63983446">
            <wp:extent cx="5606716" cy="2093495"/>
            <wp:effectExtent l="0" t="0" r="13335" b="2540"/>
            <wp:docPr id="57"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A131AD" w:rsidRPr="00155F80" w:rsidRDefault="00A131AD" w:rsidP="000C0138">
      <w:pPr>
        <w:pStyle w:val="Default"/>
        <w:spacing w:line="276" w:lineRule="auto"/>
        <w:jc w:val="both"/>
        <w:rPr>
          <w:rFonts w:ascii="Times New Roman" w:hAnsi="Times New Roman" w:cs="Times New Roman"/>
          <w:sz w:val="22"/>
          <w:szCs w:val="22"/>
          <w:u w:val="single"/>
        </w:rPr>
      </w:pPr>
    </w:p>
    <w:p w:rsidR="00A131AD" w:rsidRPr="00155F80" w:rsidRDefault="00A131AD" w:rsidP="000C0138">
      <w:pPr>
        <w:pStyle w:val="Default"/>
        <w:spacing w:line="276" w:lineRule="auto"/>
        <w:jc w:val="both"/>
        <w:rPr>
          <w:rFonts w:ascii="Times New Roman" w:hAnsi="Times New Roman" w:cs="Times New Roman"/>
          <w:sz w:val="22"/>
          <w:szCs w:val="22"/>
          <w:u w:val="single"/>
        </w:rPr>
      </w:pPr>
    </w:p>
    <w:p w:rsidR="00A131AD" w:rsidRPr="00155F80" w:rsidRDefault="00A131AD" w:rsidP="000C0138">
      <w:pPr>
        <w:pStyle w:val="Default"/>
        <w:spacing w:line="276" w:lineRule="auto"/>
        <w:jc w:val="both"/>
        <w:rPr>
          <w:rFonts w:ascii="Times New Roman" w:hAnsi="Times New Roman" w:cs="Times New Roman"/>
          <w:sz w:val="22"/>
          <w:szCs w:val="22"/>
          <w:u w:val="single"/>
        </w:rPr>
      </w:pPr>
      <w:r w:rsidRPr="00155F80">
        <w:rPr>
          <w:rFonts w:ascii="Times New Roman" w:hAnsi="Times New Roman" w:cs="Times New Roman"/>
          <w:sz w:val="22"/>
          <w:szCs w:val="22"/>
        </w:rPr>
        <w:t xml:space="preserve">Među uzrocima smrti u Federaciji BiH </w:t>
      </w:r>
      <w:r w:rsidR="003C79F2">
        <w:rPr>
          <w:rFonts w:ascii="Times New Roman" w:hAnsi="Times New Roman" w:cs="Times New Roman"/>
          <w:sz w:val="22"/>
          <w:szCs w:val="22"/>
        </w:rPr>
        <w:t>još uvijek postoji</w:t>
      </w:r>
      <w:r w:rsidRPr="00155F80">
        <w:rPr>
          <w:rFonts w:ascii="Times New Roman" w:hAnsi="Times New Roman" w:cs="Times New Roman"/>
          <w:sz w:val="22"/>
          <w:szCs w:val="22"/>
        </w:rPr>
        <w:t xml:space="preserve"> velik broj nepoznatih uzroka smrti, što se dovodi u </w:t>
      </w:r>
      <w:r w:rsidR="00A342B4">
        <w:rPr>
          <w:rFonts w:ascii="Times New Roman" w:hAnsi="Times New Roman" w:cs="Times New Roman"/>
          <w:sz w:val="22"/>
          <w:szCs w:val="22"/>
        </w:rPr>
        <w:t>s</w:t>
      </w:r>
      <w:r w:rsidRPr="00155F80">
        <w:rPr>
          <w:rFonts w:ascii="Times New Roman" w:hAnsi="Times New Roman" w:cs="Times New Roman"/>
          <w:sz w:val="22"/>
          <w:szCs w:val="22"/>
        </w:rPr>
        <w:t>vezu sa propustima u šifriranju uzroka smrti.</w:t>
      </w:r>
    </w:p>
    <w:p w:rsidR="00762A6B" w:rsidRPr="00155F80" w:rsidRDefault="00762A6B" w:rsidP="000C0138">
      <w:pPr>
        <w:pStyle w:val="Default"/>
        <w:spacing w:line="276" w:lineRule="auto"/>
        <w:jc w:val="both"/>
        <w:rPr>
          <w:rFonts w:ascii="Times New Roman" w:hAnsi="Times New Roman" w:cs="Times New Roman"/>
          <w:sz w:val="22"/>
          <w:szCs w:val="22"/>
        </w:rPr>
      </w:pPr>
      <w:r w:rsidRPr="00155F80">
        <w:rPr>
          <w:rFonts w:ascii="Times New Roman" w:hAnsi="Times New Roman" w:cs="Times New Roman"/>
          <w:sz w:val="22"/>
          <w:szCs w:val="22"/>
        </w:rPr>
        <w:t>U</w:t>
      </w:r>
      <w:r w:rsidR="00A131AD" w:rsidRPr="00155F80">
        <w:rPr>
          <w:rFonts w:ascii="Times New Roman" w:hAnsi="Times New Roman" w:cs="Times New Roman"/>
          <w:sz w:val="22"/>
          <w:szCs w:val="22"/>
        </w:rPr>
        <w:t xml:space="preserve"> proma</w:t>
      </w:r>
      <w:r w:rsidRPr="00155F80">
        <w:rPr>
          <w:rFonts w:ascii="Times New Roman" w:hAnsi="Times New Roman" w:cs="Times New Roman"/>
          <w:sz w:val="22"/>
          <w:szCs w:val="22"/>
        </w:rPr>
        <w:t xml:space="preserve">tranom </w:t>
      </w:r>
      <w:r w:rsidR="00A342B4">
        <w:rPr>
          <w:rFonts w:ascii="Times New Roman" w:hAnsi="Times New Roman" w:cs="Times New Roman"/>
          <w:sz w:val="22"/>
          <w:szCs w:val="22"/>
        </w:rPr>
        <w:t>razdoblju</w:t>
      </w:r>
      <w:r w:rsidRPr="00155F80">
        <w:rPr>
          <w:rFonts w:ascii="Times New Roman" w:hAnsi="Times New Roman" w:cs="Times New Roman"/>
          <w:sz w:val="22"/>
          <w:szCs w:val="22"/>
        </w:rPr>
        <w:t>, standardizirana stopa mortaliteta od</w:t>
      </w:r>
      <w:r w:rsidR="00A131AD" w:rsidRPr="00155F80">
        <w:rPr>
          <w:rFonts w:ascii="Times New Roman" w:hAnsi="Times New Roman" w:cs="Times New Roman"/>
          <w:sz w:val="22"/>
          <w:szCs w:val="22"/>
        </w:rPr>
        <w:t xml:space="preserve"> </w:t>
      </w:r>
      <w:r w:rsidRPr="00155F80">
        <w:rPr>
          <w:rFonts w:ascii="Times New Roman" w:hAnsi="Times New Roman" w:cs="Times New Roman"/>
          <w:sz w:val="22"/>
          <w:szCs w:val="22"/>
        </w:rPr>
        <w:t xml:space="preserve">kardiovaskularnih bolesti je najviša, bilježi trend rasta i za </w:t>
      </w:r>
      <w:r w:rsidR="00A131AD" w:rsidRPr="00155F80">
        <w:rPr>
          <w:rFonts w:ascii="Times New Roman" w:hAnsi="Times New Roman" w:cs="Times New Roman"/>
          <w:sz w:val="22"/>
          <w:szCs w:val="22"/>
        </w:rPr>
        <w:t xml:space="preserve">2015. godinu iznosi 400,9 </w:t>
      </w:r>
      <w:r w:rsidRPr="00155F80">
        <w:rPr>
          <w:rFonts w:ascii="Times New Roman" w:hAnsi="Times New Roman" w:cs="Times New Roman"/>
          <w:sz w:val="22"/>
          <w:szCs w:val="22"/>
        </w:rPr>
        <w:t>na 100.000 stanovnika. S</w:t>
      </w:r>
      <w:r w:rsidR="00A131AD" w:rsidRPr="00155F80">
        <w:rPr>
          <w:rFonts w:ascii="Times New Roman" w:hAnsi="Times New Roman" w:cs="Times New Roman"/>
          <w:sz w:val="22"/>
          <w:szCs w:val="22"/>
        </w:rPr>
        <w:t>lijede maligne neoplazme</w:t>
      </w:r>
      <w:r w:rsidRPr="00155F80">
        <w:rPr>
          <w:rFonts w:ascii="Times New Roman" w:hAnsi="Times New Roman" w:cs="Times New Roman"/>
          <w:sz w:val="22"/>
          <w:szCs w:val="22"/>
        </w:rPr>
        <w:t>, čija je</w:t>
      </w:r>
      <w:r w:rsidR="00A131AD" w:rsidRPr="00155F80">
        <w:rPr>
          <w:rFonts w:ascii="Times New Roman" w:hAnsi="Times New Roman" w:cs="Times New Roman"/>
          <w:sz w:val="22"/>
          <w:szCs w:val="22"/>
        </w:rPr>
        <w:t xml:space="preserve"> </w:t>
      </w:r>
      <w:r w:rsidRPr="00155F80">
        <w:rPr>
          <w:rFonts w:ascii="Times New Roman" w:hAnsi="Times New Roman" w:cs="Times New Roman"/>
          <w:sz w:val="22"/>
          <w:szCs w:val="22"/>
        </w:rPr>
        <w:t xml:space="preserve">standardizirana stopa mortaliteta za 2015. godinu </w:t>
      </w:r>
      <w:r w:rsidR="00A131AD" w:rsidRPr="00155F80">
        <w:rPr>
          <w:rFonts w:ascii="Times New Roman" w:hAnsi="Times New Roman" w:cs="Times New Roman"/>
          <w:sz w:val="22"/>
          <w:szCs w:val="22"/>
        </w:rPr>
        <w:t>164,1</w:t>
      </w:r>
      <w:r w:rsidRPr="00155F80">
        <w:rPr>
          <w:rFonts w:ascii="Times New Roman" w:hAnsi="Times New Roman" w:cs="Times New Roman"/>
          <w:sz w:val="22"/>
          <w:szCs w:val="22"/>
        </w:rPr>
        <w:t xml:space="preserve"> na 100.000</w:t>
      </w:r>
      <w:r w:rsidR="00A131AD" w:rsidRPr="00155F80">
        <w:rPr>
          <w:rFonts w:ascii="Times New Roman" w:hAnsi="Times New Roman" w:cs="Times New Roman"/>
          <w:sz w:val="22"/>
          <w:szCs w:val="22"/>
        </w:rPr>
        <w:t xml:space="preserve"> i </w:t>
      </w:r>
      <w:r w:rsidRPr="00155F80">
        <w:rPr>
          <w:rFonts w:ascii="Times New Roman" w:hAnsi="Times New Roman" w:cs="Times New Roman"/>
          <w:sz w:val="22"/>
          <w:szCs w:val="22"/>
        </w:rPr>
        <w:t xml:space="preserve">u proteklom </w:t>
      </w:r>
      <w:r w:rsidR="00A342B4">
        <w:rPr>
          <w:rFonts w:ascii="Times New Roman" w:hAnsi="Times New Roman" w:cs="Times New Roman"/>
          <w:sz w:val="22"/>
          <w:szCs w:val="22"/>
        </w:rPr>
        <w:t>razdoblju</w:t>
      </w:r>
      <w:r w:rsidRPr="00155F80">
        <w:rPr>
          <w:rFonts w:ascii="Times New Roman" w:hAnsi="Times New Roman" w:cs="Times New Roman"/>
          <w:sz w:val="22"/>
          <w:szCs w:val="22"/>
        </w:rPr>
        <w:t xml:space="preserve"> održava sličan trend.</w:t>
      </w:r>
    </w:p>
    <w:p w:rsidR="00A131AD" w:rsidRDefault="00A131AD" w:rsidP="000C0138">
      <w:pPr>
        <w:pStyle w:val="Default"/>
        <w:spacing w:line="276" w:lineRule="auto"/>
        <w:jc w:val="both"/>
        <w:rPr>
          <w:rFonts w:ascii="Times New Roman" w:hAnsi="Times New Roman" w:cs="Times New Roman"/>
          <w:sz w:val="22"/>
          <w:szCs w:val="22"/>
        </w:rPr>
      </w:pPr>
      <w:r w:rsidRPr="00155F80">
        <w:rPr>
          <w:rFonts w:ascii="Times New Roman" w:hAnsi="Times New Roman" w:cs="Times New Roman"/>
          <w:sz w:val="22"/>
          <w:szCs w:val="22"/>
        </w:rPr>
        <w:t xml:space="preserve">Na trećem mjestu uzroka umiranja je dijabetes melitus sa SDR za 2015. godinu od 40,3 </w:t>
      </w:r>
      <w:r w:rsidR="00AA0D77" w:rsidRPr="00155F80">
        <w:rPr>
          <w:rFonts w:ascii="Times New Roman" w:hAnsi="Times New Roman" w:cs="Times New Roman"/>
          <w:sz w:val="22"/>
          <w:szCs w:val="22"/>
        </w:rPr>
        <w:t xml:space="preserve">na 100.000. </w:t>
      </w:r>
      <w:r w:rsidR="00A342B4">
        <w:rPr>
          <w:rFonts w:ascii="Times New Roman" w:hAnsi="Times New Roman" w:cs="Times New Roman"/>
          <w:sz w:val="22"/>
          <w:szCs w:val="22"/>
        </w:rPr>
        <w:t>K</w:t>
      </w:r>
      <w:r w:rsidRPr="00155F80">
        <w:rPr>
          <w:rFonts w:ascii="Times New Roman" w:hAnsi="Times New Roman" w:cs="Times New Roman"/>
          <w:sz w:val="22"/>
          <w:szCs w:val="22"/>
        </w:rPr>
        <w:t xml:space="preserve">ronične respiratorne bolesti sa SDR </w:t>
      </w:r>
      <w:r w:rsidR="00CF3D30">
        <w:rPr>
          <w:rFonts w:ascii="Times New Roman" w:hAnsi="Times New Roman" w:cs="Times New Roman"/>
          <w:sz w:val="22"/>
          <w:szCs w:val="22"/>
        </w:rPr>
        <w:t xml:space="preserve">od </w:t>
      </w:r>
      <w:r w:rsidR="00CF3D30" w:rsidRPr="00155F80">
        <w:rPr>
          <w:rFonts w:ascii="Times New Roman" w:hAnsi="Times New Roman" w:cs="Times New Roman"/>
          <w:sz w:val="22"/>
          <w:szCs w:val="22"/>
        </w:rPr>
        <w:t>25,4</w:t>
      </w:r>
      <w:r w:rsidR="00CF3D30">
        <w:rPr>
          <w:rFonts w:ascii="Times New Roman" w:hAnsi="Times New Roman" w:cs="Times New Roman"/>
          <w:sz w:val="22"/>
          <w:szCs w:val="22"/>
        </w:rPr>
        <w:t>/100.000</w:t>
      </w:r>
      <w:r w:rsidR="00CF3D30" w:rsidRPr="00155F80">
        <w:rPr>
          <w:rFonts w:ascii="Times New Roman" w:hAnsi="Times New Roman" w:cs="Times New Roman"/>
          <w:sz w:val="22"/>
          <w:szCs w:val="22"/>
        </w:rPr>
        <w:t xml:space="preserve"> </w:t>
      </w:r>
      <w:r w:rsidRPr="00155F80">
        <w:rPr>
          <w:rFonts w:ascii="Times New Roman" w:hAnsi="Times New Roman" w:cs="Times New Roman"/>
          <w:sz w:val="22"/>
          <w:szCs w:val="22"/>
        </w:rPr>
        <w:t>za 2015. godinu takođe</w:t>
      </w:r>
      <w:r w:rsidR="00CF3D30">
        <w:rPr>
          <w:rFonts w:ascii="Times New Roman" w:hAnsi="Times New Roman" w:cs="Times New Roman"/>
          <w:sz w:val="22"/>
          <w:szCs w:val="22"/>
        </w:rPr>
        <w:t>r</w:t>
      </w:r>
      <w:r w:rsidRPr="00155F80">
        <w:rPr>
          <w:rFonts w:ascii="Times New Roman" w:hAnsi="Times New Roman" w:cs="Times New Roman"/>
          <w:sz w:val="22"/>
          <w:szCs w:val="22"/>
        </w:rPr>
        <w:t xml:space="preserve"> bilježe </w:t>
      </w:r>
      <w:r w:rsidR="003C79F2">
        <w:rPr>
          <w:rFonts w:ascii="Times New Roman" w:hAnsi="Times New Roman" w:cs="Times New Roman"/>
          <w:sz w:val="22"/>
          <w:szCs w:val="22"/>
        </w:rPr>
        <w:t>lagani</w:t>
      </w:r>
      <w:r w:rsidRPr="00155F80">
        <w:rPr>
          <w:rFonts w:ascii="Times New Roman" w:hAnsi="Times New Roman" w:cs="Times New Roman"/>
          <w:sz w:val="22"/>
          <w:szCs w:val="22"/>
        </w:rPr>
        <w:t xml:space="preserve"> rast </w:t>
      </w:r>
      <w:r w:rsidR="003C79F2">
        <w:rPr>
          <w:rFonts w:ascii="Times New Roman" w:hAnsi="Times New Roman" w:cs="Times New Roman"/>
          <w:sz w:val="22"/>
          <w:szCs w:val="22"/>
        </w:rPr>
        <w:t>u p</w:t>
      </w:r>
      <w:r w:rsidR="00A342B4">
        <w:rPr>
          <w:rFonts w:ascii="Times New Roman" w:hAnsi="Times New Roman" w:cs="Times New Roman"/>
          <w:sz w:val="22"/>
          <w:szCs w:val="22"/>
        </w:rPr>
        <w:t>r</w:t>
      </w:r>
      <w:r w:rsidR="003C79F2">
        <w:rPr>
          <w:rFonts w:ascii="Times New Roman" w:hAnsi="Times New Roman" w:cs="Times New Roman"/>
          <w:sz w:val="22"/>
          <w:szCs w:val="22"/>
        </w:rPr>
        <w:t xml:space="preserve">omatranom </w:t>
      </w:r>
      <w:r w:rsidR="00A342B4">
        <w:rPr>
          <w:rFonts w:ascii="Times New Roman" w:hAnsi="Times New Roman" w:cs="Times New Roman"/>
          <w:sz w:val="22"/>
          <w:szCs w:val="22"/>
        </w:rPr>
        <w:t>razdoblju</w:t>
      </w:r>
      <w:r w:rsidR="003C79F2">
        <w:rPr>
          <w:rFonts w:ascii="Times New Roman" w:hAnsi="Times New Roman" w:cs="Times New Roman"/>
          <w:sz w:val="22"/>
          <w:szCs w:val="22"/>
        </w:rPr>
        <w:t>.</w:t>
      </w:r>
    </w:p>
    <w:p w:rsidR="000C0138" w:rsidRPr="00155F80" w:rsidRDefault="000C0138" w:rsidP="000C0138">
      <w:pPr>
        <w:pStyle w:val="Default"/>
        <w:spacing w:line="276" w:lineRule="auto"/>
        <w:jc w:val="both"/>
        <w:rPr>
          <w:rFonts w:ascii="Times New Roman" w:hAnsi="Times New Roman" w:cs="Times New Roman"/>
          <w:sz w:val="22"/>
          <w:szCs w:val="22"/>
          <w:u w:val="single"/>
        </w:rPr>
      </w:pPr>
    </w:p>
    <w:p w:rsidR="00B25A26" w:rsidRPr="004134C0" w:rsidRDefault="00A131AD" w:rsidP="00EB7CC7">
      <w:pPr>
        <w:pStyle w:val="refererere"/>
        <w:rPr>
          <w:iCs/>
        </w:rPr>
      </w:pPr>
      <w:r w:rsidRPr="00155F80">
        <w:rPr>
          <w:iCs/>
        </w:rPr>
        <w:t xml:space="preserve">Grafikon 11: </w:t>
      </w:r>
      <w:r w:rsidRPr="00155F80">
        <w:t xml:space="preserve">SDR za </w:t>
      </w:r>
      <w:r w:rsidR="004134C0">
        <w:t xml:space="preserve">kardiovaskularne bolesti, maligne neoplazme, dijabetes i </w:t>
      </w:r>
      <w:r w:rsidR="00A342B4">
        <w:t>k</w:t>
      </w:r>
      <w:r w:rsidR="004134C0">
        <w:t xml:space="preserve">ronične respiratorne bolesti </w:t>
      </w:r>
      <w:r w:rsidRPr="00155F80">
        <w:t xml:space="preserve"> u Federaciji BiH, za </w:t>
      </w:r>
      <w:r w:rsidR="00A342B4">
        <w:t>razdoblje</w:t>
      </w:r>
      <w:r w:rsidRPr="00155F80">
        <w:t xml:space="preserve"> </w:t>
      </w:r>
      <w:r w:rsidRPr="00155F80">
        <w:rPr>
          <w:iCs/>
        </w:rPr>
        <w:t>2010</w:t>
      </w:r>
      <w:r w:rsidRPr="00155F80">
        <w:rPr>
          <w:rFonts w:ascii="Cambria Math" w:hAnsi="Cambria Math" w:cs="Cambria Math"/>
        </w:rPr>
        <w:t>‐</w:t>
      </w:r>
      <w:r w:rsidRPr="00155F80">
        <w:t xml:space="preserve"> </w:t>
      </w:r>
      <w:r w:rsidRPr="00155F80">
        <w:rPr>
          <w:iCs/>
        </w:rPr>
        <w:t>2015. godina</w:t>
      </w:r>
      <w:r w:rsidR="004134C0">
        <w:rPr>
          <w:iCs/>
        </w:rPr>
        <w:t>, stopa na 100.000 stanovnika</w:t>
      </w:r>
    </w:p>
    <w:p w:rsidR="00A131AD" w:rsidRPr="00155F80" w:rsidRDefault="00A131AD" w:rsidP="000C0138">
      <w:pPr>
        <w:pStyle w:val="Default"/>
        <w:spacing w:line="276" w:lineRule="auto"/>
        <w:jc w:val="both"/>
        <w:rPr>
          <w:rFonts w:ascii="Times New Roman" w:hAnsi="Times New Roman" w:cs="Times New Roman"/>
          <w:sz w:val="22"/>
          <w:szCs w:val="22"/>
          <w:u w:val="single"/>
        </w:rPr>
      </w:pPr>
      <w:r w:rsidRPr="00155F80">
        <w:rPr>
          <w:rFonts w:ascii="Times New Roman" w:hAnsi="Times New Roman" w:cs="Times New Roman"/>
          <w:noProof/>
          <w:sz w:val="22"/>
          <w:szCs w:val="22"/>
          <w:u w:val="single"/>
          <w:lang w:eastAsia="bs-Latn-BA"/>
        </w:rPr>
        <w:drawing>
          <wp:inline distT="0" distB="0" distL="0" distR="0" wp14:anchorId="611A441C" wp14:editId="47B3C87A">
            <wp:extent cx="5702935" cy="1838325"/>
            <wp:effectExtent l="0" t="0" r="12065" b="9525"/>
            <wp:docPr id="58"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A131AD" w:rsidRPr="00155F80" w:rsidRDefault="00A131AD" w:rsidP="000C0138">
      <w:pPr>
        <w:pStyle w:val="Default"/>
        <w:spacing w:line="276" w:lineRule="auto"/>
        <w:jc w:val="both"/>
        <w:rPr>
          <w:rFonts w:ascii="Times New Roman" w:hAnsi="Times New Roman" w:cs="Times New Roman"/>
          <w:sz w:val="22"/>
          <w:szCs w:val="22"/>
          <w:u w:val="single"/>
        </w:rPr>
      </w:pPr>
    </w:p>
    <w:p w:rsidR="00AA7D25" w:rsidRDefault="00AA7D25" w:rsidP="000C0138">
      <w:pPr>
        <w:pStyle w:val="Default"/>
        <w:spacing w:line="276" w:lineRule="auto"/>
        <w:jc w:val="both"/>
        <w:rPr>
          <w:rFonts w:ascii="Times New Roman" w:hAnsi="Times New Roman" w:cs="Times New Roman"/>
          <w:sz w:val="22"/>
          <w:szCs w:val="22"/>
        </w:rPr>
      </w:pPr>
    </w:p>
    <w:p w:rsidR="00AA7D25" w:rsidRPr="00250204" w:rsidRDefault="00AA7D25" w:rsidP="00AA7D25">
      <w:pPr>
        <w:rPr>
          <w:rFonts w:ascii="Times New Roman" w:hAnsi="Times New Roman"/>
          <w:lang w:val="bs-Latn-BA"/>
        </w:rPr>
      </w:pPr>
      <w:r w:rsidRPr="00250204">
        <w:rPr>
          <w:rFonts w:ascii="Times New Roman" w:hAnsi="Times New Roman"/>
        </w:rPr>
        <w:lastRenderedPageBreak/>
        <w:t>S</w:t>
      </w:r>
      <w:r w:rsidR="004809B6" w:rsidRPr="00250204">
        <w:rPr>
          <w:rFonts w:ascii="Times New Roman" w:hAnsi="Times New Roman"/>
        </w:rPr>
        <w:t>tandardizirana stopa</w:t>
      </w:r>
      <w:r w:rsidR="00250204" w:rsidRPr="00250204">
        <w:rPr>
          <w:rFonts w:ascii="Times New Roman" w:hAnsi="Times New Roman"/>
        </w:rPr>
        <w:t xml:space="preserve"> mortaliteta </w:t>
      </w:r>
      <w:r w:rsidR="00A342B4">
        <w:rPr>
          <w:rFonts w:ascii="Times New Roman" w:hAnsi="Times New Roman"/>
        </w:rPr>
        <w:t>eu</w:t>
      </w:r>
      <w:r w:rsidR="00250204" w:rsidRPr="00250204">
        <w:rPr>
          <w:rFonts w:ascii="Times New Roman" w:hAnsi="Times New Roman"/>
        </w:rPr>
        <w:t>ropsk</w:t>
      </w:r>
      <w:r w:rsidR="00A342B4">
        <w:rPr>
          <w:rFonts w:ascii="Times New Roman" w:hAnsi="Times New Roman"/>
        </w:rPr>
        <w:t>e</w:t>
      </w:r>
      <w:r w:rsidRPr="00250204">
        <w:rPr>
          <w:rFonts w:ascii="Times New Roman" w:hAnsi="Times New Roman"/>
        </w:rPr>
        <w:t xml:space="preserve"> regi</w:t>
      </w:r>
      <w:r w:rsidR="00A342B4">
        <w:rPr>
          <w:rFonts w:ascii="Times New Roman" w:hAnsi="Times New Roman"/>
        </w:rPr>
        <w:t>je</w:t>
      </w:r>
      <w:r w:rsidRPr="00250204">
        <w:rPr>
          <w:rFonts w:ascii="Times New Roman" w:hAnsi="Times New Roman"/>
        </w:rPr>
        <w:t xml:space="preserve"> (prosjek) od kardiovaskularnih bolesti ima vrijednost od 339,99/100.000 stanovnika </w:t>
      </w:r>
      <w:r w:rsidR="004809B6" w:rsidRPr="00250204">
        <w:rPr>
          <w:rFonts w:ascii="Times New Roman" w:hAnsi="Times New Roman"/>
        </w:rPr>
        <w:t>i</w:t>
      </w:r>
      <w:r w:rsidRPr="00250204">
        <w:rPr>
          <w:rFonts w:ascii="Times New Roman" w:hAnsi="Times New Roman"/>
        </w:rPr>
        <w:t xml:space="preserve"> niža </w:t>
      </w:r>
      <w:r w:rsidR="004809B6" w:rsidRPr="00250204">
        <w:rPr>
          <w:rFonts w:ascii="Times New Roman" w:hAnsi="Times New Roman"/>
        </w:rPr>
        <w:t xml:space="preserve">je </w:t>
      </w:r>
      <w:r w:rsidRPr="00250204">
        <w:rPr>
          <w:rFonts w:ascii="Times New Roman" w:hAnsi="Times New Roman"/>
        </w:rPr>
        <w:t xml:space="preserve">nego u Federaciji BiH, za maligne neoplazme </w:t>
      </w:r>
      <w:r w:rsidR="004809B6" w:rsidRPr="00250204">
        <w:rPr>
          <w:rFonts w:ascii="Times New Roman" w:hAnsi="Times New Roman"/>
        </w:rPr>
        <w:t xml:space="preserve">iznosi 156,51/100.000 i slična je kao u Federaciji BiH, za </w:t>
      </w:r>
      <w:r w:rsidRPr="00250204">
        <w:rPr>
          <w:rFonts w:ascii="Times New Roman" w:hAnsi="Times New Roman"/>
        </w:rPr>
        <w:t>dijabetes melitus</w:t>
      </w:r>
      <w:r w:rsidR="004809B6" w:rsidRPr="00250204">
        <w:rPr>
          <w:rFonts w:ascii="Times New Roman" w:hAnsi="Times New Roman"/>
        </w:rPr>
        <w:t xml:space="preserve">ima vrijednost od </w:t>
      </w:r>
      <w:r w:rsidRPr="00250204">
        <w:rPr>
          <w:rFonts w:ascii="Times New Roman" w:hAnsi="Times New Roman"/>
        </w:rPr>
        <w:t>12,91</w:t>
      </w:r>
      <w:r w:rsidR="004809B6" w:rsidRPr="00250204">
        <w:rPr>
          <w:rFonts w:ascii="Times New Roman" w:hAnsi="Times New Roman"/>
        </w:rPr>
        <w:t xml:space="preserve">/100.000 i mnogo je niža nego u Federaciji BiH, dok za </w:t>
      </w:r>
      <w:r w:rsidR="00A342B4">
        <w:rPr>
          <w:rFonts w:ascii="Times New Roman" w:hAnsi="Times New Roman"/>
        </w:rPr>
        <w:t>k</w:t>
      </w:r>
      <w:r w:rsidR="004809B6" w:rsidRPr="00250204">
        <w:rPr>
          <w:rFonts w:ascii="Times New Roman" w:hAnsi="Times New Roman"/>
        </w:rPr>
        <w:t xml:space="preserve">ronične </w:t>
      </w:r>
      <w:r w:rsidRPr="00250204">
        <w:rPr>
          <w:rFonts w:ascii="Times New Roman" w:hAnsi="Times New Roman"/>
        </w:rPr>
        <w:t xml:space="preserve"> </w:t>
      </w:r>
      <w:r w:rsidR="004809B6" w:rsidRPr="00250204">
        <w:rPr>
          <w:rFonts w:ascii="Times New Roman" w:hAnsi="Times New Roman"/>
        </w:rPr>
        <w:t>respiratorne bolesti  iznosi 45,16/100.000 i značajno je vi</w:t>
      </w:r>
      <w:r w:rsidR="00A342B4">
        <w:rPr>
          <w:rFonts w:ascii="Times New Roman" w:hAnsi="Times New Roman"/>
        </w:rPr>
        <w:t>š</w:t>
      </w:r>
      <w:r w:rsidR="004809B6" w:rsidRPr="00250204">
        <w:rPr>
          <w:rFonts w:ascii="Times New Roman" w:hAnsi="Times New Roman"/>
        </w:rPr>
        <w:t>a nego u Federaciji BiH.</w:t>
      </w:r>
    </w:p>
    <w:p w:rsidR="00AA7D25" w:rsidRDefault="00AA7D25" w:rsidP="000C0138">
      <w:pPr>
        <w:pStyle w:val="Default"/>
        <w:spacing w:line="276" w:lineRule="auto"/>
        <w:jc w:val="both"/>
        <w:rPr>
          <w:rFonts w:ascii="Times New Roman" w:hAnsi="Times New Roman" w:cs="Times New Roman"/>
          <w:sz w:val="22"/>
          <w:szCs w:val="22"/>
        </w:rPr>
      </w:pPr>
    </w:p>
    <w:p w:rsidR="00A131AD" w:rsidRPr="00155F80" w:rsidRDefault="00A131AD" w:rsidP="000C0138">
      <w:pPr>
        <w:pStyle w:val="Default"/>
        <w:spacing w:line="276" w:lineRule="auto"/>
        <w:jc w:val="both"/>
        <w:rPr>
          <w:rFonts w:ascii="Times New Roman" w:hAnsi="Times New Roman" w:cs="Times New Roman"/>
          <w:sz w:val="22"/>
          <w:szCs w:val="22"/>
        </w:rPr>
      </w:pPr>
      <w:r w:rsidRPr="00155F80">
        <w:rPr>
          <w:rFonts w:ascii="Times New Roman" w:hAnsi="Times New Roman" w:cs="Times New Roman"/>
          <w:sz w:val="22"/>
          <w:szCs w:val="22"/>
        </w:rPr>
        <w:t xml:space="preserve">Vodeći uzroci smrti stanovništva Federacije Bosne i Hercegovine, ako </w:t>
      </w:r>
      <w:r w:rsidR="00A342B4">
        <w:rPr>
          <w:rFonts w:ascii="Times New Roman" w:hAnsi="Times New Roman" w:cs="Times New Roman"/>
          <w:sz w:val="22"/>
          <w:szCs w:val="22"/>
        </w:rPr>
        <w:t>us</w:t>
      </w:r>
      <w:r w:rsidRPr="00155F80">
        <w:rPr>
          <w:rFonts w:ascii="Times New Roman" w:hAnsi="Times New Roman" w:cs="Times New Roman"/>
          <w:sz w:val="22"/>
          <w:szCs w:val="22"/>
        </w:rPr>
        <w:t>poredimo 2010. i 2015. godinu su</w:t>
      </w:r>
      <w:r w:rsidR="00AC6D5D">
        <w:rPr>
          <w:rFonts w:ascii="Times New Roman" w:hAnsi="Times New Roman" w:cs="Times New Roman"/>
          <w:sz w:val="22"/>
          <w:szCs w:val="22"/>
        </w:rPr>
        <w:t xml:space="preserve"> moždani udar (I63) sa stopom</w:t>
      </w:r>
      <w:r w:rsidRPr="00155F80">
        <w:rPr>
          <w:rFonts w:ascii="Times New Roman" w:hAnsi="Times New Roman" w:cs="Times New Roman"/>
          <w:sz w:val="22"/>
          <w:szCs w:val="22"/>
        </w:rPr>
        <w:t xml:space="preserve"> od 93,4</w:t>
      </w:r>
      <w:r w:rsidR="00AC6D5D">
        <w:rPr>
          <w:rFonts w:ascii="Times New Roman" w:hAnsi="Times New Roman" w:cs="Times New Roman"/>
          <w:sz w:val="22"/>
          <w:szCs w:val="22"/>
        </w:rPr>
        <w:t>/</w:t>
      </w:r>
      <w:r w:rsidR="00AC6D5D" w:rsidRPr="00155F80">
        <w:rPr>
          <w:rFonts w:ascii="Times New Roman" w:hAnsi="Times New Roman" w:cs="Times New Roman"/>
          <w:sz w:val="22"/>
          <w:szCs w:val="22"/>
        </w:rPr>
        <w:t xml:space="preserve">100.000 stanovnika </w:t>
      </w:r>
      <w:r w:rsidRPr="00155F80">
        <w:rPr>
          <w:rFonts w:ascii="Times New Roman" w:hAnsi="Times New Roman" w:cs="Times New Roman"/>
          <w:sz w:val="22"/>
          <w:szCs w:val="22"/>
        </w:rPr>
        <w:t>koja bilježi blagi rast u odnosu na 2010. kada je iznosila 89,9</w:t>
      </w:r>
      <w:r w:rsidR="00AC6D5D">
        <w:rPr>
          <w:rFonts w:ascii="Times New Roman" w:hAnsi="Times New Roman" w:cs="Times New Roman"/>
          <w:sz w:val="22"/>
          <w:szCs w:val="22"/>
        </w:rPr>
        <w:t>/</w:t>
      </w:r>
      <w:r w:rsidR="00AC6D5D" w:rsidRPr="00155F80">
        <w:rPr>
          <w:rFonts w:ascii="Times New Roman" w:hAnsi="Times New Roman" w:cs="Times New Roman"/>
          <w:sz w:val="22"/>
          <w:szCs w:val="22"/>
        </w:rPr>
        <w:t>100.000</w:t>
      </w:r>
      <w:r w:rsidRPr="00155F80">
        <w:rPr>
          <w:rFonts w:ascii="Times New Roman" w:hAnsi="Times New Roman" w:cs="Times New Roman"/>
          <w:sz w:val="22"/>
          <w:szCs w:val="22"/>
        </w:rPr>
        <w:t>, slijedi akutni infarkt miokarda (I21) 89,5</w:t>
      </w:r>
      <w:r w:rsidR="00AC6D5D">
        <w:rPr>
          <w:rFonts w:ascii="Times New Roman" w:hAnsi="Times New Roman" w:cs="Times New Roman"/>
          <w:sz w:val="22"/>
          <w:szCs w:val="22"/>
        </w:rPr>
        <w:t>/</w:t>
      </w:r>
      <w:r w:rsidR="00AC6D5D" w:rsidRPr="00155F80">
        <w:rPr>
          <w:rFonts w:ascii="Times New Roman" w:hAnsi="Times New Roman" w:cs="Times New Roman"/>
          <w:sz w:val="22"/>
          <w:szCs w:val="22"/>
        </w:rPr>
        <w:t xml:space="preserve">100.000 </w:t>
      </w:r>
      <w:r w:rsidRPr="00155F80">
        <w:rPr>
          <w:rFonts w:ascii="Times New Roman" w:hAnsi="Times New Roman" w:cs="Times New Roman"/>
          <w:sz w:val="22"/>
          <w:szCs w:val="22"/>
        </w:rPr>
        <w:t xml:space="preserve"> koji bilježi rast u odnosu na 2010. </w:t>
      </w:r>
      <w:r w:rsidR="00AC6D5D">
        <w:rPr>
          <w:rFonts w:ascii="Times New Roman" w:hAnsi="Times New Roman" w:cs="Times New Roman"/>
          <w:sz w:val="22"/>
          <w:szCs w:val="22"/>
        </w:rPr>
        <w:t xml:space="preserve">godinu </w:t>
      </w:r>
      <w:r w:rsidRPr="00155F80">
        <w:rPr>
          <w:rFonts w:ascii="Times New Roman" w:hAnsi="Times New Roman" w:cs="Times New Roman"/>
          <w:sz w:val="22"/>
          <w:szCs w:val="22"/>
        </w:rPr>
        <w:t xml:space="preserve">kada je stopa na 100.000 stanovnika bila 69,2. </w:t>
      </w:r>
    </w:p>
    <w:p w:rsidR="00A131AD" w:rsidRPr="00155F80" w:rsidRDefault="00A131AD" w:rsidP="000C0138">
      <w:pPr>
        <w:pStyle w:val="Default"/>
        <w:spacing w:line="276" w:lineRule="auto"/>
        <w:jc w:val="both"/>
        <w:rPr>
          <w:rFonts w:ascii="Times New Roman" w:hAnsi="Times New Roman" w:cs="Times New Roman"/>
          <w:sz w:val="22"/>
          <w:szCs w:val="22"/>
        </w:rPr>
      </w:pPr>
      <w:r w:rsidRPr="00155F80">
        <w:rPr>
          <w:rFonts w:ascii="Times New Roman" w:hAnsi="Times New Roman" w:cs="Times New Roman"/>
          <w:sz w:val="22"/>
          <w:szCs w:val="22"/>
        </w:rPr>
        <w:t>Kao treći vodeći uzrok smrti u</w:t>
      </w:r>
      <w:r w:rsidR="00311B9D" w:rsidRPr="00155F80">
        <w:rPr>
          <w:rFonts w:ascii="Times New Roman" w:hAnsi="Times New Roman" w:cs="Times New Roman"/>
          <w:sz w:val="22"/>
          <w:szCs w:val="22"/>
        </w:rPr>
        <w:t xml:space="preserve"> 2015. godini evidentira se srča</w:t>
      </w:r>
      <w:r w:rsidRPr="00155F80">
        <w:rPr>
          <w:rFonts w:ascii="Times New Roman" w:hAnsi="Times New Roman" w:cs="Times New Roman"/>
          <w:sz w:val="22"/>
          <w:szCs w:val="22"/>
        </w:rPr>
        <w:t>ni zastoj (I46) 69,8</w:t>
      </w:r>
      <w:r w:rsidR="00AC6D5D">
        <w:rPr>
          <w:rFonts w:ascii="Times New Roman" w:hAnsi="Times New Roman" w:cs="Times New Roman"/>
          <w:sz w:val="22"/>
          <w:szCs w:val="22"/>
        </w:rPr>
        <w:t>/</w:t>
      </w:r>
      <w:r w:rsidR="00AC6D5D" w:rsidRPr="00155F80">
        <w:rPr>
          <w:rFonts w:ascii="Times New Roman" w:hAnsi="Times New Roman" w:cs="Times New Roman"/>
          <w:sz w:val="22"/>
          <w:szCs w:val="22"/>
        </w:rPr>
        <w:t>100.000</w:t>
      </w:r>
      <w:r w:rsidRPr="00155F80">
        <w:rPr>
          <w:rFonts w:ascii="Times New Roman" w:hAnsi="Times New Roman" w:cs="Times New Roman"/>
          <w:sz w:val="22"/>
          <w:szCs w:val="22"/>
        </w:rPr>
        <w:t>, što je blago smanjenje u odnosu na 2010. godinu kada je stopa iznosila 75,7</w:t>
      </w:r>
      <w:r w:rsidR="00AC6D5D">
        <w:rPr>
          <w:rFonts w:ascii="Times New Roman" w:hAnsi="Times New Roman" w:cs="Times New Roman"/>
          <w:sz w:val="22"/>
          <w:szCs w:val="22"/>
        </w:rPr>
        <w:t>/</w:t>
      </w:r>
      <w:r w:rsidR="00AC6D5D" w:rsidRPr="00155F80">
        <w:rPr>
          <w:rFonts w:ascii="Times New Roman" w:hAnsi="Times New Roman" w:cs="Times New Roman"/>
          <w:sz w:val="22"/>
          <w:szCs w:val="22"/>
        </w:rPr>
        <w:t>100.000</w:t>
      </w:r>
      <w:r w:rsidRPr="00155F80">
        <w:rPr>
          <w:rFonts w:ascii="Times New Roman" w:hAnsi="Times New Roman" w:cs="Times New Roman"/>
          <w:sz w:val="22"/>
          <w:szCs w:val="22"/>
        </w:rPr>
        <w:t>, kardiomiopatija (I42) je četvrti vodeći uzrok smrti u 2015. godini sa stopom 64,0</w:t>
      </w:r>
      <w:r w:rsidR="00AC6D5D">
        <w:rPr>
          <w:rFonts w:ascii="Times New Roman" w:hAnsi="Times New Roman" w:cs="Times New Roman"/>
          <w:sz w:val="22"/>
          <w:szCs w:val="22"/>
        </w:rPr>
        <w:t>/</w:t>
      </w:r>
      <w:r w:rsidR="00AC6D5D" w:rsidRPr="00155F80">
        <w:rPr>
          <w:rFonts w:ascii="Times New Roman" w:hAnsi="Times New Roman" w:cs="Times New Roman"/>
          <w:sz w:val="22"/>
          <w:szCs w:val="22"/>
        </w:rPr>
        <w:t>100.000</w:t>
      </w:r>
      <w:r w:rsidRPr="00155F80">
        <w:rPr>
          <w:rFonts w:ascii="Times New Roman" w:hAnsi="Times New Roman" w:cs="Times New Roman"/>
          <w:sz w:val="22"/>
          <w:szCs w:val="22"/>
        </w:rPr>
        <w:t>, a esencijalna hipertenzija (I10) je evidentirana kao peti najčešći uzrok umiranja u Federaciji BiH u 2015. godini. Ovo se može povezati sa životnim navikama stanovništva.</w:t>
      </w:r>
    </w:p>
    <w:p w:rsidR="00A131AD" w:rsidRPr="00155F80" w:rsidRDefault="00A131AD" w:rsidP="000C0138">
      <w:pPr>
        <w:pStyle w:val="Default"/>
        <w:spacing w:line="276" w:lineRule="auto"/>
        <w:jc w:val="both"/>
        <w:rPr>
          <w:rFonts w:ascii="Times New Roman" w:hAnsi="Times New Roman" w:cs="Times New Roman"/>
          <w:sz w:val="22"/>
          <w:szCs w:val="22"/>
        </w:rPr>
      </w:pPr>
    </w:p>
    <w:p w:rsidR="00A131AD" w:rsidRPr="00155F80" w:rsidRDefault="00A131AD" w:rsidP="00EB7CC7">
      <w:pPr>
        <w:pStyle w:val="refererere"/>
        <w:rPr>
          <w:lang w:eastAsia="bs-Latn-BA"/>
        </w:rPr>
      </w:pPr>
      <w:r w:rsidRPr="00155F80">
        <w:rPr>
          <w:iCs/>
        </w:rPr>
        <w:t>Grafikon 12:</w:t>
      </w:r>
      <w:r w:rsidR="00B25A26">
        <w:rPr>
          <w:iCs/>
        </w:rPr>
        <w:t xml:space="preserve"> </w:t>
      </w:r>
      <w:r w:rsidRPr="00155F80">
        <w:rPr>
          <w:lang w:eastAsia="bs-Latn-BA"/>
        </w:rPr>
        <w:t xml:space="preserve">Pet vodećih oboljenja kao uzroci smrti u Federaciji BiH, </w:t>
      </w:r>
      <w:r w:rsidRPr="00155F80">
        <w:rPr>
          <w:iCs/>
        </w:rPr>
        <w:t>2010.</w:t>
      </w:r>
      <w:r w:rsidRPr="00155F80">
        <w:rPr>
          <w:rFonts w:ascii="Cambria Math" w:hAnsi="Cambria Math" w:cs="Cambria Math"/>
        </w:rPr>
        <w:t>i</w:t>
      </w:r>
      <w:r w:rsidRPr="00155F80">
        <w:t xml:space="preserve"> </w:t>
      </w:r>
      <w:r w:rsidRPr="00155F80">
        <w:rPr>
          <w:iCs/>
        </w:rPr>
        <w:t>2015. godina,</w:t>
      </w:r>
      <w:r w:rsidRPr="00155F80">
        <w:rPr>
          <w:lang w:eastAsia="bs-Latn-BA"/>
        </w:rPr>
        <w:t xml:space="preserve"> stopa na 100.000 stanovnika</w:t>
      </w:r>
    </w:p>
    <w:p w:rsidR="00A131AD" w:rsidRPr="00155F80" w:rsidRDefault="00A131AD" w:rsidP="000C0138">
      <w:pPr>
        <w:pStyle w:val="Default"/>
        <w:spacing w:line="276" w:lineRule="auto"/>
        <w:jc w:val="both"/>
        <w:rPr>
          <w:rFonts w:ascii="Times New Roman" w:hAnsi="Times New Roman" w:cs="Times New Roman"/>
          <w:sz w:val="22"/>
          <w:szCs w:val="22"/>
        </w:rPr>
      </w:pPr>
      <w:r w:rsidRPr="00155F80">
        <w:rPr>
          <w:rFonts w:ascii="Times New Roman" w:hAnsi="Times New Roman" w:cs="Times New Roman"/>
          <w:noProof/>
          <w:sz w:val="22"/>
          <w:szCs w:val="22"/>
          <w:lang w:eastAsia="bs-Latn-BA"/>
        </w:rPr>
        <w:drawing>
          <wp:inline distT="0" distB="0" distL="0" distR="0" wp14:anchorId="571ED626" wp14:editId="550A43E0">
            <wp:extent cx="5871210" cy="1905000"/>
            <wp:effectExtent l="0" t="0" r="15240" b="0"/>
            <wp:docPr id="59" name="Chart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A131AD" w:rsidRPr="00155F80" w:rsidRDefault="00A131AD" w:rsidP="000C0138">
      <w:pPr>
        <w:pStyle w:val="Default"/>
        <w:spacing w:line="276" w:lineRule="auto"/>
        <w:jc w:val="both"/>
        <w:rPr>
          <w:rFonts w:ascii="Times New Roman" w:hAnsi="Times New Roman" w:cs="Times New Roman"/>
          <w:sz w:val="22"/>
          <w:szCs w:val="22"/>
        </w:rPr>
      </w:pPr>
    </w:p>
    <w:p w:rsidR="00A131AD" w:rsidRPr="00155F80" w:rsidRDefault="001911A6" w:rsidP="000C0138">
      <w:pPr>
        <w:pStyle w:val="Poglavlje3"/>
        <w:spacing w:line="276" w:lineRule="auto"/>
        <w:rPr>
          <w:i w:val="0"/>
        </w:rPr>
      </w:pPr>
      <w:bookmarkStart w:id="19" w:name="_Toc456095907"/>
      <w:r w:rsidRPr="00155F80">
        <w:rPr>
          <w:i w:val="0"/>
        </w:rPr>
        <w:t xml:space="preserve">3.1.2 </w:t>
      </w:r>
      <w:r w:rsidR="00A131AD" w:rsidRPr="00155F80">
        <w:rPr>
          <w:i w:val="0"/>
        </w:rPr>
        <w:t>Specifični mortalitet</w:t>
      </w:r>
      <w:bookmarkEnd w:id="19"/>
      <w:r w:rsidR="00A131AD" w:rsidRPr="00155F80">
        <w:rPr>
          <w:i w:val="0"/>
        </w:rPr>
        <w:t xml:space="preserve"> </w:t>
      </w:r>
    </w:p>
    <w:p w:rsidR="00A131AD" w:rsidRPr="00155F80" w:rsidRDefault="00A131AD" w:rsidP="000C0138">
      <w:pPr>
        <w:pStyle w:val="Default"/>
        <w:spacing w:line="276" w:lineRule="auto"/>
        <w:jc w:val="both"/>
        <w:rPr>
          <w:rFonts w:ascii="Times New Roman" w:hAnsi="Times New Roman" w:cs="Times New Roman"/>
          <w:sz w:val="22"/>
          <w:szCs w:val="22"/>
        </w:rPr>
      </w:pPr>
    </w:p>
    <w:p w:rsidR="00A131AD" w:rsidRPr="00155F80" w:rsidRDefault="00A131AD" w:rsidP="000C0138">
      <w:pPr>
        <w:pStyle w:val="Default"/>
        <w:spacing w:line="276" w:lineRule="auto"/>
        <w:jc w:val="both"/>
        <w:rPr>
          <w:rFonts w:ascii="Times New Roman" w:hAnsi="Times New Roman" w:cs="Times New Roman"/>
          <w:sz w:val="22"/>
          <w:szCs w:val="22"/>
        </w:rPr>
      </w:pPr>
      <w:r w:rsidRPr="00155F80">
        <w:rPr>
          <w:rFonts w:ascii="Times New Roman" w:hAnsi="Times New Roman" w:cs="Times New Roman"/>
          <w:sz w:val="22"/>
          <w:szCs w:val="22"/>
        </w:rPr>
        <w:t xml:space="preserve">Vodeći uzroci smrti kod žena u </w:t>
      </w:r>
      <w:r w:rsidR="008A17BF">
        <w:rPr>
          <w:rFonts w:ascii="Times New Roman" w:hAnsi="Times New Roman" w:cs="Times New Roman"/>
          <w:sz w:val="22"/>
          <w:szCs w:val="22"/>
        </w:rPr>
        <w:t xml:space="preserve">razdoblju </w:t>
      </w:r>
      <w:r w:rsidRPr="00155F80">
        <w:rPr>
          <w:rFonts w:ascii="Times New Roman" w:hAnsi="Times New Roman" w:cs="Times New Roman"/>
          <w:sz w:val="22"/>
          <w:szCs w:val="22"/>
        </w:rPr>
        <w:t xml:space="preserve">od 2010. </w:t>
      </w:r>
      <w:r w:rsidR="008A17BF">
        <w:rPr>
          <w:rFonts w:ascii="Cambria Math" w:hAnsi="Cambria Math" w:cs="Cambria Math"/>
          <w:sz w:val="22"/>
          <w:szCs w:val="22"/>
        </w:rPr>
        <w:t>do</w:t>
      </w:r>
      <w:r w:rsidRPr="00155F80">
        <w:rPr>
          <w:rFonts w:ascii="Times New Roman" w:hAnsi="Times New Roman" w:cs="Times New Roman"/>
          <w:sz w:val="22"/>
          <w:szCs w:val="22"/>
        </w:rPr>
        <w:t xml:space="preserve"> 2015. godine su bili moždani udar (I63) koji je 2015. imao stopu od 105,8/100.000 koji bilježi trend rasta u odnosu na 2010. godinu kada je iznosila 96,1/100.000, slijedi kardiomiopatija (I42)</w:t>
      </w:r>
      <w:r w:rsidR="00333951">
        <w:rPr>
          <w:rFonts w:ascii="Times New Roman" w:hAnsi="Times New Roman" w:cs="Times New Roman"/>
          <w:sz w:val="22"/>
          <w:szCs w:val="22"/>
        </w:rPr>
        <w:t xml:space="preserve"> </w:t>
      </w:r>
      <w:r w:rsidRPr="00155F80">
        <w:rPr>
          <w:rFonts w:ascii="Times New Roman" w:hAnsi="Times New Roman" w:cs="Times New Roman"/>
          <w:sz w:val="22"/>
          <w:szCs w:val="22"/>
        </w:rPr>
        <w:t>sa stopom 75,1/100.000 što predstavlja smanjenje u odnosu na 2010. godinu kada je stopa iznosila 85,5/100.000.</w:t>
      </w:r>
    </w:p>
    <w:p w:rsidR="00A131AD" w:rsidRPr="00155F80" w:rsidRDefault="00A131AD" w:rsidP="000C0138">
      <w:pPr>
        <w:pStyle w:val="Default"/>
        <w:spacing w:line="276" w:lineRule="auto"/>
        <w:jc w:val="both"/>
        <w:rPr>
          <w:rFonts w:ascii="Times New Roman" w:hAnsi="Times New Roman" w:cs="Times New Roman"/>
          <w:sz w:val="22"/>
          <w:szCs w:val="22"/>
        </w:rPr>
      </w:pPr>
      <w:r w:rsidRPr="00155F80">
        <w:rPr>
          <w:rFonts w:ascii="Times New Roman" w:hAnsi="Times New Roman" w:cs="Times New Roman"/>
          <w:sz w:val="22"/>
          <w:szCs w:val="22"/>
        </w:rPr>
        <w:t>Akutni infarkt miokarda (I21) je treći najčešći uzrok smrti kod žena sa stopom 75,0/100.000, što je značajan rast u odnosu na 2010.</w:t>
      </w:r>
      <w:r w:rsidR="00333951">
        <w:rPr>
          <w:rFonts w:ascii="Times New Roman" w:hAnsi="Times New Roman" w:cs="Times New Roman"/>
          <w:sz w:val="22"/>
          <w:szCs w:val="22"/>
        </w:rPr>
        <w:t xml:space="preserve"> godinu, kada</w:t>
      </w:r>
      <w:r w:rsidRPr="00155F80">
        <w:rPr>
          <w:rFonts w:ascii="Times New Roman" w:hAnsi="Times New Roman" w:cs="Times New Roman"/>
          <w:sz w:val="22"/>
          <w:szCs w:val="22"/>
        </w:rPr>
        <w:t xml:space="preserve"> je stopa umiranja od infarkta među ženama bila 55,7/100.000 stanovnika.</w:t>
      </w:r>
    </w:p>
    <w:p w:rsidR="00A131AD" w:rsidRPr="00155F80" w:rsidRDefault="00A131AD" w:rsidP="000C0138">
      <w:pPr>
        <w:pStyle w:val="Default"/>
        <w:spacing w:line="276" w:lineRule="auto"/>
        <w:jc w:val="both"/>
        <w:rPr>
          <w:rFonts w:ascii="Times New Roman" w:hAnsi="Times New Roman" w:cs="Times New Roman"/>
          <w:sz w:val="22"/>
          <w:szCs w:val="22"/>
        </w:rPr>
      </w:pPr>
      <w:r w:rsidRPr="00155F80">
        <w:rPr>
          <w:rFonts w:ascii="Times New Roman" w:hAnsi="Times New Roman" w:cs="Times New Roman"/>
          <w:sz w:val="22"/>
          <w:szCs w:val="22"/>
        </w:rPr>
        <w:t xml:space="preserve">Srčani zastoj (I46) je na četvrtom mjestu vodećih uzroka smrti kod žena u Federaciji BiH u 2015. godini 74,1/100.000, što je smanjanje kada </w:t>
      </w:r>
      <w:r w:rsidR="008A17BF">
        <w:rPr>
          <w:rFonts w:ascii="Times New Roman" w:hAnsi="Times New Roman" w:cs="Times New Roman"/>
          <w:sz w:val="22"/>
          <w:szCs w:val="22"/>
        </w:rPr>
        <w:t>us</w:t>
      </w:r>
      <w:r w:rsidRPr="00155F80">
        <w:rPr>
          <w:rFonts w:ascii="Times New Roman" w:hAnsi="Times New Roman" w:cs="Times New Roman"/>
          <w:sz w:val="22"/>
          <w:szCs w:val="22"/>
        </w:rPr>
        <w:t>poredimo sa 2010. godinom u kojoj je stopa bila 82,0/100.000.</w:t>
      </w:r>
    </w:p>
    <w:p w:rsidR="00A131AD" w:rsidRPr="00155F80" w:rsidRDefault="00A131AD" w:rsidP="000C0138">
      <w:pPr>
        <w:spacing w:line="276" w:lineRule="auto"/>
        <w:rPr>
          <w:rFonts w:ascii="Times New Roman" w:hAnsi="Times New Roman"/>
          <w:color w:val="000000"/>
          <w:lang w:eastAsia="bs-Latn-BA"/>
        </w:rPr>
      </w:pPr>
      <w:r w:rsidRPr="00155F80">
        <w:rPr>
          <w:rFonts w:ascii="Times New Roman" w:hAnsi="Times New Roman"/>
        </w:rPr>
        <w:t xml:space="preserve">Peti najčešći uzrok smrti kod žena u 2015. godini bila je esencijalna hipertenzija (I10) sa stopom 55,1/100.000 stanovnika, dok je u 2010. godini na tom mjestu bio </w:t>
      </w:r>
      <w:r w:rsidRPr="00155F80">
        <w:rPr>
          <w:rFonts w:ascii="Times New Roman" w:hAnsi="Times New Roman"/>
          <w:color w:val="000000"/>
          <w:lang w:eastAsia="bs-Latn-BA"/>
        </w:rPr>
        <w:t>in</w:t>
      </w:r>
      <w:r w:rsidR="008A17BF">
        <w:rPr>
          <w:rFonts w:ascii="Times New Roman" w:hAnsi="Times New Roman"/>
          <w:color w:val="000000"/>
          <w:lang w:eastAsia="bs-Latn-BA"/>
        </w:rPr>
        <w:t>z</w:t>
      </w:r>
      <w:r w:rsidRPr="00155F80">
        <w:rPr>
          <w:rFonts w:ascii="Times New Roman" w:hAnsi="Times New Roman"/>
          <w:color w:val="000000"/>
          <w:lang w:eastAsia="bs-Latn-BA"/>
        </w:rPr>
        <w:t>ulin-ovisni diabetes mellitus (E10) sa 34,1/100.000 stanovnika.</w:t>
      </w:r>
    </w:p>
    <w:p w:rsidR="009A5B2B" w:rsidRPr="00155F80" w:rsidRDefault="009A5B2B" w:rsidP="000C0138">
      <w:pPr>
        <w:spacing w:line="276" w:lineRule="auto"/>
        <w:rPr>
          <w:rFonts w:ascii="Times New Roman" w:hAnsi="Times New Roman"/>
          <w:color w:val="000000"/>
          <w:lang w:eastAsia="bs-Latn-BA"/>
        </w:rPr>
      </w:pPr>
    </w:p>
    <w:p w:rsidR="00617E74" w:rsidRDefault="00617E74" w:rsidP="00EB7CC7">
      <w:pPr>
        <w:pStyle w:val="refererere"/>
      </w:pPr>
    </w:p>
    <w:p w:rsidR="00617E74" w:rsidRDefault="00617E74" w:rsidP="00EB7CC7">
      <w:pPr>
        <w:pStyle w:val="refererere"/>
      </w:pPr>
    </w:p>
    <w:p w:rsidR="00617E74" w:rsidRDefault="00617E74" w:rsidP="00EB7CC7">
      <w:pPr>
        <w:pStyle w:val="refererere"/>
      </w:pPr>
    </w:p>
    <w:p w:rsidR="00A131AD" w:rsidRPr="00155F80" w:rsidRDefault="00A131AD" w:rsidP="00EB7CC7">
      <w:pPr>
        <w:pStyle w:val="refererere"/>
      </w:pPr>
      <w:r w:rsidRPr="00155F80">
        <w:lastRenderedPageBreak/>
        <w:t xml:space="preserve">Grafikon 13: Pet vodećih oboljenja kao uzroci smrti kod žena u Federaciji BiH, 2010. </w:t>
      </w:r>
      <w:r w:rsidRPr="00155F80">
        <w:rPr>
          <w:rFonts w:ascii="Cambria Math" w:hAnsi="Cambria Math" w:cs="Cambria Math"/>
        </w:rPr>
        <w:t xml:space="preserve">i </w:t>
      </w:r>
      <w:r w:rsidRPr="00155F80">
        <w:t>2015.godina, stopa na 100.000 stanovnika</w:t>
      </w:r>
    </w:p>
    <w:p w:rsidR="00A131AD" w:rsidRPr="00155F80" w:rsidRDefault="00A131AD" w:rsidP="000C0138">
      <w:pPr>
        <w:pStyle w:val="Default"/>
        <w:spacing w:line="276" w:lineRule="auto"/>
        <w:jc w:val="both"/>
        <w:rPr>
          <w:rFonts w:ascii="Times New Roman" w:hAnsi="Times New Roman" w:cs="Times New Roman"/>
          <w:sz w:val="22"/>
          <w:szCs w:val="22"/>
        </w:rPr>
      </w:pPr>
      <w:r w:rsidRPr="00155F80">
        <w:rPr>
          <w:rFonts w:ascii="Times New Roman" w:hAnsi="Times New Roman" w:cs="Times New Roman"/>
          <w:noProof/>
          <w:sz w:val="22"/>
          <w:szCs w:val="22"/>
          <w:lang w:eastAsia="bs-Latn-BA"/>
        </w:rPr>
        <w:drawing>
          <wp:inline distT="0" distB="0" distL="0" distR="0" wp14:anchorId="05DABA93" wp14:editId="333456D8">
            <wp:extent cx="5857875" cy="1743075"/>
            <wp:effectExtent l="0" t="0" r="9525" b="9525"/>
            <wp:docPr id="60"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A131AD" w:rsidRPr="00155F80" w:rsidRDefault="00A131AD" w:rsidP="000C0138">
      <w:pPr>
        <w:pStyle w:val="Default"/>
        <w:spacing w:line="276" w:lineRule="auto"/>
        <w:jc w:val="both"/>
        <w:rPr>
          <w:rFonts w:ascii="Times New Roman" w:hAnsi="Times New Roman" w:cs="Times New Roman"/>
          <w:sz w:val="22"/>
          <w:szCs w:val="22"/>
        </w:rPr>
      </w:pPr>
      <w:r w:rsidRPr="00155F80">
        <w:rPr>
          <w:rFonts w:ascii="Times New Roman" w:hAnsi="Times New Roman" w:cs="Times New Roman"/>
          <w:sz w:val="22"/>
          <w:szCs w:val="22"/>
        </w:rPr>
        <w:t>U 2015. godini muškaraci su najčešće umirali od akutnog infarkta miokarda (I21) stopa 104,3/100.000 koji bilježi značajan rast u odnosu 2010. godinu, kada je stopa bila 83,3/100.000, potom od moždanog udara (I63) sa stopom od 66,3/100.000 stanovnika.</w:t>
      </w:r>
    </w:p>
    <w:p w:rsidR="00A131AD" w:rsidRPr="00155F80" w:rsidRDefault="00A131AD" w:rsidP="000C0138">
      <w:pPr>
        <w:pStyle w:val="Default"/>
        <w:spacing w:line="276" w:lineRule="auto"/>
        <w:jc w:val="both"/>
        <w:rPr>
          <w:rFonts w:ascii="Times New Roman" w:hAnsi="Times New Roman" w:cs="Times New Roman"/>
          <w:sz w:val="22"/>
          <w:szCs w:val="22"/>
        </w:rPr>
      </w:pPr>
      <w:r w:rsidRPr="00155F80">
        <w:rPr>
          <w:rFonts w:ascii="Times New Roman" w:hAnsi="Times New Roman" w:cs="Times New Roman"/>
          <w:sz w:val="22"/>
          <w:szCs w:val="22"/>
        </w:rPr>
        <w:t xml:space="preserve">Treće oboljenje od kojeg su najviše umirali muškarci u Federaciji BiH su maligne neoplazme bronha i pluća (C34) sa stopom od 66,3/100.000 što predstavlja smanjenje u </w:t>
      </w:r>
      <w:r w:rsidR="008A17BF">
        <w:rPr>
          <w:rFonts w:ascii="Times New Roman" w:hAnsi="Times New Roman" w:cs="Times New Roman"/>
          <w:sz w:val="22"/>
          <w:szCs w:val="22"/>
        </w:rPr>
        <w:t>us</w:t>
      </w:r>
      <w:r w:rsidRPr="00155F80">
        <w:rPr>
          <w:rFonts w:ascii="Times New Roman" w:hAnsi="Times New Roman" w:cs="Times New Roman"/>
          <w:sz w:val="22"/>
          <w:szCs w:val="22"/>
        </w:rPr>
        <w:t>pore</w:t>
      </w:r>
      <w:r w:rsidR="008A17BF">
        <w:rPr>
          <w:rFonts w:ascii="Times New Roman" w:hAnsi="Times New Roman" w:cs="Times New Roman"/>
          <w:sz w:val="22"/>
          <w:szCs w:val="22"/>
        </w:rPr>
        <w:t>dbi</w:t>
      </w:r>
      <w:r w:rsidRPr="00155F80">
        <w:rPr>
          <w:rFonts w:ascii="Times New Roman" w:hAnsi="Times New Roman" w:cs="Times New Roman"/>
          <w:sz w:val="22"/>
          <w:szCs w:val="22"/>
        </w:rPr>
        <w:t xml:space="preserve"> sa 2010. godinom kada je stopa umiranja bila 70,0/100.000.</w:t>
      </w:r>
    </w:p>
    <w:p w:rsidR="006D22D7" w:rsidRDefault="00A131AD" w:rsidP="00FB3114">
      <w:pPr>
        <w:pStyle w:val="Default"/>
        <w:spacing w:line="276" w:lineRule="auto"/>
        <w:jc w:val="both"/>
        <w:rPr>
          <w:rFonts w:ascii="Times New Roman" w:hAnsi="Times New Roman"/>
          <w:iCs/>
        </w:rPr>
      </w:pPr>
      <w:r w:rsidRPr="00155F80">
        <w:rPr>
          <w:rFonts w:ascii="Times New Roman" w:hAnsi="Times New Roman" w:cs="Times New Roman"/>
          <w:sz w:val="22"/>
          <w:szCs w:val="22"/>
        </w:rPr>
        <w:t xml:space="preserve">Slijedi srčani zastoj (I46) sa stopom od 65,4/100.000, i predstavlja blago smanjenje u odnosu na 2010. godinu kada je stopa bila 69,1/100.000 stanovnika. Kao peti najčešći uzrok umiranja muškaraca bilježi se kardiomiopatija (I42) sa stopom od 52,8/100.000 i znatno je manja u </w:t>
      </w:r>
      <w:r w:rsidR="008A17BF">
        <w:rPr>
          <w:rFonts w:ascii="Times New Roman" w:hAnsi="Times New Roman" w:cs="Times New Roman"/>
          <w:sz w:val="22"/>
          <w:szCs w:val="22"/>
        </w:rPr>
        <w:t>usporedbi</w:t>
      </w:r>
      <w:r w:rsidRPr="00155F80">
        <w:rPr>
          <w:rFonts w:ascii="Times New Roman" w:hAnsi="Times New Roman" w:cs="Times New Roman"/>
          <w:sz w:val="22"/>
          <w:szCs w:val="22"/>
        </w:rPr>
        <w:t xml:space="preserve"> sa 2010. </w:t>
      </w:r>
      <w:r w:rsidR="00333951">
        <w:rPr>
          <w:rFonts w:ascii="Times New Roman" w:hAnsi="Times New Roman" w:cs="Times New Roman"/>
          <w:sz w:val="22"/>
          <w:szCs w:val="22"/>
        </w:rPr>
        <w:t xml:space="preserve">godinom, </w:t>
      </w:r>
      <w:r w:rsidRPr="00155F80">
        <w:rPr>
          <w:rFonts w:ascii="Times New Roman" w:hAnsi="Times New Roman" w:cs="Times New Roman"/>
          <w:sz w:val="22"/>
          <w:szCs w:val="22"/>
        </w:rPr>
        <w:t>kada je stopa smrtnosti bila 71,6/100.000 stanovnika</w:t>
      </w:r>
      <w:r w:rsidR="00333951">
        <w:rPr>
          <w:rFonts w:ascii="Times New Roman" w:hAnsi="Times New Roman" w:cs="Times New Roman"/>
          <w:sz w:val="22"/>
          <w:szCs w:val="22"/>
        </w:rPr>
        <w:t>.</w:t>
      </w:r>
    </w:p>
    <w:p w:rsidR="000C0138" w:rsidRPr="00155F80" w:rsidRDefault="000C0138" w:rsidP="000C0138">
      <w:pPr>
        <w:pStyle w:val="Default"/>
        <w:spacing w:line="276" w:lineRule="auto"/>
        <w:jc w:val="both"/>
        <w:rPr>
          <w:rFonts w:ascii="Times New Roman" w:hAnsi="Times New Roman" w:cs="Times New Roman"/>
          <w:iCs/>
          <w:sz w:val="22"/>
          <w:szCs w:val="22"/>
        </w:rPr>
      </w:pPr>
    </w:p>
    <w:p w:rsidR="00A131AD" w:rsidRPr="00155F80" w:rsidRDefault="00A131AD" w:rsidP="00EB7CC7">
      <w:pPr>
        <w:pStyle w:val="refererere"/>
      </w:pPr>
      <w:r w:rsidRPr="00155F80">
        <w:t>Grafikon 14: Pet vodećih oboljenja kao uzroci smrti kod muškaraca u Federaciji BiH, 2010. i 2015. godina, stopa na 100.000 stanovnika</w:t>
      </w:r>
    </w:p>
    <w:p w:rsidR="00A131AD" w:rsidRPr="00B25A26" w:rsidRDefault="00A131AD" w:rsidP="000C0138">
      <w:pPr>
        <w:pStyle w:val="Default"/>
        <w:spacing w:line="276" w:lineRule="auto"/>
        <w:jc w:val="both"/>
        <w:rPr>
          <w:rFonts w:ascii="Times New Roman" w:hAnsi="Times New Roman" w:cs="Times New Roman"/>
          <w:sz w:val="22"/>
          <w:szCs w:val="22"/>
        </w:rPr>
      </w:pPr>
      <w:r w:rsidRPr="00155F80">
        <w:rPr>
          <w:rFonts w:ascii="Times New Roman" w:hAnsi="Times New Roman" w:cs="Times New Roman"/>
          <w:noProof/>
          <w:sz w:val="22"/>
          <w:szCs w:val="22"/>
          <w:lang w:eastAsia="bs-Latn-BA"/>
        </w:rPr>
        <w:drawing>
          <wp:inline distT="0" distB="0" distL="0" distR="0" wp14:anchorId="79F47435" wp14:editId="321B09FE">
            <wp:extent cx="5791200" cy="1724025"/>
            <wp:effectExtent l="0" t="0" r="0" b="9525"/>
            <wp:docPr id="61"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A131AD" w:rsidRPr="00155F80" w:rsidRDefault="00A131AD" w:rsidP="000C0138">
      <w:pPr>
        <w:pStyle w:val="Default"/>
        <w:spacing w:line="276" w:lineRule="auto"/>
        <w:jc w:val="both"/>
        <w:rPr>
          <w:rFonts w:ascii="Times New Roman" w:hAnsi="Times New Roman" w:cs="Times New Roman"/>
          <w:b/>
          <w:bCs/>
          <w:sz w:val="22"/>
          <w:szCs w:val="22"/>
        </w:rPr>
      </w:pPr>
    </w:p>
    <w:p w:rsidR="00A131AD" w:rsidRPr="00155F80" w:rsidRDefault="00A131AD" w:rsidP="000C0138">
      <w:pPr>
        <w:pStyle w:val="Default"/>
        <w:spacing w:line="276" w:lineRule="auto"/>
        <w:jc w:val="both"/>
        <w:rPr>
          <w:rFonts w:ascii="Times New Roman" w:hAnsi="Times New Roman" w:cs="Times New Roman"/>
          <w:b/>
          <w:bCs/>
          <w:sz w:val="22"/>
          <w:szCs w:val="22"/>
        </w:rPr>
      </w:pPr>
      <w:r w:rsidRPr="00155F80">
        <w:rPr>
          <w:rFonts w:ascii="Times New Roman" w:hAnsi="Times New Roman" w:cs="Times New Roman"/>
          <w:b/>
          <w:bCs/>
          <w:sz w:val="22"/>
          <w:szCs w:val="22"/>
        </w:rPr>
        <w:t xml:space="preserve">Mortalitet od kardiovaskularnih oboljenja (KVO) </w:t>
      </w:r>
    </w:p>
    <w:p w:rsidR="00A131AD" w:rsidRPr="00155F80" w:rsidRDefault="00A131AD" w:rsidP="000C0138">
      <w:pPr>
        <w:pStyle w:val="Default"/>
        <w:spacing w:line="276" w:lineRule="auto"/>
        <w:jc w:val="both"/>
        <w:rPr>
          <w:rFonts w:ascii="Times New Roman" w:hAnsi="Times New Roman" w:cs="Times New Roman"/>
          <w:sz w:val="22"/>
          <w:szCs w:val="22"/>
        </w:rPr>
      </w:pPr>
    </w:p>
    <w:p w:rsidR="00A131AD" w:rsidRPr="00155F80" w:rsidRDefault="00A131AD" w:rsidP="000C0138">
      <w:pPr>
        <w:pStyle w:val="Default"/>
        <w:spacing w:line="276" w:lineRule="auto"/>
        <w:jc w:val="both"/>
        <w:rPr>
          <w:rFonts w:ascii="Times New Roman" w:hAnsi="Times New Roman" w:cs="Times New Roman"/>
          <w:sz w:val="22"/>
          <w:szCs w:val="22"/>
        </w:rPr>
      </w:pPr>
      <w:r w:rsidRPr="00155F80">
        <w:rPr>
          <w:rFonts w:ascii="Times New Roman" w:hAnsi="Times New Roman" w:cs="Times New Roman"/>
          <w:sz w:val="22"/>
          <w:szCs w:val="22"/>
        </w:rPr>
        <w:t>Ova grupa oboljenja je najzastupljenija u ukupnom mortalitetu (2010. godine sa 53,8%, kao i 2015. godine također 53,8% udjela). Među ovim oboljenjima dominiraju ishemi</w:t>
      </w:r>
      <w:r w:rsidR="008A17BF">
        <w:rPr>
          <w:rFonts w:ascii="Times New Roman" w:hAnsi="Times New Roman" w:cs="Times New Roman"/>
          <w:sz w:val="22"/>
          <w:szCs w:val="22"/>
        </w:rPr>
        <w:t>jska</w:t>
      </w:r>
      <w:r w:rsidRPr="00155F80">
        <w:rPr>
          <w:rFonts w:ascii="Times New Roman" w:hAnsi="Times New Roman" w:cs="Times New Roman"/>
          <w:sz w:val="22"/>
          <w:szCs w:val="22"/>
        </w:rPr>
        <w:t xml:space="preserve"> srčana oboljenja (I20-I25) i cerebrovaskularna oboljenja (I60-I69). </w:t>
      </w:r>
    </w:p>
    <w:p w:rsidR="00A131AD" w:rsidRDefault="00A131AD" w:rsidP="000C0138">
      <w:pPr>
        <w:pStyle w:val="Default"/>
        <w:spacing w:line="276" w:lineRule="auto"/>
        <w:jc w:val="both"/>
        <w:rPr>
          <w:rFonts w:ascii="Times New Roman" w:hAnsi="Times New Roman" w:cs="Times New Roman"/>
          <w:sz w:val="22"/>
          <w:szCs w:val="22"/>
        </w:rPr>
      </w:pPr>
      <w:r w:rsidRPr="00155F80">
        <w:rPr>
          <w:rFonts w:ascii="Times New Roman" w:hAnsi="Times New Roman" w:cs="Times New Roman"/>
          <w:sz w:val="22"/>
          <w:szCs w:val="22"/>
        </w:rPr>
        <w:t xml:space="preserve">Prema dijagnozama, pet vodećih uzroka smrti od bolesti srca i krvnih sudova u </w:t>
      </w:r>
      <w:r w:rsidR="008A17BF">
        <w:rPr>
          <w:rFonts w:ascii="Times New Roman" w:hAnsi="Times New Roman" w:cs="Times New Roman"/>
          <w:sz w:val="22"/>
          <w:szCs w:val="22"/>
        </w:rPr>
        <w:t>razdoblju</w:t>
      </w:r>
      <w:r w:rsidRPr="00155F80">
        <w:rPr>
          <w:rFonts w:ascii="Times New Roman" w:hAnsi="Times New Roman" w:cs="Times New Roman"/>
          <w:sz w:val="22"/>
          <w:szCs w:val="22"/>
        </w:rPr>
        <w:t xml:space="preserve"> od 2010.</w:t>
      </w:r>
      <w:r w:rsidR="008A17BF">
        <w:rPr>
          <w:rFonts w:ascii="Times New Roman" w:hAnsi="Times New Roman" w:cs="Times New Roman"/>
          <w:sz w:val="22"/>
          <w:szCs w:val="22"/>
        </w:rPr>
        <w:t xml:space="preserve"> do</w:t>
      </w:r>
      <w:r w:rsidRPr="00155F80">
        <w:rPr>
          <w:rFonts w:ascii="Times New Roman" w:hAnsi="Times New Roman" w:cs="Times New Roman"/>
          <w:sz w:val="22"/>
          <w:szCs w:val="22"/>
        </w:rPr>
        <w:t xml:space="preserve"> 2015. godine su moždani udar (I63) koji pokazuje trend rasta u </w:t>
      </w:r>
      <w:r w:rsidR="008A17BF">
        <w:rPr>
          <w:rFonts w:ascii="Times New Roman" w:hAnsi="Times New Roman" w:cs="Times New Roman"/>
          <w:sz w:val="22"/>
          <w:szCs w:val="22"/>
        </w:rPr>
        <w:t>usporedbi</w:t>
      </w:r>
      <w:r w:rsidRPr="00155F80">
        <w:rPr>
          <w:rFonts w:ascii="Times New Roman" w:hAnsi="Times New Roman" w:cs="Times New Roman"/>
          <w:sz w:val="22"/>
          <w:szCs w:val="22"/>
        </w:rPr>
        <w:t xml:space="preserve"> sa 2010. godinom (2010.-89,9/100.000; 2015.-93,4/100.000), slijedi akutni infar</w:t>
      </w:r>
      <w:r w:rsidR="00AC6D5D">
        <w:rPr>
          <w:rFonts w:ascii="Times New Roman" w:hAnsi="Times New Roman" w:cs="Times New Roman"/>
          <w:sz w:val="22"/>
          <w:szCs w:val="22"/>
        </w:rPr>
        <w:t>kt miokarda (I21) koji je drugo</w:t>
      </w:r>
      <w:r w:rsidRPr="00155F80">
        <w:rPr>
          <w:rFonts w:ascii="Times New Roman" w:hAnsi="Times New Roman" w:cs="Times New Roman"/>
          <w:sz w:val="22"/>
          <w:szCs w:val="22"/>
        </w:rPr>
        <w:t xml:space="preserve">rangirani u 2015. godini sa stopom od 89,5/100.000 što predstavlja značajan rast u </w:t>
      </w:r>
      <w:r w:rsidR="008A17BF">
        <w:rPr>
          <w:rFonts w:ascii="Times New Roman" w:hAnsi="Times New Roman" w:cs="Times New Roman"/>
          <w:sz w:val="22"/>
          <w:szCs w:val="22"/>
        </w:rPr>
        <w:t>usporedbi</w:t>
      </w:r>
      <w:r w:rsidRPr="00155F80">
        <w:rPr>
          <w:rFonts w:ascii="Times New Roman" w:hAnsi="Times New Roman" w:cs="Times New Roman"/>
          <w:sz w:val="22"/>
          <w:szCs w:val="22"/>
        </w:rPr>
        <w:t xml:space="preserve"> sa 2010.</w:t>
      </w:r>
      <w:r w:rsidR="00333951">
        <w:rPr>
          <w:rFonts w:ascii="Times New Roman" w:hAnsi="Times New Roman" w:cs="Times New Roman"/>
          <w:sz w:val="22"/>
          <w:szCs w:val="22"/>
        </w:rPr>
        <w:t xml:space="preserve"> godinom,</w:t>
      </w:r>
      <w:r w:rsidRPr="00155F80">
        <w:rPr>
          <w:rFonts w:ascii="Times New Roman" w:hAnsi="Times New Roman" w:cs="Times New Roman"/>
          <w:sz w:val="22"/>
          <w:szCs w:val="22"/>
        </w:rPr>
        <w:t xml:space="preserve"> kada je stopa bila 69,2/100.000.</w:t>
      </w:r>
    </w:p>
    <w:p w:rsidR="00FB3114" w:rsidRPr="00155F80" w:rsidRDefault="00FB3114" w:rsidP="000C0138">
      <w:pPr>
        <w:pStyle w:val="Default"/>
        <w:spacing w:line="276" w:lineRule="auto"/>
        <w:jc w:val="both"/>
        <w:rPr>
          <w:rFonts w:ascii="Times New Roman" w:hAnsi="Times New Roman" w:cs="Times New Roman"/>
          <w:sz w:val="22"/>
          <w:szCs w:val="22"/>
        </w:rPr>
      </w:pPr>
    </w:p>
    <w:p w:rsidR="00A131AD" w:rsidRDefault="00AC6D5D" w:rsidP="000C0138">
      <w:pPr>
        <w:pStyle w:val="Default"/>
        <w:spacing w:line="276" w:lineRule="auto"/>
        <w:jc w:val="both"/>
        <w:rPr>
          <w:rFonts w:ascii="Times New Roman" w:hAnsi="Times New Roman" w:cs="Times New Roman"/>
          <w:sz w:val="22"/>
          <w:szCs w:val="22"/>
        </w:rPr>
      </w:pPr>
      <w:r>
        <w:rPr>
          <w:rFonts w:ascii="Times New Roman" w:hAnsi="Times New Roman" w:cs="Times New Roman"/>
          <w:sz w:val="22"/>
          <w:szCs w:val="22"/>
        </w:rPr>
        <w:t>Na trećem mjestu u obje p</w:t>
      </w:r>
      <w:r w:rsidR="008A17BF">
        <w:rPr>
          <w:rFonts w:ascii="Times New Roman" w:hAnsi="Times New Roman" w:cs="Times New Roman"/>
          <w:sz w:val="22"/>
          <w:szCs w:val="22"/>
        </w:rPr>
        <w:t>r</w:t>
      </w:r>
      <w:r>
        <w:rPr>
          <w:rFonts w:ascii="Times New Roman" w:hAnsi="Times New Roman" w:cs="Times New Roman"/>
          <w:sz w:val="22"/>
          <w:szCs w:val="22"/>
        </w:rPr>
        <w:t>omatrane godine je bio s</w:t>
      </w:r>
      <w:r w:rsidR="00A131AD" w:rsidRPr="00155F80">
        <w:rPr>
          <w:rFonts w:ascii="Times New Roman" w:hAnsi="Times New Roman" w:cs="Times New Roman"/>
          <w:sz w:val="22"/>
          <w:szCs w:val="22"/>
        </w:rPr>
        <w:t xml:space="preserve">rčani zastoj (I46) sa nešto nižom stopom u 2015. godini (69,8/100.000), kardiomiopatija (I42) je sljedeće KVO od koje je najčešće umiralo stanovništvo </w:t>
      </w:r>
      <w:r w:rsidR="00A131AD" w:rsidRPr="00155F80">
        <w:rPr>
          <w:rFonts w:ascii="Times New Roman" w:hAnsi="Times New Roman" w:cs="Times New Roman"/>
          <w:sz w:val="22"/>
          <w:szCs w:val="22"/>
        </w:rPr>
        <w:lastRenderedPageBreak/>
        <w:t xml:space="preserve">Federacije Bosne i Hercegovinei bilježi značajan trend smanjenja u 2015. godini (64,0/100.000) u </w:t>
      </w:r>
      <w:r w:rsidR="008A17BF">
        <w:rPr>
          <w:rFonts w:ascii="Times New Roman" w:hAnsi="Times New Roman" w:cs="Times New Roman"/>
          <w:sz w:val="22"/>
          <w:szCs w:val="22"/>
        </w:rPr>
        <w:t>usporedbi</w:t>
      </w:r>
      <w:r w:rsidR="00A131AD" w:rsidRPr="00155F80">
        <w:rPr>
          <w:rFonts w:ascii="Times New Roman" w:hAnsi="Times New Roman" w:cs="Times New Roman"/>
          <w:sz w:val="22"/>
          <w:szCs w:val="22"/>
        </w:rPr>
        <w:t xml:space="preserve"> sa 2010.</w:t>
      </w:r>
      <w:r w:rsidR="009D23A1">
        <w:rPr>
          <w:rFonts w:ascii="Times New Roman" w:hAnsi="Times New Roman" w:cs="Times New Roman"/>
          <w:sz w:val="22"/>
          <w:szCs w:val="22"/>
        </w:rPr>
        <w:t xml:space="preserve"> godinom,</w:t>
      </w:r>
      <w:r w:rsidR="00A131AD" w:rsidRPr="00155F80">
        <w:rPr>
          <w:rFonts w:ascii="Times New Roman" w:hAnsi="Times New Roman" w:cs="Times New Roman"/>
          <w:sz w:val="22"/>
          <w:szCs w:val="22"/>
        </w:rPr>
        <w:t xml:space="preserve"> kada je stopa bila (78,7/100.000).</w:t>
      </w:r>
    </w:p>
    <w:p w:rsidR="00FB3114" w:rsidRPr="00155F80" w:rsidRDefault="00FB3114" w:rsidP="000C0138">
      <w:pPr>
        <w:pStyle w:val="Default"/>
        <w:spacing w:line="276" w:lineRule="auto"/>
        <w:jc w:val="both"/>
        <w:rPr>
          <w:rFonts w:ascii="Times New Roman" w:hAnsi="Times New Roman" w:cs="Times New Roman"/>
          <w:sz w:val="22"/>
          <w:szCs w:val="22"/>
        </w:rPr>
      </w:pPr>
    </w:p>
    <w:p w:rsidR="00A131AD" w:rsidRPr="00155F80" w:rsidRDefault="00A131AD" w:rsidP="000C0138">
      <w:pPr>
        <w:pStyle w:val="Default"/>
        <w:spacing w:line="276" w:lineRule="auto"/>
        <w:jc w:val="both"/>
        <w:rPr>
          <w:rFonts w:ascii="Times New Roman" w:hAnsi="Times New Roman" w:cs="Times New Roman"/>
          <w:sz w:val="22"/>
          <w:szCs w:val="22"/>
        </w:rPr>
      </w:pPr>
      <w:r w:rsidRPr="00155F80">
        <w:rPr>
          <w:rFonts w:ascii="Times New Roman" w:hAnsi="Times New Roman" w:cs="Times New Roman"/>
          <w:sz w:val="22"/>
          <w:szCs w:val="22"/>
        </w:rPr>
        <w:t xml:space="preserve">Peti najčešći uzrok smrti od cirkulatornih oboljenja je esencijalna hipertenzija (I10), koja bilježi trend značajnog povećanja, 2015. godine (45,2/100.000) u odnosu na 2010. godinu (24,5/100.000 stanovnika) na što utječu loše prehrambene navike, pušenje, </w:t>
      </w:r>
      <w:r w:rsidR="008A17BF">
        <w:rPr>
          <w:rFonts w:ascii="Times New Roman" w:hAnsi="Times New Roman" w:cs="Times New Roman"/>
          <w:sz w:val="22"/>
          <w:szCs w:val="22"/>
        </w:rPr>
        <w:t>tjelesna</w:t>
      </w:r>
      <w:r w:rsidRPr="00155F80">
        <w:rPr>
          <w:rFonts w:ascii="Times New Roman" w:hAnsi="Times New Roman" w:cs="Times New Roman"/>
          <w:sz w:val="22"/>
          <w:szCs w:val="22"/>
        </w:rPr>
        <w:t xml:space="preserve"> neaktivnost, itd. </w:t>
      </w:r>
    </w:p>
    <w:p w:rsidR="00A131AD" w:rsidRPr="00155F80" w:rsidRDefault="00A131AD" w:rsidP="000C0138">
      <w:pPr>
        <w:pStyle w:val="Default"/>
        <w:spacing w:line="276" w:lineRule="auto"/>
        <w:jc w:val="both"/>
        <w:rPr>
          <w:rFonts w:ascii="Times New Roman" w:hAnsi="Times New Roman" w:cs="Times New Roman"/>
          <w:sz w:val="22"/>
          <w:szCs w:val="22"/>
        </w:rPr>
      </w:pPr>
    </w:p>
    <w:p w:rsidR="00A131AD" w:rsidRPr="00155F80" w:rsidRDefault="00A131AD" w:rsidP="00EB7CC7">
      <w:pPr>
        <w:pStyle w:val="refererere"/>
      </w:pPr>
      <w:r w:rsidRPr="00155F80">
        <w:t>Grafikon 15: Mortalitet od kardiovaskularnih oboljenja u Federaciji BIH, 2010. i 2015. godina, stopa na 100.000</w:t>
      </w:r>
      <w:r w:rsidR="000C0138">
        <w:t xml:space="preserve"> </w:t>
      </w:r>
      <w:r w:rsidRPr="00155F80">
        <w:t>stanovnika</w:t>
      </w:r>
      <w:r w:rsidRPr="00155F80">
        <w:rPr>
          <w:noProof/>
          <w:lang w:val="bs-Latn-BA" w:eastAsia="bs-Latn-BA"/>
        </w:rPr>
        <w:drawing>
          <wp:inline distT="0" distB="0" distL="0" distR="0" wp14:anchorId="525B2F1D" wp14:editId="0F2B3D36">
            <wp:extent cx="5781675" cy="1685925"/>
            <wp:effectExtent l="0" t="0" r="9525" b="9525"/>
            <wp:docPr id="62"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A131AD" w:rsidRPr="00155F80" w:rsidRDefault="00A131AD" w:rsidP="000C0138">
      <w:pPr>
        <w:pStyle w:val="Default"/>
        <w:spacing w:line="276" w:lineRule="auto"/>
        <w:jc w:val="both"/>
        <w:rPr>
          <w:rFonts w:ascii="Times New Roman" w:hAnsi="Times New Roman" w:cs="Times New Roman"/>
          <w:sz w:val="22"/>
          <w:szCs w:val="22"/>
        </w:rPr>
      </w:pPr>
    </w:p>
    <w:p w:rsidR="009A5B2B" w:rsidRPr="00AC6D5D" w:rsidRDefault="00AC6D5D" w:rsidP="007A7E4A">
      <w:pPr>
        <w:pStyle w:val="Default"/>
        <w:spacing w:line="276" w:lineRule="auto"/>
        <w:jc w:val="both"/>
        <w:rPr>
          <w:rFonts w:ascii="Times New Roman" w:hAnsi="Times New Roman" w:cs="Times New Roman"/>
          <w:sz w:val="22"/>
          <w:szCs w:val="22"/>
        </w:rPr>
      </w:pPr>
      <w:r>
        <w:rPr>
          <w:rFonts w:ascii="Times New Roman" w:hAnsi="Times New Roman" w:cs="Times New Roman"/>
          <w:sz w:val="22"/>
          <w:szCs w:val="22"/>
        </w:rPr>
        <w:t>U</w:t>
      </w:r>
      <w:r w:rsidR="00A131AD" w:rsidRPr="00155F80">
        <w:rPr>
          <w:rFonts w:ascii="Times New Roman" w:hAnsi="Times New Roman" w:cs="Times New Roman"/>
          <w:sz w:val="22"/>
          <w:szCs w:val="22"/>
        </w:rPr>
        <w:t xml:space="preserve"> 2015. godini muškarci su najčešće umirali od akutnog infarkta miokarda (stopa 104,3/100.000), potom od moždanog udara (stopa 80,9/100.000), slijedi srčani zastoj (65,4/100.000), kardiomiopatija (52,8/100.000)</w:t>
      </w:r>
      <w:r>
        <w:rPr>
          <w:rFonts w:ascii="Times New Roman" w:hAnsi="Times New Roman" w:cs="Times New Roman"/>
          <w:sz w:val="22"/>
          <w:szCs w:val="22"/>
        </w:rPr>
        <w:t xml:space="preserve"> i hipertenzija (35,1/100.000), dok su ž</w:t>
      </w:r>
      <w:r w:rsidRPr="00155F80">
        <w:rPr>
          <w:rFonts w:ascii="Times New Roman" w:hAnsi="Times New Roman" w:cs="Times New Roman"/>
          <w:sz w:val="22"/>
          <w:szCs w:val="22"/>
        </w:rPr>
        <w:t xml:space="preserve">ene su </w:t>
      </w:r>
      <w:r w:rsidR="00A131AD" w:rsidRPr="00155F80">
        <w:rPr>
          <w:rFonts w:ascii="Times New Roman" w:hAnsi="Times New Roman" w:cs="Times New Roman"/>
          <w:sz w:val="22"/>
          <w:szCs w:val="22"/>
        </w:rPr>
        <w:t>najčešće umirale od moždanog udara (105,8/100.000), potom od akutnog infarkta miokarda (75,0/100.000), slijedi kardiomiopatija (75,1/100.000), potom od srčanog zastoja (74,1/100.000), i esencijalne hipertenzije (55,1/100.000).</w:t>
      </w:r>
    </w:p>
    <w:p w:rsidR="00A131AD" w:rsidRPr="00155F80" w:rsidRDefault="00A131AD" w:rsidP="000C0138">
      <w:pPr>
        <w:pStyle w:val="Default"/>
        <w:spacing w:line="276" w:lineRule="auto"/>
        <w:jc w:val="both"/>
        <w:rPr>
          <w:rFonts w:ascii="Times New Roman" w:hAnsi="Times New Roman" w:cs="Times New Roman"/>
          <w:sz w:val="22"/>
          <w:szCs w:val="22"/>
        </w:rPr>
      </w:pPr>
    </w:p>
    <w:p w:rsidR="00A131AD" w:rsidRDefault="00A131AD" w:rsidP="00EB7CC7">
      <w:pPr>
        <w:pStyle w:val="refererere"/>
      </w:pPr>
      <w:r w:rsidRPr="00155F80">
        <w:t>Grafikon 16: Mortalitet od kardiovaskularnih oboljenja u Federaciji BIH u 2015. godini, prema spolu, stopa na 100.000 stanovnika</w:t>
      </w:r>
    </w:p>
    <w:p w:rsidR="00B25A26" w:rsidRDefault="00DF3062" w:rsidP="000C0138">
      <w:pPr>
        <w:pStyle w:val="Default"/>
        <w:spacing w:line="276" w:lineRule="auto"/>
        <w:jc w:val="both"/>
        <w:rPr>
          <w:rFonts w:ascii="Times New Roman" w:hAnsi="Times New Roman" w:cs="Times New Roman"/>
          <w:iCs/>
          <w:sz w:val="22"/>
          <w:szCs w:val="22"/>
        </w:rPr>
      </w:pPr>
      <w:r>
        <w:rPr>
          <w:noProof/>
          <w:lang w:eastAsia="bs-Latn-BA"/>
        </w:rPr>
        <w:drawing>
          <wp:inline distT="0" distB="0" distL="0" distR="0" wp14:anchorId="08D7F3A6" wp14:editId="5FAACF2A">
            <wp:extent cx="5610225" cy="1943100"/>
            <wp:effectExtent l="0" t="0" r="9525" b="0"/>
            <wp:docPr id="36" name="Chart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B25A26" w:rsidRDefault="00B25A26" w:rsidP="000C0138">
      <w:pPr>
        <w:pStyle w:val="Default"/>
        <w:spacing w:line="276" w:lineRule="auto"/>
        <w:jc w:val="both"/>
        <w:rPr>
          <w:rFonts w:ascii="Times New Roman" w:hAnsi="Times New Roman" w:cs="Times New Roman"/>
          <w:iCs/>
          <w:sz w:val="22"/>
          <w:szCs w:val="22"/>
        </w:rPr>
      </w:pPr>
    </w:p>
    <w:p w:rsidR="00A131AD" w:rsidRPr="00155F80" w:rsidRDefault="00A131AD" w:rsidP="000C0138">
      <w:pPr>
        <w:pStyle w:val="Default"/>
        <w:spacing w:line="276" w:lineRule="auto"/>
        <w:jc w:val="both"/>
        <w:rPr>
          <w:rFonts w:ascii="Times New Roman" w:hAnsi="Times New Roman" w:cs="Times New Roman"/>
          <w:b/>
          <w:bCs/>
          <w:sz w:val="22"/>
          <w:szCs w:val="22"/>
        </w:rPr>
      </w:pPr>
    </w:p>
    <w:p w:rsidR="00F515B4" w:rsidRDefault="00F515B4" w:rsidP="000C0138">
      <w:pPr>
        <w:pStyle w:val="Default"/>
        <w:spacing w:line="276" w:lineRule="auto"/>
        <w:jc w:val="both"/>
        <w:rPr>
          <w:rFonts w:ascii="Times New Roman" w:hAnsi="Times New Roman" w:cs="Times New Roman"/>
          <w:b/>
          <w:bCs/>
          <w:sz w:val="22"/>
          <w:szCs w:val="22"/>
        </w:rPr>
      </w:pPr>
    </w:p>
    <w:p w:rsidR="00F515B4" w:rsidRDefault="00F515B4" w:rsidP="000C0138">
      <w:pPr>
        <w:pStyle w:val="Default"/>
        <w:spacing w:line="276" w:lineRule="auto"/>
        <w:jc w:val="both"/>
        <w:rPr>
          <w:rFonts w:ascii="Times New Roman" w:hAnsi="Times New Roman" w:cs="Times New Roman"/>
          <w:b/>
          <w:bCs/>
          <w:sz w:val="22"/>
          <w:szCs w:val="22"/>
        </w:rPr>
      </w:pPr>
    </w:p>
    <w:p w:rsidR="00F515B4" w:rsidRDefault="00F515B4" w:rsidP="000C0138">
      <w:pPr>
        <w:pStyle w:val="Default"/>
        <w:spacing w:line="276" w:lineRule="auto"/>
        <w:jc w:val="both"/>
        <w:rPr>
          <w:rFonts w:ascii="Times New Roman" w:hAnsi="Times New Roman" w:cs="Times New Roman"/>
          <w:b/>
          <w:bCs/>
          <w:sz w:val="22"/>
          <w:szCs w:val="22"/>
        </w:rPr>
      </w:pPr>
    </w:p>
    <w:p w:rsidR="00F515B4" w:rsidRDefault="00F515B4" w:rsidP="000C0138">
      <w:pPr>
        <w:pStyle w:val="Default"/>
        <w:spacing w:line="276" w:lineRule="auto"/>
        <w:jc w:val="both"/>
        <w:rPr>
          <w:rFonts w:ascii="Times New Roman" w:hAnsi="Times New Roman" w:cs="Times New Roman"/>
          <w:b/>
          <w:bCs/>
          <w:sz w:val="22"/>
          <w:szCs w:val="22"/>
        </w:rPr>
      </w:pPr>
    </w:p>
    <w:p w:rsidR="00F515B4" w:rsidRDefault="00F515B4" w:rsidP="000C0138">
      <w:pPr>
        <w:pStyle w:val="Default"/>
        <w:spacing w:line="276" w:lineRule="auto"/>
        <w:jc w:val="both"/>
        <w:rPr>
          <w:rFonts w:ascii="Times New Roman" w:hAnsi="Times New Roman" w:cs="Times New Roman"/>
          <w:b/>
          <w:bCs/>
          <w:sz w:val="22"/>
          <w:szCs w:val="22"/>
        </w:rPr>
      </w:pPr>
    </w:p>
    <w:p w:rsidR="00F515B4" w:rsidRDefault="00F515B4" w:rsidP="000C0138">
      <w:pPr>
        <w:pStyle w:val="Default"/>
        <w:spacing w:line="276" w:lineRule="auto"/>
        <w:jc w:val="both"/>
        <w:rPr>
          <w:rFonts w:ascii="Times New Roman" w:hAnsi="Times New Roman" w:cs="Times New Roman"/>
          <w:b/>
          <w:bCs/>
          <w:sz w:val="22"/>
          <w:szCs w:val="22"/>
        </w:rPr>
      </w:pPr>
    </w:p>
    <w:p w:rsidR="00F515B4" w:rsidRDefault="00F515B4" w:rsidP="000C0138">
      <w:pPr>
        <w:pStyle w:val="Default"/>
        <w:spacing w:line="276" w:lineRule="auto"/>
        <w:jc w:val="both"/>
        <w:rPr>
          <w:rFonts w:ascii="Times New Roman" w:hAnsi="Times New Roman" w:cs="Times New Roman"/>
          <w:b/>
          <w:bCs/>
          <w:sz w:val="22"/>
          <w:szCs w:val="22"/>
        </w:rPr>
      </w:pPr>
    </w:p>
    <w:p w:rsidR="00F515B4" w:rsidRDefault="00F515B4" w:rsidP="000C0138">
      <w:pPr>
        <w:pStyle w:val="Default"/>
        <w:spacing w:line="276" w:lineRule="auto"/>
        <w:jc w:val="both"/>
        <w:rPr>
          <w:rFonts w:ascii="Times New Roman" w:hAnsi="Times New Roman" w:cs="Times New Roman"/>
          <w:b/>
          <w:bCs/>
          <w:sz w:val="22"/>
          <w:szCs w:val="22"/>
        </w:rPr>
      </w:pPr>
    </w:p>
    <w:p w:rsidR="00A131AD" w:rsidRPr="00155F80" w:rsidRDefault="00A131AD" w:rsidP="000C0138">
      <w:pPr>
        <w:pStyle w:val="Default"/>
        <w:spacing w:line="276" w:lineRule="auto"/>
        <w:jc w:val="both"/>
        <w:rPr>
          <w:rFonts w:ascii="Times New Roman" w:hAnsi="Times New Roman" w:cs="Times New Roman"/>
          <w:b/>
          <w:bCs/>
          <w:sz w:val="22"/>
          <w:szCs w:val="22"/>
        </w:rPr>
      </w:pPr>
      <w:r w:rsidRPr="00155F80">
        <w:rPr>
          <w:rFonts w:ascii="Times New Roman" w:hAnsi="Times New Roman" w:cs="Times New Roman"/>
          <w:b/>
          <w:bCs/>
          <w:sz w:val="22"/>
          <w:szCs w:val="22"/>
        </w:rPr>
        <w:lastRenderedPageBreak/>
        <w:t>Mortalitet od malignih neoplazmi</w:t>
      </w:r>
    </w:p>
    <w:p w:rsidR="00A131AD" w:rsidRPr="00155F80" w:rsidRDefault="00A131AD" w:rsidP="000C0138">
      <w:pPr>
        <w:pStyle w:val="Default"/>
        <w:spacing w:line="276" w:lineRule="auto"/>
        <w:jc w:val="both"/>
        <w:rPr>
          <w:rFonts w:ascii="Times New Roman" w:hAnsi="Times New Roman" w:cs="Times New Roman"/>
          <w:b/>
          <w:bCs/>
          <w:sz w:val="22"/>
          <w:szCs w:val="22"/>
        </w:rPr>
      </w:pPr>
    </w:p>
    <w:p w:rsidR="006D674E" w:rsidRDefault="006A31AA" w:rsidP="000C0138">
      <w:pPr>
        <w:pStyle w:val="Default"/>
        <w:spacing w:line="276" w:lineRule="auto"/>
        <w:jc w:val="both"/>
        <w:rPr>
          <w:rFonts w:ascii="Times New Roman" w:hAnsi="Times New Roman" w:cs="Times New Roman"/>
          <w:b/>
          <w:bCs/>
          <w:sz w:val="22"/>
          <w:szCs w:val="22"/>
        </w:rPr>
      </w:pPr>
      <w:r>
        <w:rPr>
          <w:rFonts w:ascii="Times New Roman" w:hAnsi="Times New Roman" w:cs="Times New Roman"/>
          <w:bCs/>
          <w:sz w:val="22"/>
          <w:szCs w:val="22"/>
        </w:rPr>
        <w:t>Standardizirana stopa mortaliteta</w:t>
      </w:r>
      <w:r w:rsidR="00A131AD" w:rsidRPr="00155F80">
        <w:rPr>
          <w:rFonts w:ascii="Times New Roman" w:hAnsi="Times New Roman" w:cs="Times New Roman"/>
          <w:bCs/>
          <w:sz w:val="22"/>
          <w:szCs w:val="22"/>
        </w:rPr>
        <w:t xml:space="preserve"> od malignih neoplazmi u F</w:t>
      </w:r>
      <w:r w:rsidR="009D23A1">
        <w:rPr>
          <w:rFonts w:ascii="Times New Roman" w:hAnsi="Times New Roman" w:cs="Times New Roman"/>
          <w:bCs/>
          <w:sz w:val="22"/>
          <w:szCs w:val="22"/>
        </w:rPr>
        <w:t>ederaciji BiH bi</w:t>
      </w:r>
      <w:r w:rsidR="00A131AD" w:rsidRPr="00155F80">
        <w:rPr>
          <w:rFonts w:ascii="Times New Roman" w:hAnsi="Times New Roman" w:cs="Times New Roman"/>
          <w:bCs/>
          <w:sz w:val="22"/>
          <w:szCs w:val="22"/>
        </w:rPr>
        <w:t xml:space="preserve">lježi trend rasta u </w:t>
      </w:r>
      <w:r w:rsidR="008A17BF">
        <w:rPr>
          <w:rFonts w:ascii="Times New Roman" w:hAnsi="Times New Roman" w:cs="Times New Roman"/>
          <w:bCs/>
          <w:sz w:val="22"/>
          <w:szCs w:val="22"/>
        </w:rPr>
        <w:t>razdoblju</w:t>
      </w:r>
      <w:r w:rsidR="009D23A1">
        <w:rPr>
          <w:rFonts w:ascii="Times New Roman" w:hAnsi="Times New Roman" w:cs="Times New Roman"/>
          <w:bCs/>
          <w:sz w:val="22"/>
          <w:szCs w:val="22"/>
        </w:rPr>
        <w:t xml:space="preserve"> </w:t>
      </w:r>
      <w:r w:rsidR="00A131AD" w:rsidRPr="00155F80">
        <w:rPr>
          <w:rFonts w:ascii="Times New Roman" w:hAnsi="Times New Roman" w:cs="Times New Roman"/>
          <w:bCs/>
          <w:sz w:val="22"/>
          <w:szCs w:val="22"/>
        </w:rPr>
        <w:t>2010-2015.</w:t>
      </w:r>
      <w:r w:rsidR="009D23A1">
        <w:rPr>
          <w:rFonts w:ascii="Times New Roman" w:hAnsi="Times New Roman" w:cs="Times New Roman"/>
          <w:bCs/>
          <w:sz w:val="22"/>
          <w:szCs w:val="22"/>
        </w:rPr>
        <w:t>godina.</w:t>
      </w:r>
    </w:p>
    <w:p w:rsidR="006D674E" w:rsidRPr="00155F80" w:rsidRDefault="006D674E" w:rsidP="000C0138">
      <w:pPr>
        <w:pStyle w:val="Default"/>
        <w:spacing w:line="276" w:lineRule="auto"/>
        <w:jc w:val="both"/>
        <w:rPr>
          <w:rFonts w:ascii="Times New Roman" w:hAnsi="Times New Roman" w:cs="Times New Roman"/>
          <w:b/>
          <w:bCs/>
          <w:sz w:val="22"/>
          <w:szCs w:val="22"/>
        </w:rPr>
      </w:pPr>
    </w:p>
    <w:p w:rsidR="00A131AD" w:rsidRPr="00155F80" w:rsidRDefault="00A131AD" w:rsidP="00EB7CC7">
      <w:pPr>
        <w:pStyle w:val="refererere"/>
        <w:rPr>
          <w:lang w:eastAsia="bs-Latn-BA"/>
        </w:rPr>
      </w:pPr>
      <w:r w:rsidRPr="00155F80">
        <w:rPr>
          <w:iCs/>
        </w:rPr>
        <w:t xml:space="preserve">Grafikon 17: </w:t>
      </w:r>
      <w:r w:rsidRPr="00155F80">
        <w:rPr>
          <w:lang w:eastAsia="bs-Latn-BA"/>
        </w:rPr>
        <w:t>SDR mortaliteta od malignih neoplazmi u Federaciji BiH za</w:t>
      </w:r>
      <w:r w:rsidR="008A17BF">
        <w:rPr>
          <w:lang w:eastAsia="bs-Latn-BA"/>
        </w:rPr>
        <w:t xml:space="preserve"> razdoblje</w:t>
      </w:r>
      <w:r w:rsidRPr="00155F80">
        <w:rPr>
          <w:lang w:eastAsia="bs-Latn-BA"/>
        </w:rPr>
        <w:t xml:space="preserve"> 2010–2015. godina</w:t>
      </w:r>
    </w:p>
    <w:p w:rsidR="00A131AD" w:rsidRPr="00155F80" w:rsidRDefault="00A131AD" w:rsidP="000C0138">
      <w:pPr>
        <w:pStyle w:val="Default"/>
        <w:spacing w:line="276" w:lineRule="auto"/>
        <w:jc w:val="both"/>
        <w:rPr>
          <w:rFonts w:ascii="Times New Roman" w:hAnsi="Times New Roman" w:cs="Times New Roman"/>
          <w:sz w:val="22"/>
          <w:szCs w:val="22"/>
        </w:rPr>
      </w:pPr>
      <w:r w:rsidRPr="00155F80">
        <w:rPr>
          <w:rFonts w:ascii="Times New Roman" w:hAnsi="Times New Roman" w:cs="Times New Roman"/>
          <w:noProof/>
          <w:sz w:val="22"/>
          <w:szCs w:val="22"/>
          <w:lang w:eastAsia="bs-Latn-BA"/>
        </w:rPr>
        <w:drawing>
          <wp:inline distT="0" distB="0" distL="0" distR="0" wp14:anchorId="36DA7060" wp14:editId="7515DED9">
            <wp:extent cx="5600700" cy="1743075"/>
            <wp:effectExtent l="0" t="0" r="0" b="9525"/>
            <wp:docPr id="74"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A131AD" w:rsidRPr="00155F80" w:rsidRDefault="00A131AD" w:rsidP="000C0138">
      <w:pPr>
        <w:pStyle w:val="Default"/>
        <w:spacing w:line="276" w:lineRule="auto"/>
        <w:jc w:val="both"/>
        <w:rPr>
          <w:rFonts w:ascii="Times New Roman" w:hAnsi="Times New Roman" w:cs="Times New Roman"/>
          <w:sz w:val="22"/>
          <w:szCs w:val="22"/>
        </w:rPr>
      </w:pPr>
    </w:p>
    <w:p w:rsidR="00A131AD" w:rsidRPr="00155F80" w:rsidRDefault="00A131AD" w:rsidP="000C0138">
      <w:pPr>
        <w:pStyle w:val="Default"/>
        <w:spacing w:line="276" w:lineRule="auto"/>
        <w:jc w:val="both"/>
        <w:rPr>
          <w:rFonts w:ascii="Times New Roman" w:hAnsi="Times New Roman" w:cs="Times New Roman"/>
          <w:sz w:val="22"/>
          <w:szCs w:val="22"/>
        </w:rPr>
      </w:pPr>
    </w:p>
    <w:p w:rsidR="007A7E4A" w:rsidRDefault="00A131AD" w:rsidP="007A7E4A">
      <w:pPr>
        <w:pStyle w:val="Default"/>
        <w:spacing w:line="276" w:lineRule="auto"/>
        <w:jc w:val="both"/>
        <w:rPr>
          <w:rFonts w:ascii="Times New Roman" w:hAnsi="Times New Roman" w:cs="Times New Roman"/>
          <w:sz w:val="22"/>
          <w:szCs w:val="22"/>
        </w:rPr>
      </w:pPr>
      <w:r w:rsidRPr="00155F80">
        <w:rPr>
          <w:rFonts w:ascii="Times New Roman" w:hAnsi="Times New Roman" w:cs="Times New Roman"/>
          <w:sz w:val="22"/>
          <w:szCs w:val="22"/>
        </w:rPr>
        <w:t>Kao i prethodnih godina, od malignih neoplazmi u 2015. godini među uzrocima smrti vodeća je maligna neoplazma bronha i pluća (C34) koja bilježi trend blagog opadanja, slijedi maligna neoplazma želuca (C16), maligna neoplazma jetr</w:t>
      </w:r>
      <w:r w:rsidR="00D47907">
        <w:rPr>
          <w:rFonts w:ascii="Times New Roman" w:hAnsi="Times New Roman" w:cs="Times New Roman"/>
          <w:sz w:val="22"/>
          <w:szCs w:val="22"/>
        </w:rPr>
        <w:t>e</w:t>
      </w:r>
      <w:r w:rsidRPr="00155F80">
        <w:rPr>
          <w:rFonts w:ascii="Times New Roman" w:hAnsi="Times New Roman" w:cs="Times New Roman"/>
          <w:sz w:val="22"/>
          <w:szCs w:val="22"/>
        </w:rPr>
        <w:t xml:space="preserve"> i intrahepat</w:t>
      </w:r>
      <w:r w:rsidR="008A17BF">
        <w:rPr>
          <w:rFonts w:ascii="Times New Roman" w:hAnsi="Times New Roman" w:cs="Times New Roman"/>
          <w:sz w:val="22"/>
          <w:szCs w:val="22"/>
        </w:rPr>
        <w:t>ičnih</w:t>
      </w:r>
      <w:r w:rsidRPr="00155F80">
        <w:rPr>
          <w:rFonts w:ascii="Times New Roman" w:hAnsi="Times New Roman" w:cs="Times New Roman"/>
          <w:sz w:val="22"/>
          <w:szCs w:val="22"/>
        </w:rPr>
        <w:t xml:space="preserve"> žučnih vodova (C22), potom maligna neoplazma dojke (C50) čiji trend je takođe u blagom porastu, maligna neoplazma kolona j</w:t>
      </w:r>
      <w:r w:rsidR="009D23A1">
        <w:rPr>
          <w:rFonts w:ascii="Times New Roman" w:hAnsi="Times New Roman" w:cs="Times New Roman"/>
          <w:sz w:val="22"/>
          <w:szCs w:val="22"/>
        </w:rPr>
        <w:t>e peta po učestalosti u 2015. go</w:t>
      </w:r>
      <w:r w:rsidRPr="00155F80">
        <w:rPr>
          <w:rFonts w:ascii="Times New Roman" w:hAnsi="Times New Roman" w:cs="Times New Roman"/>
          <w:sz w:val="22"/>
          <w:szCs w:val="22"/>
        </w:rPr>
        <w:t xml:space="preserve">dnini, dok je u 2010. godini to bila maligna neoplazma pankreasa (C25). </w:t>
      </w:r>
    </w:p>
    <w:p w:rsidR="00FB3114" w:rsidRPr="006D22D7" w:rsidRDefault="00FB3114" w:rsidP="007A7E4A">
      <w:pPr>
        <w:pStyle w:val="Default"/>
        <w:spacing w:line="276" w:lineRule="auto"/>
        <w:jc w:val="both"/>
        <w:rPr>
          <w:rFonts w:ascii="Times New Roman" w:hAnsi="Times New Roman" w:cs="Times New Roman"/>
          <w:sz w:val="22"/>
          <w:szCs w:val="22"/>
        </w:rPr>
      </w:pPr>
    </w:p>
    <w:p w:rsidR="00A131AD" w:rsidRPr="00155F80" w:rsidRDefault="00A131AD" w:rsidP="00EB7CC7">
      <w:pPr>
        <w:pStyle w:val="refererere"/>
      </w:pPr>
      <w:r w:rsidRPr="00155F80">
        <w:t>Grafikon 18: Mortalitet od malignih neoplazmi (pet vodećih) u Federaciji BiH, 2010. i 2015. godina, indeks strukture</w:t>
      </w:r>
    </w:p>
    <w:p w:rsidR="00A131AD" w:rsidRPr="00155F80" w:rsidRDefault="00A131AD" w:rsidP="000C0138">
      <w:pPr>
        <w:pStyle w:val="Default"/>
        <w:spacing w:line="276" w:lineRule="auto"/>
        <w:jc w:val="both"/>
        <w:rPr>
          <w:rFonts w:ascii="Times New Roman" w:hAnsi="Times New Roman" w:cs="Times New Roman"/>
          <w:sz w:val="22"/>
          <w:szCs w:val="22"/>
        </w:rPr>
      </w:pPr>
      <w:r w:rsidRPr="00155F80">
        <w:rPr>
          <w:rFonts w:ascii="Times New Roman" w:hAnsi="Times New Roman" w:cs="Times New Roman"/>
          <w:noProof/>
          <w:sz w:val="22"/>
          <w:szCs w:val="22"/>
          <w:lang w:eastAsia="bs-Latn-BA"/>
        </w:rPr>
        <w:drawing>
          <wp:inline distT="0" distB="0" distL="0" distR="0" wp14:anchorId="63133213" wp14:editId="7274FDDB">
            <wp:extent cx="5857875" cy="1733550"/>
            <wp:effectExtent l="0" t="0" r="9525" b="0"/>
            <wp:docPr id="75"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A131AD" w:rsidRPr="00155F80" w:rsidRDefault="00A131AD" w:rsidP="000C0138">
      <w:pPr>
        <w:pStyle w:val="Default"/>
        <w:spacing w:line="276" w:lineRule="auto"/>
        <w:jc w:val="both"/>
        <w:rPr>
          <w:rFonts w:ascii="Times New Roman" w:hAnsi="Times New Roman" w:cs="Times New Roman"/>
          <w:sz w:val="22"/>
          <w:szCs w:val="22"/>
        </w:rPr>
      </w:pPr>
    </w:p>
    <w:p w:rsidR="00A131AD" w:rsidRDefault="00A131AD" w:rsidP="000C0138">
      <w:pPr>
        <w:pStyle w:val="Default"/>
        <w:spacing w:line="276" w:lineRule="auto"/>
        <w:jc w:val="both"/>
        <w:rPr>
          <w:rFonts w:ascii="Times New Roman" w:hAnsi="Times New Roman" w:cs="Times New Roman"/>
          <w:sz w:val="22"/>
          <w:szCs w:val="22"/>
        </w:rPr>
      </w:pPr>
      <w:r w:rsidRPr="00155F80">
        <w:rPr>
          <w:rFonts w:ascii="Times New Roman" w:hAnsi="Times New Roman" w:cs="Times New Roman"/>
          <w:sz w:val="22"/>
          <w:szCs w:val="22"/>
        </w:rPr>
        <w:t xml:space="preserve">Među uzrocima smrti od malignih neoplazmi kod muškaraca u 2015. godini vodeća je bila maligna neoplazma bronha i pluća (C34) koja bilježi trend laganog opadanja, slijedi maligna neoplazma prostate (C61) koja bilježi trend laganog rasta, potom, maligna neoplazma želuca (C16) čiji trend </w:t>
      </w:r>
      <w:r w:rsidR="009E48BE">
        <w:rPr>
          <w:rFonts w:ascii="Times New Roman" w:hAnsi="Times New Roman" w:cs="Times New Roman"/>
          <w:sz w:val="22"/>
          <w:szCs w:val="22"/>
        </w:rPr>
        <w:t>je u blagom porastu.</w:t>
      </w:r>
      <w:r w:rsidRPr="00155F80">
        <w:rPr>
          <w:rFonts w:ascii="Times New Roman" w:hAnsi="Times New Roman" w:cs="Times New Roman"/>
          <w:sz w:val="22"/>
          <w:szCs w:val="22"/>
        </w:rPr>
        <w:t xml:space="preserve"> </w:t>
      </w:r>
      <w:r w:rsidR="009E48BE">
        <w:rPr>
          <w:rFonts w:ascii="Times New Roman" w:hAnsi="Times New Roman" w:cs="Times New Roman"/>
          <w:sz w:val="22"/>
          <w:szCs w:val="22"/>
        </w:rPr>
        <w:t>N</w:t>
      </w:r>
      <w:r w:rsidR="009E48BE" w:rsidRPr="00155F80">
        <w:rPr>
          <w:rFonts w:ascii="Times New Roman" w:hAnsi="Times New Roman" w:cs="Times New Roman"/>
          <w:sz w:val="22"/>
          <w:szCs w:val="22"/>
        </w:rPr>
        <w:t xml:space="preserve">a četvrtom </w:t>
      </w:r>
      <w:r w:rsidR="009E48BE">
        <w:rPr>
          <w:rFonts w:ascii="Times New Roman" w:hAnsi="Times New Roman" w:cs="Times New Roman"/>
          <w:sz w:val="22"/>
          <w:szCs w:val="22"/>
        </w:rPr>
        <w:t>mjestu je</w:t>
      </w:r>
      <w:r w:rsidRPr="00155F80">
        <w:rPr>
          <w:rFonts w:ascii="Times New Roman" w:hAnsi="Times New Roman" w:cs="Times New Roman"/>
          <w:sz w:val="22"/>
          <w:szCs w:val="22"/>
        </w:rPr>
        <w:t xml:space="preserve"> maligna neoplazma jetr</w:t>
      </w:r>
      <w:r w:rsidR="00D47907">
        <w:rPr>
          <w:rFonts w:ascii="Times New Roman" w:hAnsi="Times New Roman" w:cs="Times New Roman"/>
          <w:sz w:val="22"/>
          <w:szCs w:val="22"/>
        </w:rPr>
        <w:t>e</w:t>
      </w:r>
      <w:r w:rsidRPr="00155F80">
        <w:rPr>
          <w:rFonts w:ascii="Times New Roman" w:hAnsi="Times New Roman" w:cs="Times New Roman"/>
          <w:sz w:val="22"/>
          <w:szCs w:val="22"/>
        </w:rPr>
        <w:t xml:space="preserve"> i intrahepat</w:t>
      </w:r>
      <w:r w:rsidR="00D47907">
        <w:rPr>
          <w:rFonts w:ascii="Times New Roman" w:hAnsi="Times New Roman" w:cs="Times New Roman"/>
          <w:sz w:val="22"/>
          <w:szCs w:val="22"/>
        </w:rPr>
        <w:t>ičnih</w:t>
      </w:r>
      <w:r w:rsidR="009D23A1">
        <w:rPr>
          <w:rFonts w:ascii="Times New Roman" w:hAnsi="Times New Roman" w:cs="Times New Roman"/>
          <w:sz w:val="22"/>
          <w:szCs w:val="22"/>
        </w:rPr>
        <w:t xml:space="preserve"> žučnih vodova (C22</w:t>
      </w:r>
      <w:r w:rsidR="009E48BE">
        <w:rPr>
          <w:rFonts w:ascii="Times New Roman" w:hAnsi="Times New Roman" w:cs="Times New Roman"/>
          <w:sz w:val="22"/>
          <w:szCs w:val="22"/>
        </w:rPr>
        <w:t>)</w:t>
      </w:r>
      <w:r w:rsidRPr="00155F80">
        <w:rPr>
          <w:rFonts w:ascii="Times New Roman" w:hAnsi="Times New Roman" w:cs="Times New Roman"/>
          <w:sz w:val="22"/>
          <w:szCs w:val="22"/>
        </w:rPr>
        <w:t>, dok je maligna neoplazma kolona (C18) peti uzrok smrti muškaraca od malignih neoplazmi u</w:t>
      </w:r>
      <w:r w:rsidR="009E48BE">
        <w:rPr>
          <w:rFonts w:ascii="Times New Roman" w:hAnsi="Times New Roman" w:cs="Times New Roman"/>
          <w:sz w:val="22"/>
          <w:szCs w:val="22"/>
        </w:rPr>
        <w:t xml:space="preserve"> Federaciji BiH.</w:t>
      </w:r>
    </w:p>
    <w:p w:rsidR="00EB7CC7" w:rsidRDefault="00EB7CC7" w:rsidP="000C0138">
      <w:pPr>
        <w:pStyle w:val="Default"/>
        <w:spacing w:line="276" w:lineRule="auto"/>
        <w:jc w:val="both"/>
        <w:rPr>
          <w:rFonts w:ascii="Times New Roman" w:hAnsi="Times New Roman" w:cs="Times New Roman"/>
          <w:sz w:val="22"/>
          <w:szCs w:val="22"/>
        </w:rPr>
      </w:pPr>
    </w:p>
    <w:p w:rsidR="00F515B4" w:rsidRDefault="00F515B4" w:rsidP="000C0138">
      <w:pPr>
        <w:pStyle w:val="Default"/>
        <w:spacing w:line="276" w:lineRule="auto"/>
        <w:jc w:val="both"/>
        <w:rPr>
          <w:rFonts w:ascii="Times New Roman" w:hAnsi="Times New Roman" w:cs="Times New Roman"/>
          <w:sz w:val="22"/>
          <w:szCs w:val="22"/>
        </w:rPr>
      </w:pPr>
    </w:p>
    <w:p w:rsidR="003E3695" w:rsidRDefault="003E3695" w:rsidP="000C0138">
      <w:pPr>
        <w:pStyle w:val="Default"/>
        <w:spacing w:line="276" w:lineRule="auto"/>
        <w:jc w:val="both"/>
        <w:rPr>
          <w:rFonts w:ascii="Times New Roman" w:hAnsi="Times New Roman" w:cs="Times New Roman"/>
          <w:sz w:val="22"/>
          <w:szCs w:val="22"/>
        </w:rPr>
      </w:pPr>
    </w:p>
    <w:p w:rsidR="003E3695" w:rsidRDefault="003E3695" w:rsidP="000C0138">
      <w:pPr>
        <w:pStyle w:val="Default"/>
        <w:spacing w:line="276" w:lineRule="auto"/>
        <w:jc w:val="both"/>
        <w:rPr>
          <w:rFonts w:ascii="Times New Roman" w:hAnsi="Times New Roman" w:cs="Times New Roman"/>
          <w:sz w:val="22"/>
          <w:szCs w:val="22"/>
        </w:rPr>
      </w:pPr>
    </w:p>
    <w:p w:rsidR="003E3695" w:rsidRDefault="003E3695" w:rsidP="000C0138">
      <w:pPr>
        <w:pStyle w:val="Default"/>
        <w:spacing w:line="276" w:lineRule="auto"/>
        <w:jc w:val="both"/>
        <w:rPr>
          <w:rFonts w:ascii="Times New Roman" w:hAnsi="Times New Roman" w:cs="Times New Roman"/>
          <w:sz w:val="22"/>
          <w:szCs w:val="22"/>
        </w:rPr>
      </w:pPr>
    </w:p>
    <w:p w:rsidR="00F515B4" w:rsidRDefault="00F515B4" w:rsidP="000C0138">
      <w:pPr>
        <w:pStyle w:val="Default"/>
        <w:spacing w:line="276" w:lineRule="auto"/>
        <w:jc w:val="both"/>
        <w:rPr>
          <w:rFonts w:ascii="Times New Roman" w:hAnsi="Times New Roman" w:cs="Times New Roman"/>
          <w:sz w:val="22"/>
          <w:szCs w:val="22"/>
        </w:rPr>
      </w:pPr>
    </w:p>
    <w:p w:rsidR="00A131AD" w:rsidRPr="00155F80" w:rsidRDefault="00A131AD" w:rsidP="00EB7CC7">
      <w:pPr>
        <w:pStyle w:val="refererere"/>
      </w:pPr>
      <w:r w:rsidRPr="00155F80">
        <w:lastRenderedPageBreak/>
        <w:t>Grafikon 19: Mortalitet od malignih neoplazmi kod muškaraca u Federaciji BiH, 2010. i 2015. godina, indeks strukture</w:t>
      </w:r>
    </w:p>
    <w:p w:rsidR="00A131AD" w:rsidRPr="00155F80" w:rsidRDefault="00A131AD" w:rsidP="000C0138">
      <w:pPr>
        <w:pStyle w:val="Default"/>
        <w:spacing w:line="276" w:lineRule="auto"/>
        <w:jc w:val="both"/>
        <w:rPr>
          <w:rFonts w:ascii="Times New Roman" w:hAnsi="Times New Roman" w:cs="Times New Roman"/>
          <w:sz w:val="22"/>
          <w:szCs w:val="22"/>
        </w:rPr>
      </w:pPr>
      <w:r w:rsidRPr="00155F80">
        <w:rPr>
          <w:rFonts w:ascii="Times New Roman" w:hAnsi="Times New Roman" w:cs="Times New Roman"/>
          <w:noProof/>
          <w:sz w:val="22"/>
          <w:szCs w:val="22"/>
          <w:lang w:eastAsia="bs-Latn-BA"/>
        </w:rPr>
        <w:drawing>
          <wp:inline distT="0" distB="0" distL="0" distR="0" wp14:anchorId="0D3BBD89" wp14:editId="47E2F7BA">
            <wp:extent cx="5857875" cy="1647825"/>
            <wp:effectExtent l="0" t="0" r="9525" b="9525"/>
            <wp:docPr id="76"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A131AD" w:rsidRPr="00155F80" w:rsidRDefault="00A131AD" w:rsidP="000C0138">
      <w:pPr>
        <w:pStyle w:val="Default"/>
        <w:spacing w:line="276" w:lineRule="auto"/>
        <w:rPr>
          <w:rFonts w:ascii="Times New Roman" w:hAnsi="Times New Roman" w:cs="Times New Roman"/>
          <w:sz w:val="22"/>
          <w:szCs w:val="22"/>
        </w:rPr>
      </w:pPr>
    </w:p>
    <w:p w:rsidR="00A131AD" w:rsidRPr="00155F80" w:rsidRDefault="00A131AD" w:rsidP="000C0138">
      <w:pPr>
        <w:pStyle w:val="Default"/>
        <w:spacing w:line="276" w:lineRule="auto"/>
        <w:jc w:val="both"/>
        <w:rPr>
          <w:rFonts w:ascii="Times New Roman" w:hAnsi="Times New Roman" w:cs="Times New Roman"/>
          <w:sz w:val="22"/>
          <w:szCs w:val="22"/>
        </w:rPr>
      </w:pPr>
      <w:r w:rsidRPr="00155F80">
        <w:rPr>
          <w:rFonts w:ascii="Times New Roman" w:hAnsi="Times New Roman" w:cs="Times New Roman"/>
          <w:sz w:val="22"/>
          <w:szCs w:val="22"/>
        </w:rPr>
        <w:t>Među uzrocima smrti od malignih neoplazmi kod žena u 2015. godini vodeća je bila maligna neoplazma dojke (C50) koja bilježi trend blagog rasta, slijedi maligna neoplazma bronha i pluća (C34) koja takođe bilježi trend rasta, potom, maligna neoplazma jetre i intrahepat</w:t>
      </w:r>
      <w:r w:rsidR="00D47907">
        <w:rPr>
          <w:rFonts w:ascii="Times New Roman" w:hAnsi="Times New Roman" w:cs="Times New Roman"/>
          <w:sz w:val="22"/>
          <w:szCs w:val="22"/>
        </w:rPr>
        <w:t>ičnih</w:t>
      </w:r>
      <w:r w:rsidRPr="00155F80">
        <w:rPr>
          <w:rFonts w:ascii="Times New Roman" w:hAnsi="Times New Roman" w:cs="Times New Roman"/>
          <w:sz w:val="22"/>
          <w:szCs w:val="22"/>
        </w:rPr>
        <w:t xml:space="preserve"> žučnih vodova (C22) čiji trend pokazuje povećanje u odnosu na 2010. godinu. </w:t>
      </w:r>
    </w:p>
    <w:p w:rsidR="00A131AD" w:rsidRPr="00155F80" w:rsidRDefault="00A131AD" w:rsidP="000C0138">
      <w:pPr>
        <w:pStyle w:val="Default"/>
        <w:spacing w:line="276" w:lineRule="auto"/>
        <w:jc w:val="both"/>
        <w:rPr>
          <w:rFonts w:ascii="Times New Roman" w:hAnsi="Times New Roman" w:cs="Times New Roman"/>
          <w:sz w:val="22"/>
          <w:szCs w:val="22"/>
        </w:rPr>
      </w:pPr>
      <w:r w:rsidRPr="00155F80">
        <w:rPr>
          <w:rFonts w:ascii="Times New Roman" w:hAnsi="Times New Roman" w:cs="Times New Roman"/>
          <w:sz w:val="22"/>
          <w:szCs w:val="22"/>
        </w:rPr>
        <w:t>Sljedeća je  maligna neoplazma želuca (C16) čiji trend je u blagom opadanju, a kao peta po učestalosti umiranja žena od malignih neoplazmi je maligna neoplazm</w:t>
      </w:r>
      <w:r w:rsidR="009D23A1">
        <w:rPr>
          <w:rFonts w:ascii="Times New Roman" w:hAnsi="Times New Roman" w:cs="Times New Roman"/>
          <w:sz w:val="22"/>
          <w:szCs w:val="22"/>
        </w:rPr>
        <w:t>a kolona (C18), dok je u 2010. g</w:t>
      </w:r>
      <w:r w:rsidRPr="00155F80">
        <w:rPr>
          <w:rFonts w:ascii="Times New Roman" w:hAnsi="Times New Roman" w:cs="Times New Roman"/>
          <w:sz w:val="22"/>
          <w:szCs w:val="22"/>
        </w:rPr>
        <w:t>odini rang pet imala maligna neoplazma pankreasa (C25).</w:t>
      </w:r>
    </w:p>
    <w:p w:rsidR="00A131AD" w:rsidRPr="00155F80" w:rsidRDefault="00A131AD" w:rsidP="000C0138">
      <w:pPr>
        <w:pStyle w:val="Default"/>
        <w:spacing w:line="276" w:lineRule="auto"/>
        <w:jc w:val="both"/>
        <w:rPr>
          <w:rFonts w:ascii="Times New Roman" w:hAnsi="Times New Roman" w:cs="Times New Roman"/>
          <w:sz w:val="22"/>
          <w:szCs w:val="22"/>
        </w:rPr>
      </w:pPr>
    </w:p>
    <w:p w:rsidR="001911A6" w:rsidRPr="00155F80" w:rsidRDefault="001911A6" w:rsidP="000C0138">
      <w:pPr>
        <w:pStyle w:val="Default"/>
        <w:spacing w:line="276" w:lineRule="auto"/>
        <w:jc w:val="both"/>
        <w:rPr>
          <w:rFonts w:ascii="Times New Roman" w:hAnsi="Times New Roman" w:cs="Times New Roman"/>
          <w:sz w:val="22"/>
          <w:szCs w:val="22"/>
        </w:rPr>
      </w:pPr>
    </w:p>
    <w:p w:rsidR="00A131AD" w:rsidRPr="00155F80" w:rsidRDefault="00A131AD" w:rsidP="00EB7CC7">
      <w:pPr>
        <w:pStyle w:val="refererere"/>
      </w:pPr>
      <w:r w:rsidRPr="00155F80">
        <w:t>Grafikon 20: Mortalitet od malignih neoplazmi kod žena u Federaciji BiH, 2010. i 2015. godina, indeks strukture</w:t>
      </w:r>
    </w:p>
    <w:p w:rsidR="00A131AD" w:rsidRPr="00155F80" w:rsidRDefault="00A131AD" w:rsidP="000C0138">
      <w:pPr>
        <w:pStyle w:val="Default"/>
        <w:spacing w:line="276" w:lineRule="auto"/>
        <w:jc w:val="both"/>
        <w:rPr>
          <w:rFonts w:ascii="Times New Roman" w:hAnsi="Times New Roman" w:cs="Times New Roman"/>
          <w:sz w:val="22"/>
          <w:szCs w:val="22"/>
        </w:rPr>
      </w:pPr>
      <w:r w:rsidRPr="00155F80">
        <w:rPr>
          <w:rFonts w:ascii="Times New Roman" w:hAnsi="Times New Roman" w:cs="Times New Roman"/>
          <w:noProof/>
          <w:sz w:val="22"/>
          <w:szCs w:val="22"/>
          <w:lang w:eastAsia="bs-Latn-BA"/>
        </w:rPr>
        <w:drawing>
          <wp:inline distT="0" distB="0" distL="0" distR="0" wp14:anchorId="694674EE" wp14:editId="4F00D0E9">
            <wp:extent cx="5715000" cy="1895475"/>
            <wp:effectExtent l="0" t="0" r="0" b="9525"/>
            <wp:docPr id="77"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A131AD" w:rsidRPr="00155F80" w:rsidRDefault="00A131AD" w:rsidP="000C0138">
      <w:pPr>
        <w:pStyle w:val="Default"/>
        <w:spacing w:line="276" w:lineRule="auto"/>
        <w:jc w:val="both"/>
        <w:rPr>
          <w:rFonts w:ascii="Times New Roman" w:hAnsi="Times New Roman" w:cs="Times New Roman"/>
          <w:sz w:val="22"/>
          <w:szCs w:val="22"/>
        </w:rPr>
      </w:pPr>
    </w:p>
    <w:p w:rsidR="00A131AD" w:rsidRPr="00155F80" w:rsidRDefault="00AE2EDA" w:rsidP="00A62F5B">
      <w:pPr>
        <w:pStyle w:val="Poglavlje3"/>
      </w:pPr>
      <w:bookmarkStart w:id="20" w:name="_Toc456095908"/>
      <w:r>
        <w:t xml:space="preserve">3.1.3 </w:t>
      </w:r>
      <w:r w:rsidR="00D47907">
        <w:t>Ozljede</w:t>
      </w:r>
      <w:r w:rsidR="00A131AD" w:rsidRPr="00155F80">
        <w:t xml:space="preserve"> kao uzroci smrti</w:t>
      </w:r>
      <w:bookmarkEnd w:id="20"/>
      <w:r w:rsidR="00A131AD" w:rsidRPr="00155F80">
        <w:t xml:space="preserve"> </w:t>
      </w:r>
    </w:p>
    <w:p w:rsidR="00A131AD" w:rsidRPr="00155F80" w:rsidRDefault="00A131AD" w:rsidP="000C0138">
      <w:pPr>
        <w:pStyle w:val="Default"/>
        <w:spacing w:line="276" w:lineRule="auto"/>
        <w:jc w:val="both"/>
        <w:rPr>
          <w:rFonts w:ascii="Times New Roman" w:hAnsi="Times New Roman" w:cs="Times New Roman"/>
          <w:sz w:val="22"/>
          <w:szCs w:val="22"/>
        </w:rPr>
      </w:pPr>
    </w:p>
    <w:p w:rsidR="00B56CE8" w:rsidRPr="00D84E86" w:rsidRDefault="00B56CE8" w:rsidP="00B56CE8">
      <w:pPr>
        <w:pStyle w:val="Default"/>
        <w:spacing w:line="276" w:lineRule="auto"/>
        <w:jc w:val="both"/>
        <w:rPr>
          <w:rFonts w:ascii="Times New Roman" w:hAnsi="Times New Roman" w:cs="Times New Roman"/>
          <w:color w:val="auto"/>
          <w:sz w:val="22"/>
          <w:szCs w:val="22"/>
        </w:rPr>
      </w:pPr>
      <w:r w:rsidRPr="00D84E86">
        <w:rPr>
          <w:rFonts w:ascii="Times New Roman" w:hAnsi="Times New Roman" w:cs="Times New Roman"/>
          <w:color w:val="auto"/>
          <w:sz w:val="22"/>
          <w:szCs w:val="22"/>
        </w:rPr>
        <w:t>U p</w:t>
      </w:r>
      <w:r w:rsidR="00D47907">
        <w:rPr>
          <w:rFonts w:ascii="Times New Roman" w:hAnsi="Times New Roman" w:cs="Times New Roman"/>
          <w:color w:val="auto"/>
          <w:sz w:val="22"/>
          <w:szCs w:val="22"/>
        </w:rPr>
        <w:t>r</w:t>
      </w:r>
      <w:r w:rsidRPr="00D84E86">
        <w:rPr>
          <w:rFonts w:ascii="Times New Roman" w:hAnsi="Times New Roman" w:cs="Times New Roman"/>
          <w:color w:val="auto"/>
          <w:sz w:val="22"/>
          <w:szCs w:val="22"/>
        </w:rPr>
        <w:t xml:space="preserve">omatranom </w:t>
      </w:r>
      <w:r w:rsidR="00D47907">
        <w:rPr>
          <w:rFonts w:ascii="Times New Roman" w:hAnsi="Times New Roman" w:cs="Times New Roman"/>
          <w:color w:val="auto"/>
          <w:sz w:val="22"/>
          <w:szCs w:val="22"/>
        </w:rPr>
        <w:t>razdoblju</w:t>
      </w:r>
      <w:r w:rsidRPr="00D84E86">
        <w:rPr>
          <w:rFonts w:ascii="Times New Roman" w:hAnsi="Times New Roman" w:cs="Times New Roman"/>
          <w:color w:val="auto"/>
          <w:sz w:val="22"/>
          <w:szCs w:val="22"/>
        </w:rPr>
        <w:t xml:space="preserve"> je registr</w:t>
      </w:r>
      <w:r w:rsidR="00D47907">
        <w:rPr>
          <w:rFonts w:ascii="Times New Roman" w:hAnsi="Times New Roman" w:cs="Times New Roman"/>
          <w:color w:val="auto"/>
          <w:sz w:val="22"/>
          <w:szCs w:val="22"/>
        </w:rPr>
        <w:t xml:space="preserve">iran </w:t>
      </w:r>
      <w:r w:rsidRPr="00D84E86">
        <w:rPr>
          <w:rFonts w:ascii="Times New Roman" w:hAnsi="Times New Roman" w:cs="Times New Roman"/>
          <w:color w:val="auto"/>
          <w:sz w:val="22"/>
          <w:szCs w:val="22"/>
        </w:rPr>
        <w:t xml:space="preserve">trend smanjenja smtnih ishoda zbog </w:t>
      </w:r>
      <w:r w:rsidR="00D47907">
        <w:rPr>
          <w:rFonts w:ascii="Times New Roman" w:hAnsi="Times New Roman" w:cs="Times New Roman"/>
          <w:color w:val="auto"/>
          <w:sz w:val="22"/>
          <w:szCs w:val="22"/>
        </w:rPr>
        <w:t>ozljeda</w:t>
      </w:r>
      <w:r w:rsidRPr="00D84E86">
        <w:rPr>
          <w:rFonts w:ascii="Times New Roman" w:hAnsi="Times New Roman" w:cs="Times New Roman"/>
          <w:color w:val="auto"/>
          <w:sz w:val="22"/>
          <w:szCs w:val="22"/>
        </w:rPr>
        <w:t xml:space="preserve"> i trovanja.</w:t>
      </w:r>
    </w:p>
    <w:p w:rsidR="00A131AD" w:rsidRDefault="00A131AD" w:rsidP="000C0138">
      <w:pPr>
        <w:pStyle w:val="Default"/>
        <w:spacing w:line="276" w:lineRule="auto"/>
        <w:jc w:val="both"/>
        <w:rPr>
          <w:rFonts w:ascii="Times New Roman" w:hAnsi="Times New Roman" w:cs="Times New Roman"/>
          <w:sz w:val="22"/>
          <w:szCs w:val="22"/>
        </w:rPr>
      </w:pPr>
      <w:r w:rsidRPr="00155F80">
        <w:rPr>
          <w:rFonts w:ascii="Times New Roman" w:hAnsi="Times New Roman" w:cs="Times New Roman"/>
          <w:sz w:val="22"/>
          <w:szCs w:val="22"/>
        </w:rPr>
        <w:t xml:space="preserve">Udio </w:t>
      </w:r>
      <w:r w:rsidR="00D47907">
        <w:rPr>
          <w:rFonts w:ascii="Times New Roman" w:hAnsi="Times New Roman" w:cs="Times New Roman"/>
          <w:sz w:val="22"/>
          <w:szCs w:val="22"/>
        </w:rPr>
        <w:t>ozljeda</w:t>
      </w:r>
      <w:r w:rsidRPr="00155F80">
        <w:rPr>
          <w:rFonts w:ascii="Times New Roman" w:hAnsi="Times New Roman" w:cs="Times New Roman"/>
          <w:sz w:val="22"/>
          <w:szCs w:val="22"/>
        </w:rPr>
        <w:t xml:space="preserve"> u mortalitetu u 2015. godini iznosio je </w:t>
      </w:r>
      <w:r w:rsidRPr="00155F80">
        <w:rPr>
          <w:rFonts w:ascii="Times New Roman" w:hAnsi="Times New Roman" w:cs="Times New Roman"/>
          <w:color w:val="auto"/>
          <w:sz w:val="22"/>
          <w:szCs w:val="22"/>
        </w:rPr>
        <w:t>2,4</w:t>
      </w:r>
      <w:r w:rsidRPr="00155F80">
        <w:rPr>
          <w:rFonts w:ascii="Times New Roman" w:hAnsi="Times New Roman" w:cs="Times New Roman"/>
          <w:sz w:val="22"/>
          <w:szCs w:val="22"/>
        </w:rPr>
        <w:t xml:space="preserve">%. </w:t>
      </w:r>
    </w:p>
    <w:p w:rsidR="00126FC8" w:rsidRPr="00155F80" w:rsidRDefault="00126FC8" w:rsidP="000C0138">
      <w:pPr>
        <w:pStyle w:val="Default"/>
        <w:spacing w:line="276" w:lineRule="auto"/>
        <w:jc w:val="both"/>
        <w:rPr>
          <w:rFonts w:ascii="Times New Roman" w:hAnsi="Times New Roman" w:cs="Times New Roman"/>
          <w:sz w:val="22"/>
          <w:szCs w:val="22"/>
        </w:rPr>
      </w:pPr>
    </w:p>
    <w:p w:rsidR="001911A6" w:rsidRDefault="00126FC8" w:rsidP="000C0138">
      <w:pPr>
        <w:pStyle w:val="Default"/>
        <w:spacing w:line="276" w:lineRule="auto"/>
        <w:jc w:val="both"/>
        <w:rPr>
          <w:rFonts w:ascii="Times New Roman" w:hAnsi="Times New Roman" w:cs="Times New Roman"/>
          <w:sz w:val="20"/>
          <w:szCs w:val="20"/>
          <w:lang w:eastAsia="bs-Latn-BA"/>
        </w:rPr>
      </w:pPr>
      <w:r>
        <w:rPr>
          <w:rFonts w:ascii="Times New Roman" w:hAnsi="Times New Roman" w:cs="Times New Roman"/>
          <w:iCs/>
          <w:sz w:val="20"/>
          <w:szCs w:val="20"/>
        </w:rPr>
        <w:t>Grafikon 21</w:t>
      </w:r>
      <w:r w:rsidRPr="00126FC8">
        <w:rPr>
          <w:rFonts w:ascii="Times New Roman" w:hAnsi="Times New Roman" w:cs="Times New Roman"/>
          <w:iCs/>
          <w:sz w:val="20"/>
          <w:szCs w:val="20"/>
        </w:rPr>
        <w:t xml:space="preserve">: </w:t>
      </w:r>
      <w:r w:rsidR="00D47907">
        <w:rPr>
          <w:rFonts w:ascii="Times New Roman" w:hAnsi="Times New Roman" w:cs="Times New Roman"/>
          <w:sz w:val="20"/>
          <w:szCs w:val="20"/>
          <w:lang w:eastAsia="bs-Latn-BA"/>
        </w:rPr>
        <w:t>Ozljede</w:t>
      </w:r>
      <w:r w:rsidRPr="00126FC8">
        <w:rPr>
          <w:rFonts w:ascii="Times New Roman" w:hAnsi="Times New Roman" w:cs="Times New Roman"/>
          <w:sz w:val="20"/>
          <w:szCs w:val="20"/>
          <w:lang w:eastAsia="bs-Latn-BA"/>
        </w:rPr>
        <w:t xml:space="preserve">, trovanja i druge posljedice vanjskih uzroka smrti u Federaciji BiH za </w:t>
      </w:r>
      <w:r w:rsidR="00D47907">
        <w:rPr>
          <w:rFonts w:ascii="Times New Roman" w:hAnsi="Times New Roman" w:cs="Times New Roman"/>
          <w:sz w:val="20"/>
          <w:szCs w:val="20"/>
          <w:lang w:eastAsia="bs-Latn-BA"/>
        </w:rPr>
        <w:t>razdoblje</w:t>
      </w:r>
      <w:r w:rsidRPr="00126FC8">
        <w:rPr>
          <w:rFonts w:ascii="Times New Roman" w:hAnsi="Times New Roman" w:cs="Times New Roman"/>
          <w:sz w:val="20"/>
          <w:szCs w:val="20"/>
          <w:lang w:eastAsia="bs-Latn-BA"/>
        </w:rPr>
        <w:t xml:space="preserve"> 2010.-2015.godine, stopa na 100.000 stanovnika</w:t>
      </w:r>
    </w:p>
    <w:p w:rsidR="00126FC8" w:rsidRPr="00126FC8" w:rsidRDefault="00126FC8" w:rsidP="000C0138">
      <w:pPr>
        <w:pStyle w:val="Default"/>
        <w:spacing w:line="276" w:lineRule="auto"/>
        <w:jc w:val="both"/>
        <w:rPr>
          <w:rFonts w:ascii="Times New Roman" w:hAnsi="Times New Roman" w:cs="Times New Roman"/>
          <w:iCs/>
          <w:sz w:val="20"/>
          <w:szCs w:val="20"/>
        </w:rPr>
      </w:pPr>
      <w:r w:rsidRPr="00155F80">
        <w:rPr>
          <w:noProof/>
          <w:color w:val="FF0000"/>
          <w:lang w:eastAsia="bs-Latn-BA"/>
        </w:rPr>
        <w:drawing>
          <wp:inline distT="0" distB="0" distL="0" distR="0" wp14:anchorId="6D5B5D8C" wp14:editId="6520BB11">
            <wp:extent cx="5534025" cy="1467293"/>
            <wp:effectExtent l="0" t="0" r="9525" b="0"/>
            <wp:docPr id="80"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126FC8" w:rsidRDefault="00B56CE8" w:rsidP="00FB3114">
      <w:pPr>
        <w:pStyle w:val="Default"/>
        <w:spacing w:line="276" w:lineRule="auto"/>
        <w:jc w:val="both"/>
        <w:rPr>
          <w:rFonts w:ascii="Times New Roman" w:hAnsi="Times New Roman" w:cs="Times New Roman"/>
          <w:sz w:val="22"/>
          <w:szCs w:val="22"/>
        </w:rPr>
      </w:pPr>
      <w:r w:rsidRPr="00155F80">
        <w:rPr>
          <w:rFonts w:ascii="Times New Roman" w:hAnsi="Times New Roman" w:cs="Times New Roman"/>
          <w:sz w:val="22"/>
          <w:szCs w:val="22"/>
        </w:rPr>
        <w:lastRenderedPageBreak/>
        <w:t>U svim populaci</w:t>
      </w:r>
      <w:r w:rsidR="00D47907">
        <w:rPr>
          <w:rFonts w:ascii="Times New Roman" w:hAnsi="Times New Roman" w:cs="Times New Roman"/>
          <w:sz w:val="22"/>
          <w:szCs w:val="22"/>
        </w:rPr>
        <w:t xml:space="preserve">jskim </w:t>
      </w:r>
      <w:r w:rsidRPr="00155F80">
        <w:rPr>
          <w:rFonts w:ascii="Times New Roman" w:hAnsi="Times New Roman" w:cs="Times New Roman"/>
          <w:sz w:val="22"/>
          <w:szCs w:val="22"/>
        </w:rPr>
        <w:t xml:space="preserve">grupama stopa smrtnosti od </w:t>
      </w:r>
      <w:r w:rsidR="00D47907">
        <w:rPr>
          <w:rFonts w:ascii="Times New Roman" w:hAnsi="Times New Roman" w:cs="Times New Roman"/>
          <w:sz w:val="22"/>
          <w:szCs w:val="22"/>
        </w:rPr>
        <w:t>ozljeda</w:t>
      </w:r>
      <w:r w:rsidRPr="00155F80">
        <w:rPr>
          <w:rFonts w:ascii="Times New Roman" w:hAnsi="Times New Roman" w:cs="Times New Roman"/>
          <w:sz w:val="22"/>
          <w:szCs w:val="22"/>
        </w:rPr>
        <w:t xml:space="preserve">, trovanja i drugih posljedica vanjskih uzroka smrti pokazuje opadanje ako </w:t>
      </w:r>
      <w:r w:rsidR="00D47907">
        <w:rPr>
          <w:rFonts w:ascii="Times New Roman" w:hAnsi="Times New Roman" w:cs="Times New Roman"/>
          <w:sz w:val="22"/>
          <w:szCs w:val="22"/>
        </w:rPr>
        <w:t>us</w:t>
      </w:r>
      <w:r w:rsidRPr="00155F80">
        <w:rPr>
          <w:rFonts w:ascii="Times New Roman" w:hAnsi="Times New Roman" w:cs="Times New Roman"/>
          <w:sz w:val="22"/>
          <w:szCs w:val="22"/>
        </w:rPr>
        <w:t xml:space="preserve">poredimo 2010. i 2015. godinu. </w:t>
      </w:r>
    </w:p>
    <w:p w:rsidR="00FB3114" w:rsidRDefault="00FB3114" w:rsidP="00FB3114">
      <w:pPr>
        <w:pStyle w:val="Default"/>
        <w:spacing w:line="276" w:lineRule="auto"/>
        <w:jc w:val="both"/>
        <w:rPr>
          <w:rFonts w:ascii="Times New Roman" w:hAnsi="Times New Roman"/>
          <w:sz w:val="20"/>
          <w:szCs w:val="20"/>
        </w:rPr>
      </w:pPr>
    </w:p>
    <w:p w:rsidR="00A131AD" w:rsidRPr="00155F80" w:rsidRDefault="00126FC8" w:rsidP="00EB7CC7">
      <w:pPr>
        <w:pStyle w:val="refererere"/>
      </w:pPr>
      <w:r>
        <w:t>Grafikon 22</w:t>
      </w:r>
      <w:r w:rsidR="00A131AD" w:rsidRPr="00155F80">
        <w:t xml:space="preserve">: </w:t>
      </w:r>
      <w:r w:rsidR="00D47907">
        <w:t>Ozljede</w:t>
      </w:r>
      <w:r w:rsidR="00A131AD" w:rsidRPr="00155F80">
        <w:t>, trovanja i druge posljedice vanjskih uzroka smrti u Federaciji BiH</w:t>
      </w:r>
      <w:r>
        <w:t xml:space="preserve"> po starosnim grupama,</w:t>
      </w:r>
      <w:r w:rsidR="00A131AD" w:rsidRPr="00155F80">
        <w:t xml:space="preserve"> za </w:t>
      </w:r>
      <w:r w:rsidR="00D47907">
        <w:t>razdoblje</w:t>
      </w:r>
      <w:r w:rsidR="00A131AD" w:rsidRPr="00155F80">
        <w:t xml:space="preserve"> 2010-2015. godina, stopa na 100.000 stanovnika</w:t>
      </w:r>
    </w:p>
    <w:p w:rsidR="00A131AD" w:rsidRPr="00155F80" w:rsidRDefault="00A131AD" w:rsidP="000C0138">
      <w:pPr>
        <w:pStyle w:val="Default"/>
        <w:spacing w:line="276" w:lineRule="auto"/>
        <w:jc w:val="both"/>
        <w:rPr>
          <w:rFonts w:ascii="Times New Roman" w:hAnsi="Times New Roman" w:cs="Times New Roman"/>
          <w:sz w:val="22"/>
          <w:szCs w:val="22"/>
        </w:rPr>
      </w:pPr>
      <w:r w:rsidRPr="00155F80">
        <w:rPr>
          <w:rFonts w:ascii="Times New Roman" w:hAnsi="Times New Roman" w:cs="Times New Roman"/>
          <w:noProof/>
          <w:sz w:val="22"/>
          <w:szCs w:val="22"/>
          <w:lang w:eastAsia="bs-Latn-BA"/>
        </w:rPr>
        <w:drawing>
          <wp:inline distT="0" distB="0" distL="0" distR="0" wp14:anchorId="33B57B14" wp14:editId="543F8A6D">
            <wp:extent cx="5715000" cy="1733550"/>
            <wp:effectExtent l="0" t="0" r="0" b="0"/>
            <wp:docPr id="78"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A131AD" w:rsidRPr="00155F80" w:rsidRDefault="00A131AD" w:rsidP="000C0138">
      <w:pPr>
        <w:pStyle w:val="Default"/>
        <w:spacing w:line="276" w:lineRule="auto"/>
        <w:jc w:val="both"/>
        <w:rPr>
          <w:rFonts w:ascii="Times New Roman" w:hAnsi="Times New Roman" w:cs="Times New Roman"/>
          <w:color w:val="FF0000"/>
          <w:sz w:val="22"/>
          <w:szCs w:val="22"/>
        </w:rPr>
      </w:pPr>
    </w:p>
    <w:p w:rsidR="001911A6" w:rsidRPr="00155F80" w:rsidRDefault="00A131AD" w:rsidP="000C0138">
      <w:pPr>
        <w:pStyle w:val="Default"/>
        <w:spacing w:line="276" w:lineRule="auto"/>
        <w:jc w:val="both"/>
        <w:rPr>
          <w:rFonts w:ascii="Times New Roman" w:hAnsi="Times New Roman" w:cs="Times New Roman"/>
          <w:sz w:val="22"/>
          <w:szCs w:val="22"/>
        </w:rPr>
      </w:pPr>
      <w:r w:rsidRPr="00155F80">
        <w:rPr>
          <w:rFonts w:ascii="Times New Roman" w:hAnsi="Times New Roman" w:cs="Times New Roman"/>
          <w:sz w:val="22"/>
          <w:szCs w:val="22"/>
        </w:rPr>
        <w:t xml:space="preserve">Prema spolu, muškarci su u 2015. godini </w:t>
      </w:r>
      <w:r w:rsidR="007E1328" w:rsidRPr="00155F80">
        <w:rPr>
          <w:rFonts w:ascii="Times New Roman" w:hAnsi="Times New Roman" w:cs="Times New Roman"/>
          <w:sz w:val="22"/>
          <w:szCs w:val="22"/>
        </w:rPr>
        <w:t>više</w:t>
      </w:r>
      <w:r w:rsidRPr="00155F80">
        <w:rPr>
          <w:rFonts w:ascii="Times New Roman" w:hAnsi="Times New Roman" w:cs="Times New Roman"/>
          <w:sz w:val="22"/>
          <w:szCs w:val="22"/>
        </w:rPr>
        <w:t xml:space="preserve"> umirali od </w:t>
      </w:r>
      <w:r w:rsidR="00D47907">
        <w:rPr>
          <w:rFonts w:ascii="Times New Roman" w:hAnsi="Times New Roman" w:cs="Times New Roman"/>
          <w:sz w:val="22"/>
          <w:szCs w:val="22"/>
        </w:rPr>
        <w:t>ozljeda</w:t>
      </w:r>
      <w:r w:rsidRPr="00155F80">
        <w:rPr>
          <w:rFonts w:ascii="Times New Roman" w:hAnsi="Times New Roman" w:cs="Times New Roman"/>
          <w:sz w:val="22"/>
          <w:szCs w:val="22"/>
        </w:rPr>
        <w:t xml:space="preserve"> (59,8%) nego žene (41,8%).</w:t>
      </w:r>
    </w:p>
    <w:p w:rsidR="001911A6" w:rsidRPr="00155F80" w:rsidRDefault="001911A6" w:rsidP="000C0138">
      <w:pPr>
        <w:pStyle w:val="Default"/>
        <w:spacing w:line="276" w:lineRule="auto"/>
        <w:jc w:val="both"/>
        <w:rPr>
          <w:rFonts w:ascii="Times New Roman" w:hAnsi="Times New Roman" w:cs="Times New Roman"/>
          <w:sz w:val="22"/>
          <w:szCs w:val="22"/>
        </w:rPr>
      </w:pPr>
    </w:p>
    <w:p w:rsidR="00A131AD" w:rsidRPr="00155F80" w:rsidRDefault="00126FC8" w:rsidP="00EB7CC7">
      <w:pPr>
        <w:pStyle w:val="refererere"/>
        <w:rPr>
          <w:lang w:eastAsia="bs-Latn-BA"/>
        </w:rPr>
      </w:pPr>
      <w:r>
        <w:rPr>
          <w:iCs/>
        </w:rPr>
        <w:t>Grafikon 23</w:t>
      </w:r>
      <w:r w:rsidR="00A131AD" w:rsidRPr="00155F80">
        <w:rPr>
          <w:iCs/>
        </w:rPr>
        <w:t xml:space="preserve">: </w:t>
      </w:r>
      <w:r>
        <w:rPr>
          <w:lang w:eastAsia="bs-Latn-BA"/>
        </w:rPr>
        <w:t>Smrtnost</w:t>
      </w:r>
      <w:r w:rsidR="00A131AD" w:rsidRPr="00155F80">
        <w:rPr>
          <w:lang w:eastAsia="bs-Latn-BA"/>
        </w:rPr>
        <w:t xml:space="preserve"> od </w:t>
      </w:r>
      <w:r w:rsidR="00D47907">
        <w:rPr>
          <w:lang w:eastAsia="bs-Latn-BA"/>
        </w:rPr>
        <w:t>ozljeda</w:t>
      </w:r>
      <w:r w:rsidR="00A131AD" w:rsidRPr="00155F80">
        <w:rPr>
          <w:lang w:eastAsia="bs-Latn-BA"/>
        </w:rPr>
        <w:t xml:space="preserve"> </w:t>
      </w:r>
      <w:r>
        <w:rPr>
          <w:lang w:eastAsia="bs-Latn-BA"/>
        </w:rPr>
        <w:t>prema spolu</w:t>
      </w:r>
      <w:r w:rsidR="00A131AD" w:rsidRPr="00155F80">
        <w:rPr>
          <w:lang w:eastAsia="bs-Latn-BA"/>
        </w:rPr>
        <w:t xml:space="preserve"> u 2015. </w:t>
      </w:r>
      <w:r w:rsidR="007B5D1E">
        <w:rPr>
          <w:lang w:eastAsia="bs-Latn-BA"/>
        </w:rPr>
        <w:t>g</w:t>
      </w:r>
      <w:r w:rsidR="00A131AD" w:rsidRPr="00155F80">
        <w:rPr>
          <w:lang w:eastAsia="bs-Latn-BA"/>
        </w:rPr>
        <w:t>odini</w:t>
      </w:r>
      <w:r w:rsidR="007B5D1E">
        <w:rPr>
          <w:lang w:eastAsia="bs-Latn-BA"/>
        </w:rPr>
        <w:t>, indeks strukture</w:t>
      </w:r>
    </w:p>
    <w:p w:rsidR="007B5D1E" w:rsidRDefault="00B56CE8" w:rsidP="000C0138">
      <w:pPr>
        <w:pStyle w:val="Default"/>
        <w:spacing w:line="276" w:lineRule="auto"/>
        <w:jc w:val="both"/>
        <w:rPr>
          <w:rFonts w:ascii="Times New Roman" w:hAnsi="Times New Roman" w:cs="Times New Roman"/>
          <w:color w:val="FF0000"/>
          <w:sz w:val="22"/>
          <w:szCs w:val="22"/>
        </w:rPr>
      </w:pPr>
      <w:r>
        <w:rPr>
          <w:noProof/>
          <w:lang w:eastAsia="bs-Latn-BA"/>
        </w:rPr>
        <w:drawing>
          <wp:inline distT="0" distB="0" distL="0" distR="0" wp14:anchorId="24AE6179" wp14:editId="50DE2BAF">
            <wp:extent cx="5534025" cy="1581150"/>
            <wp:effectExtent l="0" t="0" r="9525" b="0"/>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B56CE8" w:rsidRDefault="00B56CE8" w:rsidP="000C0138">
      <w:pPr>
        <w:pStyle w:val="Default"/>
        <w:spacing w:line="276" w:lineRule="auto"/>
        <w:jc w:val="both"/>
        <w:rPr>
          <w:rFonts w:ascii="Times New Roman" w:hAnsi="Times New Roman" w:cs="Times New Roman"/>
          <w:color w:val="auto"/>
          <w:sz w:val="22"/>
          <w:szCs w:val="22"/>
        </w:rPr>
      </w:pPr>
    </w:p>
    <w:p w:rsidR="00A131AD" w:rsidRPr="00155F80" w:rsidRDefault="00AE2EDA" w:rsidP="00A06016">
      <w:pPr>
        <w:pStyle w:val="Poglavlje3"/>
      </w:pPr>
      <w:bookmarkStart w:id="21" w:name="_Toc456095909"/>
      <w:r>
        <w:t xml:space="preserve">3.1.4 </w:t>
      </w:r>
      <w:r w:rsidR="00A131AD" w:rsidRPr="00155F80">
        <w:t>Mortalitet dojenčadi</w:t>
      </w:r>
      <w:bookmarkEnd w:id="21"/>
    </w:p>
    <w:p w:rsidR="00A131AD" w:rsidRPr="00155F80" w:rsidRDefault="00A131AD" w:rsidP="000C0138">
      <w:pPr>
        <w:pStyle w:val="Default"/>
        <w:spacing w:line="276" w:lineRule="auto"/>
        <w:jc w:val="both"/>
        <w:rPr>
          <w:rFonts w:ascii="Times New Roman" w:hAnsi="Times New Roman" w:cs="Times New Roman"/>
          <w:b/>
          <w:bCs/>
          <w:sz w:val="22"/>
          <w:szCs w:val="22"/>
        </w:rPr>
      </w:pPr>
    </w:p>
    <w:p w:rsidR="00F515B4" w:rsidRDefault="00A131AD" w:rsidP="000C0138">
      <w:pPr>
        <w:pStyle w:val="Default"/>
        <w:spacing w:line="276" w:lineRule="auto"/>
        <w:jc w:val="both"/>
        <w:rPr>
          <w:rFonts w:ascii="Times New Roman" w:hAnsi="Times New Roman" w:cs="Times New Roman"/>
          <w:sz w:val="22"/>
          <w:szCs w:val="22"/>
        </w:rPr>
      </w:pPr>
      <w:r w:rsidRPr="00155F80">
        <w:rPr>
          <w:rFonts w:ascii="Times New Roman" w:hAnsi="Times New Roman" w:cs="Times New Roman"/>
          <w:sz w:val="22"/>
          <w:szCs w:val="22"/>
        </w:rPr>
        <w:t xml:space="preserve">Smrtnost dojenčadi (djece od rođenja do navršene prve godine života) je </w:t>
      </w:r>
      <w:r w:rsidR="00D47907">
        <w:rPr>
          <w:rFonts w:ascii="Times New Roman" w:hAnsi="Times New Roman" w:cs="Times New Roman"/>
          <w:sz w:val="22"/>
          <w:szCs w:val="22"/>
        </w:rPr>
        <w:t>važan</w:t>
      </w:r>
      <w:r w:rsidRPr="00155F80">
        <w:rPr>
          <w:rFonts w:ascii="Times New Roman" w:hAnsi="Times New Roman" w:cs="Times New Roman"/>
          <w:sz w:val="22"/>
          <w:szCs w:val="22"/>
        </w:rPr>
        <w:t xml:space="preserve"> pokazatelj zdravstvenog stanja dje</w:t>
      </w:r>
      <w:r w:rsidR="009E48BE">
        <w:rPr>
          <w:rFonts w:ascii="Times New Roman" w:hAnsi="Times New Roman" w:cs="Times New Roman"/>
          <w:sz w:val="22"/>
          <w:szCs w:val="22"/>
        </w:rPr>
        <w:t>ce. U razdoblju od 2010. do 2015</w:t>
      </w:r>
      <w:r w:rsidRPr="00155F80">
        <w:rPr>
          <w:rFonts w:ascii="Times New Roman" w:hAnsi="Times New Roman" w:cs="Times New Roman"/>
          <w:sz w:val="22"/>
          <w:szCs w:val="22"/>
        </w:rPr>
        <w:t>. godine, prema poda</w:t>
      </w:r>
      <w:r w:rsidR="00D47907">
        <w:rPr>
          <w:rFonts w:ascii="Times New Roman" w:hAnsi="Times New Roman" w:cs="Times New Roman"/>
          <w:sz w:val="22"/>
          <w:szCs w:val="22"/>
        </w:rPr>
        <w:t>t</w:t>
      </w:r>
      <w:r w:rsidRPr="00155F80">
        <w:rPr>
          <w:rFonts w:ascii="Times New Roman" w:hAnsi="Times New Roman" w:cs="Times New Roman"/>
          <w:sz w:val="22"/>
          <w:szCs w:val="22"/>
        </w:rPr>
        <w:t>cima FZS, stopa dojenačkog mortaliteta kontinuirano se smanjivala (od 7,9‰ do 6,4‰) na što je utjecao pad nataliteta i fertiliteta, kao i dobra zdravstv</w:t>
      </w:r>
      <w:r w:rsidR="0036022F">
        <w:rPr>
          <w:rFonts w:ascii="Times New Roman" w:hAnsi="Times New Roman" w:cs="Times New Roman"/>
          <w:sz w:val="22"/>
          <w:szCs w:val="22"/>
        </w:rPr>
        <w:t>ena zaštita dje</w:t>
      </w:r>
      <w:r w:rsidR="009E48BE">
        <w:rPr>
          <w:rFonts w:ascii="Times New Roman" w:hAnsi="Times New Roman" w:cs="Times New Roman"/>
          <w:sz w:val="22"/>
          <w:szCs w:val="22"/>
        </w:rPr>
        <w:t>ce ov</w:t>
      </w:r>
      <w:r w:rsidR="00D47907">
        <w:rPr>
          <w:rFonts w:ascii="Times New Roman" w:hAnsi="Times New Roman" w:cs="Times New Roman"/>
          <w:sz w:val="22"/>
          <w:szCs w:val="22"/>
        </w:rPr>
        <w:t>e</w:t>
      </w:r>
      <w:r w:rsidR="009E48BE">
        <w:rPr>
          <w:rFonts w:ascii="Times New Roman" w:hAnsi="Times New Roman" w:cs="Times New Roman"/>
          <w:sz w:val="22"/>
          <w:szCs w:val="22"/>
        </w:rPr>
        <w:t xml:space="preserve"> </w:t>
      </w:r>
      <w:r w:rsidR="00D47907">
        <w:rPr>
          <w:rFonts w:ascii="Times New Roman" w:hAnsi="Times New Roman" w:cs="Times New Roman"/>
          <w:sz w:val="22"/>
          <w:szCs w:val="22"/>
        </w:rPr>
        <w:t>dobi</w:t>
      </w:r>
      <w:r w:rsidR="009E48BE">
        <w:rPr>
          <w:rFonts w:ascii="Times New Roman" w:hAnsi="Times New Roman" w:cs="Times New Roman"/>
          <w:sz w:val="22"/>
          <w:szCs w:val="22"/>
        </w:rPr>
        <w:t>, dok</w:t>
      </w:r>
      <w:r w:rsidR="0036022F">
        <w:rPr>
          <w:rFonts w:ascii="Times New Roman" w:hAnsi="Times New Roman" w:cs="Times New Roman"/>
          <w:sz w:val="22"/>
          <w:szCs w:val="22"/>
        </w:rPr>
        <w:t xml:space="preserve"> je u 2015. godini </w:t>
      </w:r>
      <w:r w:rsidR="009E48BE">
        <w:rPr>
          <w:rFonts w:ascii="Times New Roman" w:hAnsi="Times New Roman" w:cs="Times New Roman"/>
          <w:sz w:val="22"/>
          <w:szCs w:val="22"/>
        </w:rPr>
        <w:t>registr</w:t>
      </w:r>
      <w:r w:rsidR="00D47907">
        <w:rPr>
          <w:rFonts w:ascii="Times New Roman" w:hAnsi="Times New Roman" w:cs="Times New Roman"/>
          <w:sz w:val="22"/>
          <w:szCs w:val="22"/>
        </w:rPr>
        <w:t>irano</w:t>
      </w:r>
      <w:r w:rsidR="009E48BE">
        <w:rPr>
          <w:rFonts w:ascii="Times New Roman" w:hAnsi="Times New Roman" w:cs="Times New Roman"/>
          <w:sz w:val="22"/>
          <w:szCs w:val="22"/>
        </w:rPr>
        <w:t xml:space="preserve"> povećanje stope, koja je imala</w:t>
      </w:r>
      <w:r w:rsidR="0036022F">
        <w:rPr>
          <w:rFonts w:ascii="Times New Roman" w:hAnsi="Times New Roman" w:cs="Times New Roman"/>
          <w:sz w:val="22"/>
          <w:szCs w:val="22"/>
        </w:rPr>
        <w:t xml:space="preserve"> istu vr</w:t>
      </w:r>
      <w:r w:rsidR="009E48BE">
        <w:rPr>
          <w:rFonts w:ascii="Times New Roman" w:hAnsi="Times New Roman" w:cs="Times New Roman"/>
          <w:sz w:val="22"/>
          <w:szCs w:val="22"/>
        </w:rPr>
        <w:t>ijednost kao i u 2010. godini (</w:t>
      </w:r>
      <w:r w:rsidR="0036022F" w:rsidRPr="00155F80">
        <w:rPr>
          <w:rFonts w:ascii="Times New Roman" w:hAnsi="Times New Roman" w:cs="Times New Roman"/>
          <w:sz w:val="22"/>
          <w:szCs w:val="22"/>
        </w:rPr>
        <w:t>7,9‰</w:t>
      </w:r>
      <w:r w:rsidR="009E48BE">
        <w:rPr>
          <w:rFonts w:ascii="Times New Roman" w:hAnsi="Times New Roman" w:cs="Times New Roman"/>
          <w:sz w:val="22"/>
          <w:szCs w:val="22"/>
        </w:rPr>
        <w:t>)</w:t>
      </w:r>
      <w:r w:rsidR="0036022F">
        <w:rPr>
          <w:rFonts w:ascii="Times New Roman" w:hAnsi="Times New Roman" w:cs="Times New Roman"/>
          <w:sz w:val="22"/>
          <w:szCs w:val="22"/>
        </w:rPr>
        <w:t>.</w:t>
      </w:r>
      <w:r w:rsidR="006D674E">
        <w:rPr>
          <w:rFonts w:ascii="Times New Roman" w:hAnsi="Times New Roman" w:cs="Times New Roman"/>
          <w:sz w:val="22"/>
          <w:szCs w:val="22"/>
        </w:rPr>
        <w:t xml:space="preserve"> </w:t>
      </w:r>
    </w:p>
    <w:p w:rsidR="00A131AD" w:rsidRPr="00B67F7F" w:rsidRDefault="006D674E" w:rsidP="000C0138">
      <w:pPr>
        <w:pStyle w:val="Default"/>
        <w:spacing w:line="276" w:lineRule="auto"/>
        <w:jc w:val="both"/>
        <w:rPr>
          <w:rFonts w:ascii="Times New Roman" w:hAnsi="Times New Roman" w:cs="Times New Roman"/>
          <w:color w:val="auto"/>
          <w:sz w:val="22"/>
          <w:szCs w:val="22"/>
        </w:rPr>
      </w:pPr>
      <w:r w:rsidRPr="00B67F7F">
        <w:rPr>
          <w:rFonts w:ascii="Times New Roman" w:hAnsi="Times New Roman" w:cs="Times New Roman"/>
          <w:color w:val="auto"/>
          <w:sz w:val="22"/>
          <w:szCs w:val="22"/>
        </w:rPr>
        <w:t xml:space="preserve">Stopa dojenačkog mortaliteta za </w:t>
      </w:r>
      <w:r w:rsidR="00D47907">
        <w:rPr>
          <w:rFonts w:ascii="Times New Roman" w:hAnsi="Times New Roman" w:cs="Times New Roman"/>
          <w:color w:val="auto"/>
          <w:sz w:val="22"/>
          <w:szCs w:val="22"/>
        </w:rPr>
        <w:t xml:space="preserve">europsku </w:t>
      </w:r>
      <w:r w:rsidRPr="00B67F7F">
        <w:rPr>
          <w:rFonts w:ascii="Times New Roman" w:hAnsi="Times New Roman" w:cs="Times New Roman"/>
          <w:color w:val="auto"/>
          <w:sz w:val="22"/>
          <w:szCs w:val="22"/>
        </w:rPr>
        <w:t>regi</w:t>
      </w:r>
      <w:r w:rsidR="00D47907">
        <w:rPr>
          <w:rFonts w:ascii="Times New Roman" w:hAnsi="Times New Roman" w:cs="Times New Roman"/>
          <w:color w:val="auto"/>
          <w:sz w:val="22"/>
          <w:szCs w:val="22"/>
        </w:rPr>
        <w:t>ju</w:t>
      </w:r>
      <w:r w:rsidRPr="00B67F7F">
        <w:rPr>
          <w:rFonts w:ascii="Times New Roman" w:hAnsi="Times New Roman" w:cs="Times New Roman"/>
          <w:color w:val="auto"/>
          <w:sz w:val="22"/>
          <w:szCs w:val="22"/>
        </w:rPr>
        <w:t xml:space="preserve"> ima vrijednost od 7,32/1.000 živorođenih i slična je kao u Federaciji BiH.</w:t>
      </w:r>
    </w:p>
    <w:p w:rsidR="004E0D7B" w:rsidRPr="00155F80" w:rsidRDefault="004E0D7B" w:rsidP="000C0138">
      <w:pPr>
        <w:pStyle w:val="Default"/>
        <w:spacing w:line="276" w:lineRule="auto"/>
        <w:jc w:val="both"/>
        <w:rPr>
          <w:rFonts w:ascii="Times New Roman" w:hAnsi="Times New Roman" w:cs="Times New Roman"/>
          <w:sz w:val="22"/>
          <w:szCs w:val="22"/>
        </w:rPr>
      </w:pPr>
    </w:p>
    <w:p w:rsidR="00B56CE8" w:rsidRDefault="004E0D7B" w:rsidP="00FB3114">
      <w:pPr>
        <w:pStyle w:val="Default"/>
        <w:spacing w:line="276" w:lineRule="auto"/>
        <w:jc w:val="both"/>
        <w:rPr>
          <w:rFonts w:ascii="Times New Roman" w:hAnsi="Times New Roman"/>
        </w:rPr>
      </w:pPr>
      <w:r>
        <w:rPr>
          <w:rFonts w:ascii="Times New Roman" w:hAnsi="Times New Roman" w:cs="Times New Roman"/>
          <w:sz w:val="22"/>
          <w:szCs w:val="22"/>
        </w:rPr>
        <w:t>V</w:t>
      </w:r>
      <w:r w:rsidR="0036022F">
        <w:rPr>
          <w:rFonts w:ascii="Times New Roman" w:hAnsi="Times New Roman" w:cs="Times New Roman"/>
          <w:sz w:val="22"/>
          <w:szCs w:val="22"/>
        </w:rPr>
        <w:t>odeći uzroci smrti</w:t>
      </w:r>
      <w:r w:rsidR="00A131AD" w:rsidRPr="00155F80">
        <w:rPr>
          <w:rFonts w:ascii="Times New Roman" w:hAnsi="Times New Roman" w:cs="Times New Roman"/>
          <w:sz w:val="22"/>
          <w:szCs w:val="22"/>
        </w:rPr>
        <w:t xml:space="preserve"> dojenčadi u </w:t>
      </w:r>
      <w:r>
        <w:rPr>
          <w:rFonts w:ascii="Times New Roman" w:hAnsi="Times New Roman" w:cs="Times New Roman"/>
          <w:sz w:val="22"/>
          <w:szCs w:val="22"/>
        </w:rPr>
        <w:t>2015. godini</w:t>
      </w:r>
      <w:r w:rsidR="0036022F">
        <w:rPr>
          <w:rFonts w:ascii="Times New Roman" w:hAnsi="Times New Roman" w:cs="Times New Roman"/>
          <w:sz w:val="22"/>
          <w:szCs w:val="22"/>
        </w:rPr>
        <w:t xml:space="preserve"> se djel</w:t>
      </w:r>
      <w:r w:rsidR="00D47907">
        <w:rPr>
          <w:rFonts w:ascii="Times New Roman" w:hAnsi="Times New Roman" w:cs="Times New Roman"/>
          <w:sz w:val="22"/>
          <w:szCs w:val="22"/>
        </w:rPr>
        <w:t>o</w:t>
      </w:r>
      <w:r w:rsidR="0036022F">
        <w:rPr>
          <w:rFonts w:ascii="Times New Roman" w:hAnsi="Times New Roman" w:cs="Times New Roman"/>
          <w:sz w:val="22"/>
          <w:szCs w:val="22"/>
        </w:rPr>
        <w:t>mično razlikuju od onih u 2010. godini. Tako su vodeći uzroci umiranja dojenčadi u</w:t>
      </w:r>
      <w:r w:rsidR="009D23A1">
        <w:rPr>
          <w:rFonts w:ascii="Times New Roman" w:hAnsi="Times New Roman" w:cs="Times New Roman"/>
          <w:sz w:val="22"/>
          <w:szCs w:val="22"/>
        </w:rPr>
        <w:t xml:space="preserve"> </w:t>
      </w:r>
      <w:r w:rsidR="0036022F">
        <w:rPr>
          <w:rFonts w:ascii="Times New Roman" w:hAnsi="Times New Roman" w:cs="Times New Roman"/>
          <w:sz w:val="22"/>
          <w:szCs w:val="22"/>
        </w:rPr>
        <w:t xml:space="preserve">2015. godini </w:t>
      </w:r>
      <w:r>
        <w:rPr>
          <w:rFonts w:ascii="Times New Roman" w:hAnsi="Times New Roman" w:cs="Times New Roman"/>
          <w:sz w:val="22"/>
          <w:szCs w:val="22"/>
        </w:rPr>
        <w:t>bili</w:t>
      </w:r>
      <w:r w:rsidR="00A131AD" w:rsidRPr="00155F80">
        <w:rPr>
          <w:rFonts w:ascii="Times New Roman" w:hAnsi="Times New Roman" w:cs="Times New Roman"/>
          <w:sz w:val="22"/>
          <w:szCs w:val="22"/>
        </w:rPr>
        <w:t xml:space="preserve"> </w:t>
      </w:r>
      <w:r w:rsidRPr="00155F80">
        <w:rPr>
          <w:rFonts w:ascii="Times New Roman" w:hAnsi="Times New Roman" w:cs="Times New Roman"/>
          <w:sz w:val="22"/>
          <w:szCs w:val="22"/>
        </w:rPr>
        <w:t>poremećaji vezani za kraću trudnoću i malu porođajnu te</w:t>
      </w:r>
      <w:r>
        <w:rPr>
          <w:rFonts w:ascii="Times New Roman" w:hAnsi="Times New Roman" w:cs="Times New Roman"/>
          <w:sz w:val="22"/>
          <w:szCs w:val="22"/>
        </w:rPr>
        <w:t xml:space="preserve">žinu novorođenčeta (P07) sa 28,6%, slijedi </w:t>
      </w:r>
      <w:r w:rsidR="00A131AD" w:rsidRPr="00155F80">
        <w:rPr>
          <w:rFonts w:ascii="Times New Roman" w:hAnsi="Times New Roman" w:cs="Times New Roman"/>
          <w:sz w:val="22"/>
          <w:szCs w:val="22"/>
        </w:rPr>
        <w:t>respirato</w:t>
      </w:r>
      <w:r>
        <w:rPr>
          <w:rFonts w:ascii="Times New Roman" w:hAnsi="Times New Roman" w:cs="Times New Roman"/>
          <w:sz w:val="22"/>
          <w:szCs w:val="22"/>
        </w:rPr>
        <w:t xml:space="preserve">rni distres novorođenčeta (P22) sa 11,0%, </w:t>
      </w:r>
      <w:r w:rsidR="0036022F">
        <w:rPr>
          <w:rFonts w:ascii="Times New Roman" w:hAnsi="Times New Roman" w:cs="Times New Roman"/>
          <w:sz w:val="22"/>
          <w:szCs w:val="22"/>
        </w:rPr>
        <w:t xml:space="preserve">a </w:t>
      </w:r>
      <w:r>
        <w:rPr>
          <w:rFonts w:ascii="Times New Roman" w:hAnsi="Times New Roman" w:cs="Times New Roman"/>
          <w:sz w:val="22"/>
          <w:szCs w:val="22"/>
        </w:rPr>
        <w:t>na trećem mjestu je</w:t>
      </w:r>
      <w:r w:rsidR="00A131AD" w:rsidRPr="00155F80">
        <w:rPr>
          <w:rFonts w:ascii="Times New Roman" w:hAnsi="Times New Roman" w:cs="Times New Roman"/>
          <w:sz w:val="22"/>
          <w:szCs w:val="22"/>
        </w:rPr>
        <w:t xml:space="preserve"> asfi</w:t>
      </w:r>
      <w:r>
        <w:rPr>
          <w:rFonts w:ascii="Times New Roman" w:hAnsi="Times New Roman" w:cs="Times New Roman"/>
          <w:sz w:val="22"/>
          <w:szCs w:val="22"/>
        </w:rPr>
        <w:t>ksija novorođenčeta (P21) sa 10,4%. Na četvrtom mjestu su se pojavili kardiovaskularni poremećaji po</w:t>
      </w:r>
      <w:r w:rsidR="00D47907">
        <w:rPr>
          <w:rFonts w:ascii="Times New Roman" w:hAnsi="Times New Roman" w:cs="Times New Roman"/>
          <w:sz w:val="22"/>
          <w:szCs w:val="22"/>
        </w:rPr>
        <w:t>d</w:t>
      </w:r>
      <w:r>
        <w:rPr>
          <w:rFonts w:ascii="Times New Roman" w:hAnsi="Times New Roman" w:cs="Times New Roman"/>
          <w:sz w:val="22"/>
          <w:szCs w:val="22"/>
        </w:rPr>
        <w:t>rije</w:t>
      </w:r>
      <w:r w:rsidR="00D47907">
        <w:rPr>
          <w:rFonts w:ascii="Times New Roman" w:hAnsi="Times New Roman" w:cs="Times New Roman"/>
          <w:sz w:val="22"/>
          <w:szCs w:val="22"/>
        </w:rPr>
        <w:t>t</w:t>
      </w:r>
      <w:r>
        <w:rPr>
          <w:rFonts w:ascii="Times New Roman" w:hAnsi="Times New Roman" w:cs="Times New Roman"/>
          <w:sz w:val="22"/>
          <w:szCs w:val="22"/>
        </w:rPr>
        <w:t xml:space="preserve">lom iz perinatalnog </w:t>
      </w:r>
      <w:r w:rsidR="00D47907">
        <w:rPr>
          <w:rFonts w:ascii="Times New Roman" w:hAnsi="Times New Roman" w:cs="Times New Roman"/>
          <w:sz w:val="22"/>
          <w:szCs w:val="22"/>
        </w:rPr>
        <w:t>razdoblja</w:t>
      </w:r>
      <w:r>
        <w:rPr>
          <w:rFonts w:ascii="Times New Roman" w:hAnsi="Times New Roman" w:cs="Times New Roman"/>
          <w:sz w:val="22"/>
          <w:szCs w:val="22"/>
        </w:rPr>
        <w:t xml:space="preserve"> (P29) sa 3,2% u</w:t>
      </w:r>
      <w:r w:rsidR="00243A26">
        <w:rPr>
          <w:rFonts w:ascii="Times New Roman" w:hAnsi="Times New Roman" w:cs="Times New Roman"/>
          <w:sz w:val="22"/>
          <w:szCs w:val="22"/>
        </w:rPr>
        <w:t>djela</w:t>
      </w:r>
      <w:r>
        <w:rPr>
          <w:rFonts w:ascii="Times New Roman" w:hAnsi="Times New Roman" w:cs="Times New Roman"/>
          <w:sz w:val="22"/>
          <w:szCs w:val="22"/>
        </w:rPr>
        <w:t>,</w:t>
      </w:r>
      <w:r w:rsidR="0036022F">
        <w:rPr>
          <w:rFonts w:ascii="Times New Roman" w:hAnsi="Times New Roman" w:cs="Times New Roman"/>
          <w:sz w:val="22"/>
          <w:szCs w:val="22"/>
        </w:rPr>
        <w:t xml:space="preserve"> a kao peti uzrok umiranja s</w:t>
      </w:r>
      <w:r>
        <w:rPr>
          <w:rFonts w:ascii="Times New Roman" w:hAnsi="Times New Roman" w:cs="Times New Roman"/>
          <w:sz w:val="22"/>
          <w:szCs w:val="22"/>
        </w:rPr>
        <w:t>e</w:t>
      </w:r>
      <w:r w:rsidR="0036022F">
        <w:rPr>
          <w:rFonts w:ascii="Times New Roman" w:hAnsi="Times New Roman" w:cs="Times New Roman"/>
          <w:sz w:val="22"/>
          <w:szCs w:val="22"/>
        </w:rPr>
        <w:t xml:space="preserve"> pojavila</w:t>
      </w:r>
      <w:r>
        <w:rPr>
          <w:rFonts w:ascii="Times New Roman" w:hAnsi="Times New Roman" w:cs="Times New Roman"/>
          <w:sz w:val="22"/>
          <w:szCs w:val="22"/>
        </w:rPr>
        <w:t xml:space="preserve"> bakterijska sepsa novorođenčeta (P36) sa 2,6% u</w:t>
      </w:r>
      <w:r w:rsidR="00243A26">
        <w:rPr>
          <w:rFonts w:ascii="Times New Roman" w:hAnsi="Times New Roman" w:cs="Times New Roman"/>
          <w:sz w:val="22"/>
          <w:szCs w:val="22"/>
        </w:rPr>
        <w:t>djela</w:t>
      </w:r>
      <w:r w:rsidR="0036022F">
        <w:rPr>
          <w:rFonts w:ascii="Times New Roman" w:hAnsi="Times New Roman" w:cs="Times New Roman"/>
          <w:sz w:val="22"/>
          <w:szCs w:val="22"/>
        </w:rPr>
        <w:t>.</w:t>
      </w:r>
    </w:p>
    <w:p w:rsidR="0036022F" w:rsidRDefault="0036022F" w:rsidP="000C0138">
      <w:pPr>
        <w:pStyle w:val="Default"/>
        <w:spacing w:line="276" w:lineRule="auto"/>
        <w:jc w:val="both"/>
        <w:rPr>
          <w:rFonts w:ascii="Times New Roman" w:hAnsi="Times New Roman" w:cs="Times New Roman"/>
          <w:sz w:val="22"/>
          <w:szCs w:val="22"/>
        </w:rPr>
      </w:pPr>
    </w:p>
    <w:p w:rsidR="00B67F7F" w:rsidRDefault="00B67F7F" w:rsidP="000C0138">
      <w:pPr>
        <w:pStyle w:val="Default"/>
        <w:spacing w:line="276" w:lineRule="auto"/>
        <w:jc w:val="both"/>
        <w:rPr>
          <w:rFonts w:ascii="Times New Roman" w:hAnsi="Times New Roman" w:cs="Times New Roman"/>
          <w:sz w:val="22"/>
          <w:szCs w:val="22"/>
        </w:rPr>
      </w:pPr>
    </w:p>
    <w:p w:rsidR="003E3695" w:rsidRDefault="003E3695" w:rsidP="000C0138">
      <w:pPr>
        <w:pStyle w:val="Default"/>
        <w:spacing w:line="276" w:lineRule="auto"/>
        <w:jc w:val="both"/>
        <w:rPr>
          <w:rFonts w:ascii="Times New Roman" w:hAnsi="Times New Roman" w:cs="Times New Roman"/>
          <w:sz w:val="22"/>
          <w:szCs w:val="22"/>
        </w:rPr>
      </w:pPr>
    </w:p>
    <w:p w:rsidR="003E3695" w:rsidRPr="00155F80" w:rsidRDefault="003E3695" w:rsidP="000C0138">
      <w:pPr>
        <w:pStyle w:val="Default"/>
        <w:spacing w:line="276" w:lineRule="auto"/>
        <w:jc w:val="both"/>
        <w:rPr>
          <w:rFonts w:ascii="Times New Roman" w:hAnsi="Times New Roman" w:cs="Times New Roman"/>
          <w:sz w:val="22"/>
          <w:szCs w:val="22"/>
        </w:rPr>
      </w:pPr>
    </w:p>
    <w:p w:rsidR="00A131AD" w:rsidRPr="00155F80" w:rsidRDefault="00E67339" w:rsidP="00EB7CC7">
      <w:pPr>
        <w:pStyle w:val="refererere"/>
        <w:rPr>
          <w:b/>
          <w:bCs/>
        </w:rPr>
      </w:pPr>
      <w:r w:rsidRPr="00155F80">
        <w:lastRenderedPageBreak/>
        <w:t>Grafikon 24:</w:t>
      </w:r>
      <w:r w:rsidR="00A131AD" w:rsidRPr="00155F80">
        <w:t xml:space="preserve"> Vodeći uzroci smrti doje</w:t>
      </w:r>
      <w:r w:rsidR="00741634">
        <w:t>nčadi u FB</w:t>
      </w:r>
      <w:r w:rsidR="00A131AD" w:rsidRPr="00155F80">
        <w:t>iH, 2010. i 2015.</w:t>
      </w:r>
      <w:r w:rsidR="0061286D">
        <w:t xml:space="preserve"> </w:t>
      </w:r>
      <w:r w:rsidR="00A131AD" w:rsidRPr="00155F80">
        <w:t>godina, po oboljenjima, indeks strukture</w:t>
      </w:r>
    </w:p>
    <w:p w:rsidR="00A131AD" w:rsidRPr="00155F80" w:rsidRDefault="00A131AD" w:rsidP="000C0138">
      <w:pPr>
        <w:pStyle w:val="Default"/>
        <w:spacing w:line="276" w:lineRule="auto"/>
        <w:jc w:val="both"/>
        <w:rPr>
          <w:rFonts w:ascii="Times New Roman" w:hAnsi="Times New Roman" w:cs="Times New Roman"/>
          <w:b/>
          <w:bCs/>
          <w:sz w:val="22"/>
          <w:szCs w:val="22"/>
        </w:rPr>
      </w:pPr>
      <w:r w:rsidRPr="00155F80">
        <w:rPr>
          <w:rFonts w:ascii="Times New Roman" w:hAnsi="Times New Roman" w:cs="Times New Roman"/>
          <w:noProof/>
          <w:sz w:val="22"/>
          <w:szCs w:val="22"/>
          <w:lang w:eastAsia="bs-Latn-BA"/>
        </w:rPr>
        <w:drawing>
          <wp:inline distT="0" distB="0" distL="0" distR="0" wp14:anchorId="763EB269" wp14:editId="5E4F5E2E">
            <wp:extent cx="5486400" cy="2800350"/>
            <wp:effectExtent l="0" t="0" r="0" b="0"/>
            <wp:docPr id="128" name="Chart 128"/>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A131AD" w:rsidRPr="00155F80" w:rsidRDefault="00A131AD" w:rsidP="000C0138">
      <w:pPr>
        <w:pStyle w:val="Default"/>
        <w:spacing w:line="276" w:lineRule="auto"/>
        <w:jc w:val="both"/>
        <w:rPr>
          <w:rFonts w:ascii="Times New Roman" w:hAnsi="Times New Roman" w:cs="Times New Roman"/>
          <w:b/>
          <w:bCs/>
          <w:sz w:val="22"/>
          <w:szCs w:val="22"/>
        </w:rPr>
      </w:pPr>
    </w:p>
    <w:p w:rsidR="00A131AD" w:rsidRPr="006A31AA" w:rsidRDefault="00AE2EDA" w:rsidP="00A06016">
      <w:pPr>
        <w:pStyle w:val="Poglavlje3"/>
      </w:pPr>
      <w:bookmarkStart w:id="22" w:name="_Toc456095910"/>
      <w:r>
        <w:t xml:space="preserve">3.1.5 </w:t>
      </w:r>
      <w:r w:rsidR="00A131AD" w:rsidRPr="006A31AA">
        <w:t>Smrtnost djece do 5 godina starosti</w:t>
      </w:r>
      <w:bookmarkEnd w:id="22"/>
    </w:p>
    <w:p w:rsidR="00A131AD" w:rsidRPr="006A31AA" w:rsidRDefault="00A131AD" w:rsidP="000C0138">
      <w:pPr>
        <w:pStyle w:val="Default"/>
        <w:spacing w:line="276" w:lineRule="auto"/>
        <w:jc w:val="both"/>
        <w:rPr>
          <w:rFonts w:ascii="Times New Roman" w:hAnsi="Times New Roman" w:cs="Times New Roman"/>
          <w:b/>
          <w:bCs/>
          <w:sz w:val="22"/>
          <w:szCs w:val="22"/>
        </w:rPr>
      </w:pPr>
    </w:p>
    <w:p w:rsidR="00A131AD" w:rsidRPr="00B67F7F" w:rsidRDefault="00A131AD" w:rsidP="000C0138">
      <w:pPr>
        <w:pStyle w:val="Default"/>
        <w:spacing w:line="276" w:lineRule="auto"/>
        <w:jc w:val="both"/>
        <w:rPr>
          <w:rFonts w:ascii="Times New Roman" w:hAnsi="Times New Roman" w:cs="Times New Roman"/>
          <w:color w:val="auto"/>
          <w:sz w:val="22"/>
          <w:szCs w:val="22"/>
        </w:rPr>
      </w:pPr>
      <w:r w:rsidRPr="006A31AA">
        <w:rPr>
          <w:rFonts w:ascii="Times New Roman" w:hAnsi="Times New Roman" w:cs="Times New Roman"/>
          <w:sz w:val="22"/>
          <w:szCs w:val="22"/>
        </w:rPr>
        <w:t>Stopa smrtnosti djece starosti do pet godina u 2015. godini je izn</w:t>
      </w:r>
      <w:r w:rsidR="00E572FB">
        <w:rPr>
          <w:rFonts w:ascii="Times New Roman" w:hAnsi="Times New Roman" w:cs="Times New Roman"/>
          <w:sz w:val="22"/>
          <w:szCs w:val="22"/>
        </w:rPr>
        <w:t xml:space="preserve">osila 9,4 na 1.000 živorođenih i skoro </w:t>
      </w:r>
      <w:r w:rsidR="00E572FB" w:rsidRPr="00B67F7F">
        <w:rPr>
          <w:rFonts w:ascii="Times New Roman" w:hAnsi="Times New Roman" w:cs="Times New Roman"/>
          <w:color w:val="auto"/>
          <w:sz w:val="22"/>
          <w:szCs w:val="22"/>
        </w:rPr>
        <w:t>je ista kao u 2010. godini</w:t>
      </w:r>
      <w:r w:rsidRPr="00B67F7F">
        <w:rPr>
          <w:rFonts w:ascii="Times New Roman" w:hAnsi="Times New Roman" w:cs="Times New Roman"/>
          <w:color w:val="auto"/>
          <w:sz w:val="22"/>
          <w:szCs w:val="22"/>
        </w:rPr>
        <w:t xml:space="preserve"> </w:t>
      </w:r>
      <w:r w:rsidR="009E48BE" w:rsidRPr="00B67F7F">
        <w:rPr>
          <w:rFonts w:ascii="Times New Roman" w:hAnsi="Times New Roman" w:cs="Times New Roman"/>
          <w:color w:val="auto"/>
          <w:sz w:val="22"/>
          <w:szCs w:val="22"/>
        </w:rPr>
        <w:t>(9,3/</w:t>
      </w:r>
      <w:r w:rsidRPr="00B67F7F">
        <w:rPr>
          <w:rFonts w:ascii="Times New Roman" w:hAnsi="Times New Roman" w:cs="Times New Roman"/>
          <w:color w:val="auto"/>
          <w:sz w:val="22"/>
          <w:szCs w:val="22"/>
        </w:rPr>
        <w:t>1000 živorođenih</w:t>
      </w:r>
      <w:r w:rsidR="009E48BE" w:rsidRPr="00B67F7F">
        <w:rPr>
          <w:rFonts w:ascii="Times New Roman" w:hAnsi="Times New Roman" w:cs="Times New Roman"/>
          <w:color w:val="auto"/>
          <w:sz w:val="22"/>
          <w:szCs w:val="22"/>
        </w:rPr>
        <w:t>)</w:t>
      </w:r>
      <w:r w:rsidRPr="00B67F7F">
        <w:rPr>
          <w:rFonts w:ascii="Times New Roman" w:hAnsi="Times New Roman" w:cs="Times New Roman"/>
          <w:color w:val="auto"/>
          <w:sz w:val="22"/>
          <w:szCs w:val="22"/>
        </w:rPr>
        <w:t xml:space="preserve">. </w:t>
      </w:r>
      <w:r w:rsidR="006D674E" w:rsidRPr="00B67F7F">
        <w:rPr>
          <w:rFonts w:ascii="Times New Roman" w:hAnsi="Times New Roman" w:cs="Times New Roman"/>
          <w:color w:val="auto"/>
          <w:sz w:val="22"/>
          <w:szCs w:val="22"/>
        </w:rPr>
        <w:t xml:space="preserve">Ova stopa za </w:t>
      </w:r>
      <w:r w:rsidR="00D47907">
        <w:rPr>
          <w:rFonts w:ascii="Times New Roman" w:hAnsi="Times New Roman" w:cs="Times New Roman"/>
          <w:color w:val="auto"/>
          <w:sz w:val="22"/>
          <w:szCs w:val="22"/>
        </w:rPr>
        <w:t>eu</w:t>
      </w:r>
      <w:r w:rsidR="006D674E" w:rsidRPr="00B67F7F">
        <w:rPr>
          <w:rFonts w:ascii="Times New Roman" w:hAnsi="Times New Roman" w:cs="Times New Roman"/>
          <w:color w:val="auto"/>
          <w:sz w:val="22"/>
          <w:szCs w:val="22"/>
        </w:rPr>
        <w:t>ropsk</w:t>
      </w:r>
      <w:r w:rsidR="00D47907">
        <w:rPr>
          <w:rFonts w:ascii="Times New Roman" w:hAnsi="Times New Roman" w:cs="Times New Roman"/>
          <w:color w:val="auto"/>
          <w:sz w:val="22"/>
          <w:szCs w:val="22"/>
        </w:rPr>
        <w:t>u</w:t>
      </w:r>
      <w:r w:rsidR="006D674E" w:rsidRPr="00B67F7F">
        <w:rPr>
          <w:rFonts w:ascii="Times New Roman" w:hAnsi="Times New Roman" w:cs="Times New Roman"/>
          <w:color w:val="auto"/>
          <w:sz w:val="22"/>
          <w:szCs w:val="22"/>
        </w:rPr>
        <w:t xml:space="preserve"> regi</w:t>
      </w:r>
      <w:r w:rsidR="00D47907">
        <w:rPr>
          <w:rFonts w:ascii="Times New Roman" w:hAnsi="Times New Roman" w:cs="Times New Roman"/>
          <w:color w:val="auto"/>
          <w:sz w:val="22"/>
          <w:szCs w:val="22"/>
        </w:rPr>
        <w:t>ju</w:t>
      </w:r>
      <w:r w:rsidR="006D674E" w:rsidRPr="00B67F7F">
        <w:rPr>
          <w:rFonts w:ascii="Times New Roman" w:hAnsi="Times New Roman" w:cs="Times New Roman"/>
          <w:color w:val="auto"/>
          <w:sz w:val="22"/>
          <w:szCs w:val="22"/>
        </w:rPr>
        <w:t xml:space="preserve"> ima sličnu vrijednost kao u Federaciji BiH i iznosi 9,01/1.000 živorođenih.</w:t>
      </w:r>
    </w:p>
    <w:p w:rsidR="006A31AA" w:rsidRPr="00B67F7F" w:rsidRDefault="006A31AA" w:rsidP="000C0138">
      <w:pPr>
        <w:pStyle w:val="Default"/>
        <w:spacing w:line="276" w:lineRule="auto"/>
        <w:jc w:val="both"/>
        <w:rPr>
          <w:rFonts w:ascii="Times New Roman" w:hAnsi="Times New Roman" w:cs="Times New Roman"/>
          <w:color w:val="auto"/>
          <w:sz w:val="22"/>
          <w:szCs w:val="22"/>
        </w:rPr>
      </w:pPr>
    </w:p>
    <w:p w:rsidR="00A131AD" w:rsidRPr="006A31AA" w:rsidRDefault="00A131AD" w:rsidP="000C0138">
      <w:pPr>
        <w:pStyle w:val="Default"/>
        <w:spacing w:line="276" w:lineRule="auto"/>
        <w:jc w:val="both"/>
        <w:rPr>
          <w:rFonts w:ascii="Times New Roman" w:hAnsi="Times New Roman" w:cs="Times New Roman"/>
          <w:sz w:val="22"/>
          <w:szCs w:val="22"/>
        </w:rPr>
      </w:pPr>
      <w:r w:rsidRPr="006A31AA">
        <w:rPr>
          <w:rFonts w:ascii="Times New Roman" w:hAnsi="Times New Roman" w:cs="Times New Roman"/>
          <w:sz w:val="22"/>
          <w:szCs w:val="22"/>
        </w:rPr>
        <w:t>U 2015. godini, kao i 2010. g</w:t>
      </w:r>
      <w:r w:rsidR="006A31AA" w:rsidRPr="006A31AA">
        <w:rPr>
          <w:rFonts w:ascii="Times New Roman" w:hAnsi="Times New Roman" w:cs="Times New Roman"/>
          <w:sz w:val="22"/>
          <w:szCs w:val="22"/>
        </w:rPr>
        <w:t>odine vodeće grupe oboljenja koji su vodeći</w:t>
      </w:r>
      <w:r w:rsidRPr="006A31AA">
        <w:rPr>
          <w:rFonts w:ascii="Times New Roman" w:hAnsi="Times New Roman" w:cs="Times New Roman"/>
          <w:sz w:val="22"/>
          <w:szCs w:val="22"/>
        </w:rPr>
        <w:t xml:space="preserve"> uzroci smrti djece starosti do 5 godina u Federaciji BiH su bila određena stanja po</w:t>
      </w:r>
      <w:r w:rsidR="00D47907">
        <w:rPr>
          <w:rFonts w:ascii="Times New Roman" w:hAnsi="Times New Roman" w:cs="Times New Roman"/>
          <w:sz w:val="22"/>
          <w:szCs w:val="22"/>
        </w:rPr>
        <w:t>d</w:t>
      </w:r>
      <w:r w:rsidRPr="006A31AA">
        <w:rPr>
          <w:rFonts w:ascii="Times New Roman" w:hAnsi="Times New Roman" w:cs="Times New Roman"/>
          <w:sz w:val="22"/>
          <w:szCs w:val="22"/>
        </w:rPr>
        <w:t>rije</w:t>
      </w:r>
      <w:r w:rsidR="00D47907">
        <w:rPr>
          <w:rFonts w:ascii="Times New Roman" w:hAnsi="Times New Roman" w:cs="Times New Roman"/>
          <w:sz w:val="22"/>
          <w:szCs w:val="22"/>
        </w:rPr>
        <w:t>t</w:t>
      </w:r>
      <w:r w:rsidRPr="006A31AA">
        <w:rPr>
          <w:rFonts w:ascii="Times New Roman" w:hAnsi="Times New Roman" w:cs="Times New Roman"/>
          <w:sz w:val="22"/>
          <w:szCs w:val="22"/>
        </w:rPr>
        <w:t xml:space="preserve">lom iz perinatalnog </w:t>
      </w:r>
      <w:r w:rsidR="00D47907">
        <w:rPr>
          <w:rFonts w:ascii="Times New Roman" w:hAnsi="Times New Roman" w:cs="Times New Roman"/>
          <w:sz w:val="22"/>
          <w:szCs w:val="22"/>
        </w:rPr>
        <w:t>razdoblja</w:t>
      </w:r>
      <w:r w:rsidRPr="006A31AA">
        <w:rPr>
          <w:rFonts w:ascii="Times New Roman" w:hAnsi="Times New Roman" w:cs="Times New Roman"/>
          <w:sz w:val="22"/>
          <w:szCs w:val="22"/>
        </w:rPr>
        <w:t xml:space="preserve"> (P00-P96) sa stopom od 5,5/1000 živorođenih, potom oboljenja krvožilnog s</w:t>
      </w:r>
      <w:r w:rsidR="00D47907">
        <w:rPr>
          <w:rFonts w:ascii="Times New Roman" w:hAnsi="Times New Roman" w:cs="Times New Roman"/>
          <w:sz w:val="22"/>
          <w:szCs w:val="22"/>
        </w:rPr>
        <w:t>ustava</w:t>
      </w:r>
      <w:r w:rsidRPr="006A31AA">
        <w:rPr>
          <w:rFonts w:ascii="Times New Roman" w:hAnsi="Times New Roman" w:cs="Times New Roman"/>
          <w:sz w:val="22"/>
          <w:szCs w:val="22"/>
        </w:rPr>
        <w:t xml:space="preserve"> (I00-I99) čija je stopa iznosila 0,9/1000 živorođenih, slijede kongenitalne malformacije i </w:t>
      </w:r>
      <w:r w:rsidR="00D47907">
        <w:rPr>
          <w:rFonts w:ascii="Times New Roman" w:hAnsi="Times New Roman" w:cs="Times New Roman"/>
          <w:sz w:val="22"/>
          <w:szCs w:val="22"/>
        </w:rPr>
        <w:t>k</w:t>
      </w:r>
      <w:r w:rsidRPr="006A31AA">
        <w:rPr>
          <w:rFonts w:ascii="Times New Roman" w:hAnsi="Times New Roman" w:cs="Times New Roman"/>
          <w:sz w:val="22"/>
          <w:szCs w:val="22"/>
        </w:rPr>
        <w:t xml:space="preserve">romozomske abnormalnosti (Q00-Q99) sa stopom od 0,6/1000 živorođenih, određene infektivne i parazitarne bolesti (A00-B99) sa stopom 0,6/1000 živorođenih i oboljenja </w:t>
      </w:r>
      <w:r w:rsidR="00D47907">
        <w:rPr>
          <w:rFonts w:ascii="Times New Roman" w:hAnsi="Times New Roman" w:cs="Times New Roman"/>
          <w:sz w:val="22"/>
          <w:szCs w:val="22"/>
        </w:rPr>
        <w:t>živčanog</w:t>
      </w:r>
      <w:r w:rsidRPr="006A31AA">
        <w:rPr>
          <w:rFonts w:ascii="Times New Roman" w:hAnsi="Times New Roman" w:cs="Times New Roman"/>
          <w:sz w:val="22"/>
          <w:szCs w:val="22"/>
        </w:rPr>
        <w:t xml:space="preserve"> s</w:t>
      </w:r>
      <w:r w:rsidR="00D47907">
        <w:rPr>
          <w:rFonts w:ascii="Times New Roman" w:hAnsi="Times New Roman" w:cs="Times New Roman"/>
          <w:sz w:val="22"/>
          <w:szCs w:val="22"/>
        </w:rPr>
        <w:t>ustava</w:t>
      </w:r>
      <w:r w:rsidRPr="006A31AA">
        <w:rPr>
          <w:rFonts w:ascii="Times New Roman" w:hAnsi="Times New Roman" w:cs="Times New Roman"/>
          <w:sz w:val="22"/>
          <w:szCs w:val="22"/>
        </w:rPr>
        <w:t xml:space="preserve"> (G00-G99) sa stopom od 0,6/1000 živorođenih. </w:t>
      </w:r>
    </w:p>
    <w:p w:rsidR="00A131AD" w:rsidRPr="00155F80" w:rsidRDefault="00A131AD" w:rsidP="000C0138">
      <w:pPr>
        <w:pStyle w:val="Default"/>
        <w:spacing w:line="276" w:lineRule="auto"/>
        <w:jc w:val="both"/>
        <w:rPr>
          <w:rFonts w:ascii="Times New Roman" w:hAnsi="Times New Roman" w:cs="Times New Roman"/>
          <w:sz w:val="22"/>
          <w:szCs w:val="22"/>
        </w:rPr>
      </w:pPr>
      <w:r w:rsidRPr="006A31AA">
        <w:rPr>
          <w:rFonts w:ascii="Times New Roman" w:hAnsi="Times New Roman" w:cs="Times New Roman"/>
          <w:sz w:val="22"/>
          <w:szCs w:val="22"/>
        </w:rPr>
        <w:t xml:space="preserve">Pokazatelji smrtnosti djece do pet godina života su veoma </w:t>
      </w:r>
      <w:r w:rsidR="00430206">
        <w:rPr>
          <w:rFonts w:ascii="Times New Roman" w:hAnsi="Times New Roman" w:cs="Times New Roman"/>
          <w:sz w:val="22"/>
          <w:szCs w:val="22"/>
        </w:rPr>
        <w:t>važni</w:t>
      </w:r>
      <w:r w:rsidRPr="006A31AA">
        <w:rPr>
          <w:rFonts w:ascii="Times New Roman" w:hAnsi="Times New Roman" w:cs="Times New Roman"/>
          <w:sz w:val="22"/>
          <w:szCs w:val="22"/>
        </w:rPr>
        <w:t xml:space="preserve"> za procjenu zdravstvenog stanja cjelokupne populacije i razvoja zemlje.</w:t>
      </w:r>
      <w:r w:rsidRPr="00155F80">
        <w:rPr>
          <w:rFonts w:ascii="Times New Roman" w:hAnsi="Times New Roman" w:cs="Times New Roman"/>
          <w:sz w:val="22"/>
          <w:szCs w:val="22"/>
        </w:rPr>
        <w:t xml:space="preserve"> </w:t>
      </w:r>
    </w:p>
    <w:p w:rsidR="00A131AD" w:rsidRPr="00155F80" w:rsidRDefault="00A131AD" w:rsidP="000C0138">
      <w:pPr>
        <w:pStyle w:val="Default"/>
        <w:spacing w:line="276" w:lineRule="auto"/>
        <w:jc w:val="both"/>
        <w:rPr>
          <w:rFonts w:ascii="Times New Roman" w:hAnsi="Times New Roman" w:cs="Times New Roman"/>
          <w:sz w:val="22"/>
          <w:szCs w:val="22"/>
        </w:rPr>
      </w:pPr>
    </w:p>
    <w:p w:rsidR="00A131AD" w:rsidRPr="00155F80" w:rsidRDefault="00A131AD" w:rsidP="00EB7CC7">
      <w:pPr>
        <w:pStyle w:val="refererere"/>
      </w:pPr>
      <w:r w:rsidRPr="00155F80">
        <w:t>Grafikon 25: Vodeće grupe oboljenja kao uzroci smrti kod djece do 5 godina života u Federaciji BiH, 2010. i 2015. godina, stopa na 1.000 živorođenih</w:t>
      </w:r>
    </w:p>
    <w:p w:rsidR="00A131AD" w:rsidRPr="00155F80" w:rsidRDefault="00A131AD" w:rsidP="000C0138">
      <w:pPr>
        <w:pStyle w:val="Default"/>
        <w:spacing w:line="276" w:lineRule="auto"/>
        <w:jc w:val="both"/>
        <w:rPr>
          <w:rFonts w:ascii="Times New Roman" w:hAnsi="Times New Roman" w:cs="Times New Roman"/>
          <w:color w:val="FF0000"/>
          <w:sz w:val="22"/>
          <w:szCs w:val="22"/>
        </w:rPr>
      </w:pPr>
      <w:r w:rsidRPr="00155F80">
        <w:rPr>
          <w:rFonts w:ascii="Times New Roman" w:hAnsi="Times New Roman" w:cs="Times New Roman"/>
          <w:noProof/>
          <w:color w:val="FF0000"/>
          <w:sz w:val="22"/>
          <w:szCs w:val="22"/>
          <w:lang w:eastAsia="bs-Latn-BA"/>
        </w:rPr>
        <w:drawing>
          <wp:inline distT="0" distB="0" distL="0" distR="0" wp14:anchorId="25DCE441" wp14:editId="262D476A">
            <wp:extent cx="5678905" cy="2334126"/>
            <wp:effectExtent l="0" t="0" r="17145" b="9525"/>
            <wp:docPr id="81"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A131AD" w:rsidRPr="00155F80" w:rsidRDefault="00A131AD" w:rsidP="000C0138">
      <w:pPr>
        <w:spacing w:after="160" w:line="276" w:lineRule="auto"/>
        <w:rPr>
          <w:rFonts w:ascii="Times New Roman" w:eastAsiaTheme="minorHAnsi" w:hAnsi="Times New Roman"/>
          <w:b/>
          <w:lang w:val="bs-Latn-BA"/>
        </w:rPr>
      </w:pPr>
    </w:p>
    <w:p w:rsidR="00A131AD" w:rsidRPr="00155F80" w:rsidRDefault="000E1376" w:rsidP="000C0138">
      <w:pPr>
        <w:pStyle w:val="Poglavlje2"/>
        <w:spacing w:line="276" w:lineRule="auto"/>
        <w:rPr>
          <w:rFonts w:eastAsiaTheme="minorHAnsi"/>
          <w:lang w:val="bs-Latn-BA"/>
        </w:rPr>
      </w:pPr>
      <w:bookmarkStart w:id="23" w:name="_Toc456095911"/>
      <w:r w:rsidRPr="00155F80">
        <w:rPr>
          <w:rFonts w:eastAsiaTheme="minorHAnsi"/>
          <w:lang w:val="bs-Latn-BA"/>
        </w:rPr>
        <w:lastRenderedPageBreak/>
        <w:t xml:space="preserve">3.2 </w:t>
      </w:r>
      <w:r w:rsidR="00401161">
        <w:rPr>
          <w:rFonts w:eastAsiaTheme="minorHAnsi"/>
          <w:lang w:val="bs-Latn-BA"/>
        </w:rPr>
        <w:t>Morbiditet (</w:t>
      </w:r>
      <w:r w:rsidR="00430206">
        <w:rPr>
          <w:rFonts w:eastAsiaTheme="minorHAnsi"/>
          <w:lang w:val="bs-Latn-BA"/>
        </w:rPr>
        <w:t>pobol</w:t>
      </w:r>
      <w:r w:rsidR="00401161">
        <w:rPr>
          <w:rFonts w:eastAsiaTheme="minorHAnsi"/>
          <w:lang w:val="bs-Latn-BA"/>
        </w:rPr>
        <w:t>)</w:t>
      </w:r>
      <w:bookmarkEnd w:id="23"/>
      <w:r w:rsidR="00A131AD" w:rsidRPr="00155F80">
        <w:rPr>
          <w:rFonts w:eastAsiaTheme="minorHAnsi"/>
          <w:lang w:val="bs-Latn-BA"/>
        </w:rPr>
        <w:t xml:space="preserve"> </w:t>
      </w:r>
    </w:p>
    <w:p w:rsidR="00A131AD" w:rsidRPr="00155F80" w:rsidRDefault="00A131AD" w:rsidP="000C0138">
      <w:pPr>
        <w:spacing w:after="160" w:line="276" w:lineRule="auto"/>
        <w:rPr>
          <w:rFonts w:ascii="Times New Roman" w:eastAsiaTheme="minorHAnsi" w:hAnsi="Times New Roman"/>
          <w:lang w:val="bs-Latn-BA"/>
        </w:rPr>
      </w:pPr>
      <w:r w:rsidRPr="00155F80">
        <w:rPr>
          <w:rFonts w:ascii="Times New Roman" w:eastAsiaTheme="minorHAnsi" w:hAnsi="Times New Roman"/>
          <w:lang w:val="bs-Latn-BA"/>
        </w:rPr>
        <w:t>Stopa obolijevanja stanovništva Federacije BiH registr</w:t>
      </w:r>
      <w:r w:rsidR="00430206">
        <w:rPr>
          <w:rFonts w:ascii="Times New Roman" w:eastAsiaTheme="minorHAnsi" w:hAnsi="Times New Roman"/>
          <w:lang w:val="bs-Latn-BA"/>
        </w:rPr>
        <w:t>irana</w:t>
      </w:r>
      <w:r w:rsidRPr="00155F80">
        <w:rPr>
          <w:rFonts w:ascii="Times New Roman" w:eastAsiaTheme="minorHAnsi" w:hAnsi="Times New Roman"/>
          <w:lang w:val="bs-Latn-BA"/>
        </w:rPr>
        <w:t xml:space="preserve"> na </w:t>
      </w:r>
      <w:r w:rsidR="00430206">
        <w:rPr>
          <w:rFonts w:ascii="Times New Roman" w:eastAsiaTheme="minorHAnsi" w:hAnsi="Times New Roman"/>
          <w:lang w:val="bs-Latn-BA"/>
        </w:rPr>
        <w:t xml:space="preserve">razini </w:t>
      </w:r>
      <w:r w:rsidRPr="00155F80">
        <w:rPr>
          <w:rFonts w:ascii="Times New Roman" w:eastAsiaTheme="minorHAnsi" w:hAnsi="Times New Roman"/>
          <w:lang w:val="bs-Latn-BA"/>
        </w:rPr>
        <w:t>primarne zdravstvene zaštite, u p</w:t>
      </w:r>
      <w:r w:rsidR="00430206">
        <w:rPr>
          <w:rFonts w:ascii="Times New Roman" w:eastAsiaTheme="minorHAnsi" w:hAnsi="Times New Roman"/>
          <w:lang w:val="bs-Latn-BA"/>
        </w:rPr>
        <w:t>r</w:t>
      </w:r>
      <w:r w:rsidRPr="00155F80">
        <w:rPr>
          <w:rFonts w:ascii="Times New Roman" w:eastAsiaTheme="minorHAnsi" w:hAnsi="Times New Roman"/>
          <w:lang w:val="bs-Latn-BA"/>
        </w:rPr>
        <w:t xml:space="preserve">omatranom </w:t>
      </w:r>
      <w:r w:rsidR="00430206">
        <w:rPr>
          <w:rFonts w:ascii="Times New Roman" w:eastAsiaTheme="minorHAnsi" w:hAnsi="Times New Roman"/>
          <w:lang w:val="bs-Latn-BA"/>
        </w:rPr>
        <w:t>razdoblju</w:t>
      </w:r>
      <w:r w:rsidRPr="00155F80">
        <w:rPr>
          <w:rFonts w:ascii="Times New Roman" w:eastAsiaTheme="minorHAnsi" w:hAnsi="Times New Roman"/>
          <w:lang w:val="bs-Latn-BA"/>
        </w:rPr>
        <w:t xml:space="preserve"> je imala trend rasta</w:t>
      </w:r>
      <w:r w:rsidR="009E48BE">
        <w:rPr>
          <w:rFonts w:ascii="Times New Roman" w:eastAsiaTheme="minorHAnsi" w:hAnsi="Times New Roman"/>
          <w:lang w:val="bs-Latn-BA"/>
        </w:rPr>
        <w:t>,</w:t>
      </w:r>
      <w:r w:rsidRPr="00155F80">
        <w:rPr>
          <w:rFonts w:ascii="Times New Roman" w:eastAsiaTheme="minorHAnsi" w:hAnsi="Times New Roman"/>
          <w:lang w:val="bs-Latn-BA"/>
        </w:rPr>
        <w:t xml:space="preserve"> </w:t>
      </w:r>
      <w:r w:rsidR="009E48BE">
        <w:rPr>
          <w:rFonts w:ascii="Times New Roman" w:eastAsiaTheme="minorHAnsi" w:hAnsi="Times New Roman"/>
          <w:lang w:val="bs-Latn-BA"/>
        </w:rPr>
        <w:t xml:space="preserve">sa </w:t>
      </w:r>
      <w:r w:rsidR="00A7123B">
        <w:rPr>
          <w:rFonts w:ascii="Times New Roman" w:eastAsiaTheme="minorHAnsi" w:hAnsi="Times New Roman"/>
          <w:lang w:val="bs-Latn-BA"/>
        </w:rPr>
        <w:t xml:space="preserve">laganim </w:t>
      </w:r>
      <w:r w:rsidR="009E48BE">
        <w:rPr>
          <w:rFonts w:ascii="Times New Roman" w:eastAsiaTheme="minorHAnsi" w:hAnsi="Times New Roman"/>
          <w:lang w:val="bs-Latn-BA"/>
        </w:rPr>
        <w:t>smanjenjem</w:t>
      </w:r>
      <w:r w:rsidRPr="00155F80">
        <w:rPr>
          <w:rFonts w:ascii="Times New Roman" w:eastAsiaTheme="minorHAnsi" w:hAnsi="Times New Roman"/>
          <w:lang w:val="bs-Latn-BA"/>
        </w:rPr>
        <w:t xml:space="preserve"> u 2015. godini.</w:t>
      </w:r>
    </w:p>
    <w:p w:rsidR="00A131AD" w:rsidRPr="00155F80" w:rsidRDefault="00A131AD" w:rsidP="00EB7CC7">
      <w:pPr>
        <w:pStyle w:val="refererere"/>
        <w:rPr>
          <w:rFonts w:eastAsiaTheme="minorHAnsi"/>
          <w:lang w:val="bs-Latn-BA"/>
        </w:rPr>
      </w:pPr>
      <w:r w:rsidRPr="00A7123B">
        <w:rPr>
          <w:rFonts w:eastAsiaTheme="minorHAnsi"/>
          <w:lang w:val="bs-Latn-BA"/>
        </w:rPr>
        <w:t xml:space="preserve">Grafikon 26: </w:t>
      </w:r>
      <w:r w:rsidR="00430206">
        <w:rPr>
          <w:rFonts w:eastAsiaTheme="minorHAnsi"/>
          <w:lang w:val="bs-Latn-BA"/>
        </w:rPr>
        <w:t>Pobol</w:t>
      </w:r>
      <w:r w:rsidRPr="00A7123B">
        <w:rPr>
          <w:rFonts w:eastAsiaTheme="minorHAnsi"/>
          <w:lang w:val="bs-Latn-BA"/>
        </w:rPr>
        <w:t xml:space="preserve"> stanovništva Federacije BiH za </w:t>
      </w:r>
      <w:r w:rsidR="00430206">
        <w:rPr>
          <w:rFonts w:eastAsiaTheme="minorHAnsi"/>
          <w:lang w:val="bs-Latn-BA"/>
        </w:rPr>
        <w:t xml:space="preserve">razdoblje </w:t>
      </w:r>
      <w:r w:rsidRPr="00A7123B">
        <w:rPr>
          <w:rFonts w:eastAsiaTheme="minorHAnsi"/>
          <w:lang w:val="bs-Latn-BA"/>
        </w:rPr>
        <w:t>2010-2015. godina, stopa na 10.000 stanovnika</w:t>
      </w:r>
    </w:p>
    <w:p w:rsidR="00FE5D56" w:rsidRDefault="007D3614" w:rsidP="00FE5D56">
      <w:pPr>
        <w:spacing w:after="160" w:line="276" w:lineRule="auto"/>
        <w:rPr>
          <w:rFonts w:ascii="Times New Roman" w:eastAsiaTheme="minorHAnsi" w:hAnsi="Times New Roman"/>
          <w:lang w:val="bs-Latn-BA"/>
        </w:rPr>
      </w:pPr>
      <w:r>
        <w:rPr>
          <w:noProof/>
          <w:lang w:val="bs-Latn-BA" w:eastAsia="bs-Latn-BA"/>
        </w:rPr>
        <w:drawing>
          <wp:inline distT="0" distB="0" distL="0" distR="0" wp14:anchorId="32197105" wp14:editId="1511998C">
            <wp:extent cx="5667375" cy="1552575"/>
            <wp:effectExtent l="0" t="0" r="9525" b="9525"/>
            <wp:docPr id="116" name="Chart 116"/>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A131AD" w:rsidRDefault="00A131AD" w:rsidP="00FE5D56">
      <w:pPr>
        <w:spacing w:after="160" w:line="276" w:lineRule="auto"/>
        <w:rPr>
          <w:rFonts w:ascii="Times New Roman" w:eastAsiaTheme="minorHAnsi" w:hAnsi="Times New Roman"/>
          <w:lang w:val="bs-Latn-BA"/>
        </w:rPr>
      </w:pPr>
      <w:r w:rsidRPr="00155F80">
        <w:rPr>
          <w:rFonts w:ascii="Times New Roman" w:eastAsiaTheme="minorHAnsi" w:hAnsi="Times New Roman"/>
          <w:lang w:val="bs-Latn-BA"/>
        </w:rPr>
        <w:t>Registr</w:t>
      </w:r>
      <w:r w:rsidR="00430206">
        <w:rPr>
          <w:rFonts w:ascii="Times New Roman" w:eastAsiaTheme="minorHAnsi" w:hAnsi="Times New Roman"/>
          <w:lang w:val="bs-Latn-BA"/>
        </w:rPr>
        <w:t>iran</w:t>
      </w:r>
      <w:r w:rsidRPr="00155F80">
        <w:rPr>
          <w:rFonts w:ascii="Times New Roman" w:eastAsiaTheme="minorHAnsi" w:hAnsi="Times New Roman"/>
          <w:lang w:val="bs-Latn-BA"/>
        </w:rPr>
        <w:t xml:space="preserve">i poremećaji zdravlja su se </w:t>
      </w:r>
      <w:r w:rsidR="009E48BE">
        <w:rPr>
          <w:rFonts w:ascii="Times New Roman" w:eastAsiaTheme="minorHAnsi" w:hAnsi="Times New Roman"/>
          <w:lang w:val="bs-Latn-BA"/>
        </w:rPr>
        <w:t>najviše</w:t>
      </w:r>
      <w:r w:rsidRPr="00155F80">
        <w:rPr>
          <w:rFonts w:ascii="Times New Roman" w:eastAsiaTheme="minorHAnsi" w:hAnsi="Times New Roman"/>
          <w:lang w:val="bs-Latn-BA"/>
        </w:rPr>
        <w:t xml:space="preserve"> odnosili na nezarazne bolesti (93,4%), potom na zarazne bolesti (3,3%) i </w:t>
      </w:r>
      <w:r w:rsidR="00430206">
        <w:rPr>
          <w:rFonts w:ascii="Times New Roman" w:eastAsiaTheme="minorHAnsi" w:hAnsi="Times New Roman"/>
          <w:lang w:val="bs-Latn-BA"/>
        </w:rPr>
        <w:t>ozljede</w:t>
      </w:r>
      <w:r w:rsidRPr="00155F80">
        <w:rPr>
          <w:rFonts w:ascii="Times New Roman" w:eastAsiaTheme="minorHAnsi" w:hAnsi="Times New Roman"/>
          <w:lang w:val="bs-Latn-BA"/>
        </w:rPr>
        <w:t xml:space="preserve"> (3,3%).</w:t>
      </w:r>
    </w:p>
    <w:p w:rsidR="006D674E" w:rsidRPr="00155F80" w:rsidRDefault="006D674E" w:rsidP="00FE5D56">
      <w:pPr>
        <w:spacing w:after="160" w:line="276" w:lineRule="auto"/>
        <w:rPr>
          <w:rFonts w:ascii="Times New Roman" w:eastAsiaTheme="minorHAnsi" w:hAnsi="Times New Roman"/>
          <w:lang w:val="bs-Latn-BA"/>
        </w:rPr>
      </w:pPr>
    </w:p>
    <w:p w:rsidR="00A131AD" w:rsidRDefault="00A131AD" w:rsidP="000C0138">
      <w:pPr>
        <w:pStyle w:val="Poglavlje3"/>
        <w:numPr>
          <w:ilvl w:val="2"/>
          <w:numId w:val="3"/>
        </w:numPr>
        <w:spacing w:line="276" w:lineRule="auto"/>
        <w:rPr>
          <w:rFonts w:eastAsiaTheme="minorHAnsi"/>
          <w:i w:val="0"/>
          <w:lang w:val="bs-Latn-BA"/>
        </w:rPr>
      </w:pPr>
      <w:bookmarkStart w:id="24" w:name="_Toc456095912"/>
      <w:r w:rsidRPr="00155F80">
        <w:rPr>
          <w:rFonts w:eastAsiaTheme="minorHAnsi"/>
          <w:i w:val="0"/>
          <w:lang w:val="bs-Latn-BA"/>
        </w:rPr>
        <w:t>Nezarazne bolesti</w:t>
      </w:r>
      <w:bookmarkEnd w:id="24"/>
    </w:p>
    <w:p w:rsidR="00AE2EDA" w:rsidRPr="00155F80" w:rsidRDefault="00AE2EDA" w:rsidP="000C0138">
      <w:pPr>
        <w:pStyle w:val="Poglavlje3"/>
        <w:spacing w:line="276" w:lineRule="auto"/>
        <w:ind w:left="360"/>
        <w:rPr>
          <w:rFonts w:eastAsiaTheme="minorHAnsi"/>
          <w:i w:val="0"/>
          <w:lang w:val="bs-Latn-BA"/>
        </w:rPr>
      </w:pPr>
    </w:p>
    <w:p w:rsidR="00A131AD" w:rsidRPr="00155F80" w:rsidRDefault="00A131AD" w:rsidP="000C0138">
      <w:pPr>
        <w:spacing w:after="160" w:line="276" w:lineRule="auto"/>
        <w:rPr>
          <w:rFonts w:ascii="Times New Roman" w:eastAsiaTheme="minorHAnsi" w:hAnsi="Times New Roman"/>
          <w:lang w:val="bs-Latn-BA"/>
        </w:rPr>
      </w:pPr>
      <w:r w:rsidRPr="00155F80">
        <w:rPr>
          <w:rFonts w:ascii="Times New Roman" w:eastAsiaTheme="minorHAnsi" w:hAnsi="Times New Roman"/>
          <w:lang w:val="bs-Latn-BA"/>
        </w:rPr>
        <w:t xml:space="preserve">Nezarazne bolesti su jedan od najvećih izazova u 21. </w:t>
      </w:r>
      <w:r w:rsidR="00430206">
        <w:rPr>
          <w:rFonts w:ascii="Times New Roman" w:eastAsiaTheme="minorHAnsi" w:hAnsi="Times New Roman"/>
          <w:lang w:val="bs-Latn-BA"/>
        </w:rPr>
        <w:t>stoljeću</w:t>
      </w:r>
      <w:r w:rsidRPr="00155F80">
        <w:rPr>
          <w:rFonts w:ascii="Times New Roman" w:eastAsiaTheme="minorHAnsi" w:hAnsi="Times New Roman"/>
          <w:lang w:val="bs-Latn-BA"/>
        </w:rPr>
        <w:t>. Prema poda</w:t>
      </w:r>
      <w:r w:rsidR="00430206">
        <w:rPr>
          <w:rFonts w:ascii="Times New Roman" w:eastAsiaTheme="minorHAnsi" w:hAnsi="Times New Roman"/>
          <w:lang w:val="bs-Latn-BA"/>
        </w:rPr>
        <w:t>t</w:t>
      </w:r>
      <w:r w:rsidRPr="00155F80">
        <w:rPr>
          <w:rFonts w:ascii="Times New Roman" w:eastAsiaTheme="minorHAnsi" w:hAnsi="Times New Roman"/>
          <w:lang w:val="bs-Latn-BA"/>
        </w:rPr>
        <w:t>cima Svjetske zdravstvene organizacije (SZO), nezarazne bolesti, pretežno kardiovaskul</w:t>
      </w:r>
      <w:r w:rsidR="00430206">
        <w:rPr>
          <w:rFonts w:ascii="Times New Roman" w:eastAsiaTheme="minorHAnsi" w:hAnsi="Times New Roman"/>
          <w:lang w:val="bs-Latn-BA"/>
        </w:rPr>
        <w:t>arne bolesti, rak, dijabetes i k</w:t>
      </w:r>
      <w:r w:rsidRPr="00155F80">
        <w:rPr>
          <w:rFonts w:ascii="Times New Roman" w:eastAsiaTheme="minorHAnsi" w:hAnsi="Times New Roman"/>
          <w:lang w:val="bs-Latn-BA"/>
        </w:rPr>
        <w:t>ronične respiratorne bolesti, odnose najviše života u svijetu i od njih umre 63% od ukupnog broja umrlih u svijetu, od čega više od 14 miliona ljudi umire prerano u dobi između 30 i 70 godina života. Najviše prerano umrlih je iz zemalja sa niskim i srednjim primanjima, što vodi u ekonomske gubitke i siromaštvo.</w:t>
      </w:r>
      <w:r w:rsidR="00AA0D77" w:rsidRPr="00155F80">
        <w:rPr>
          <w:rFonts w:ascii="Times New Roman" w:eastAsiaTheme="minorHAnsi" w:hAnsi="Times New Roman"/>
          <w:lang w:val="bs-Latn-BA"/>
        </w:rPr>
        <w:t xml:space="preserve"> </w:t>
      </w:r>
    </w:p>
    <w:p w:rsidR="00A131AD" w:rsidRPr="00155F80" w:rsidRDefault="00A131AD" w:rsidP="000C0138">
      <w:pPr>
        <w:spacing w:after="160" w:line="276" w:lineRule="auto"/>
        <w:rPr>
          <w:rFonts w:ascii="Times New Roman" w:eastAsiaTheme="minorHAnsi" w:hAnsi="Times New Roman"/>
          <w:lang w:val="bs-Latn-BA"/>
        </w:rPr>
      </w:pPr>
      <w:r w:rsidRPr="00155F80">
        <w:rPr>
          <w:rFonts w:ascii="Times New Roman" w:eastAsiaTheme="minorHAnsi" w:hAnsi="Times New Roman"/>
          <w:lang w:val="bs-Latn-BA"/>
        </w:rPr>
        <w:t xml:space="preserve">U Federaciji BiH, u </w:t>
      </w:r>
      <w:r w:rsidR="00430206">
        <w:rPr>
          <w:rFonts w:ascii="Times New Roman" w:eastAsiaTheme="minorHAnsi" w:hAnsi="Times New Roman"/>
          <w:lang w:val="bs-Latn-BA"/>
        </w:rPr>
        <w:t>razdoblju</w:t>
      </w:r>
      <w:r w:rsidRPr="00155F80">
        <w:rPr>
          <w:rFonts w:ascii="Times New Roman" w:eastAsiaTheme="minorHAnsi" w:hAnsi="Times New Roman"/>
          <w:lang w:val="bs-Latn-BA"/>
        </w:rPr>
        <w:t xml:space="preserve"> od 2010.</w:t>
      </w:r>
      <w:r w:rsidR="00430206">
        <w:rPr>
          <w:rFonts w:ascii="Times New Roman" w:eastAsiaTheme="minorHAnsi" w:hAnsi="Times New Roman"/>
          <w:lang w:val="bs-Latn-BA"/>
        </w:rPr>
        <w:t xml:space="preserve"> do </w:t>
      </w:r>
      <w:r w:rsidRPr="00155F80">
        <w:rPr>
          <w:rFonts w:ascii="Times New Roman" w:eastAsiaTheme="minorHAnsi" w:hAnsi="Times New Roman"/>
          <w:lang w:val="bs-Latn-BA"/>
        </w:rPr>
        <w:t>2015. godine, zabilježen je porast stope obolijevanja većine nezaraznih bolesti</w:t>
      </w:r>
      <w:r w:rsidR="005861C0">
        <w:rPr>
          <w:rFonts w:ascii="Times New Roman" w:eastAsiaTheme="minorHAnsi" w:hAnsi="Times New Roman"/>
          <w:lang w:val="bs-Latn-BA"/>
        </w:rPr>
        <w:t xml:space="preserve"> u </w:t>
      </w:r>
      <w:r w:rsidR="00430206">
        <w:rPr>
          <w:rFonts w:ascii="Times New Roman" w:eastAsiaTheme="minorHAnsi" w:hAnsi="Times New Roman"/>
          <w:lang w:val="bs-Latn-BA"/>
        </w:rPr>
        <w:t>razdoblju</w:t>
      </w:r>
      <w:r w:rsidR="005861C0">
        <w:rPr>
          <w:rFonts w:ascii="Times New Roman" w:eastAsiaTheme="minorHAnsi" w:hAnsi="Times New Roman"/>
          <w:lang w:val="bs-Latn-BA"/>
        </w:rPr>
        <w:t xml:space="preserve"> od 2010.</w:t>
      </w:r>
      <w:r w:rsidR="00430206">
        <w:rPr>
          <w:rFonts w:ascii="Times New Roman" w:eastAsiaTheme="minorHAnsi" w:hAnsi="Times New Roman"/>
          <w:lang w:val="bs-Latn-BA"/>
        </w:rPr>
        <w:t xml:space="preserve"> do </w:t>
      </w:r>
      <w:r w:rsidR="005861C0">
        <w:rPr>
          <w:rFonts w:ascii="Times New Roman" w:eastAsiaTheme="minorHAnsi" w:hAnsi="Times New Roman"/>
          <w:lang w:val="bs-Latn-BA"/>
        </w:rPr>
        <w:t>2015. godine.</w:t>
      </w:r>
    </w:p>
    <w:p w:rsidR="00A131AD" w:rsidRPr="00155F80" w:rsidRDefault="00A131AD" w:rsidP="00EB7CC7">
      <w:pPr>
        <w:pStyle w:val="refererere"/>
        <w:rPr>
          <w:rFonts w:eastAsiaTheme="minorHAnsi"/>
          <w:lang w:val="bs-Latn-BA"/>
        </w:rPr>
      </w:pPr>
      <w:r w:rsidRPr="00A22138">
        <w:rPr>
          <w:rFonts w:eastAsiaTheme="minorHAnsi"/>
          <w:lang w:val="bs-Latn-BA"/>
        </w:rPr>
        <w:t xml:space="preserve">Grafikon 27: Vodeće nezarazne bolesti u Federaciji BiH za </w:t>
      </w:r>
      <w:r w:rsidR="00430206">
        <w:rPr>
          <w:rFonts w:eastAsiaTheme="minorHAnsi"/>
          <w:lang w:val="bs-Latn-BA"/>
        </w:rPr>
        <w:t>razdoblje</w:t>
      </w:r>
      <w:r w:rsidRPr="00A22138">
        <w:rPr>
          <w:rFonts w:eastAsiaTheme="minorHAnsi"/>
          <w:lang w:val="bs-Latn-BA"/>
        </w:rPr>
        <w:t xml:space="preserve"> 2010-2015. godine, stopa na 10.000 stanovnika</w:t>
      </w:r>
    </w:p>
    <w:p w:rsidR="009E48BE" w:rsidRDefault="00A22138" w:rsidP="000C0138">
      <w:pPr>
        <w:spacing w:after="160" w:line="276" w:lineRule="auto"/>
        <w:rPr>
          <w:rFonts w:ascii="Times New Roman" w:eastAsiaTheme="minorHAnsi" w:hAnsi="Times New Roman"/>
          <w:lang w:val="bs-Latn-BA"/>
        </w:rPr>
      </w:pPr>
      <w:r>
        <w:rPr>
          <w:noProof/>
          <w:lang w:val="bs-Latn-BA" w:eastAsia="bs-Latn-BA"/>
        </w:rPr>
        <w:drawing>
          <wp:inline distT="0" distB="0" distL="0" distR="0" wp14:anchorId="5F3C4355" wp14:editId="25F00BEA">
            <wp:extent cx="5686425" cy="2486025"/>
            <wp:effectExtent l="0" t="0" r="9525" b="9525"/>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A131AD" w:rsidRPr="00155F80" w:rsidRDefault="00430206" w:rsidP="000C0138">
      <w:pPr>
        <w:spacing w:after="160" w:line="276" w:lineRule="auto"/>
        <w:rPr>
          <w:rFonts w:ascii="Times New Roman" w:eastAsiaTheme="minorHAnsi" w:hAnsi="Times New Roman"/>
          <w:lang w:val="bs-Latn-BA"/>
        </w:rPr>
      </w:pPr>
      <w:r>
        <w:rPr>
          <w:rFonts w:ascii="Times New Roman" w:eastAsiaTheme="minorHAnsi" w:hAnsi="Times New Roman"/>
          <w:lang w:val="bs-Latn-BA"/>
        </w:rPr>
        <w:t>Pobol</w:t>
      </w:r>
      <w:r w:rsidR="00A131AD" w:rsidRPr="00155F80">
        <w:rPr>
          <w:rFonts w:ascii="Times New Roman" w:eastAsiaTheme="minorHAnsi" w:hAnsi="Times New Roman"/>
          <w:lang w:val="bs-Latn-BA"/>
        </w:rPr>
        <w:t xml:space="preserve"> i većina preranih smrti od nezaraznih bolesti se može spriječiti djelujući na zajedničke </w:t>
      </w:r>
      <w:r>
        <w:rPr>
          <w:rFonts w:ascii="Times New Roman" w:eastAsiaTheme="minorHAnsi" w:hAnsi="Times New Roman"/>
          <w:lang w:val="bs-Latn-BA"/>
        </w:rPr>
        <w:t>čimbenike</w:t>
      </w:r>
      <w:r w:rsidR="00A131AD" w:rsidRPr="00155F80">
        <w:rPr>
          <w:rFonts w:ascii="Times New Roman" w:eastAsiaTheme="minorHAnsi" w:hAnsi="Times New Roman"/>
          <w:lang w:val="bs-Latn-BA"/>
        </w:rPr>
        <w:t xml:space="preserve"> rizika: konzumaciju duhana, nepravilnu </w:t>
      </w:r>
      <w:r>
        <w:rPr>
          <w:rFonts w:ascii="Times New Roman" w:eastAsiaTheme="minorHAnsi" w:hAnsi="Times New Roman"/>
          <w:lang w:val="bs-Latn-BA"/>
        </w:rPr>
        <w:t>pre</w:t>
      </w:r>
      <w:r w:rsidR="00A131AD" w:rsidRPr="00155F80">
        <w:rPr>
          <w:rFonts w:ascii="Times New Roman" w:eastAsiaTheme="minorHAnsi" w:hAnsi="Times New Roman"/>
          <w:lang w:val="bs-Latn-BA"/>
        </w:rPr>
        <w:t xml:space="preserve">hranu, </w:t>
      </w:r>
      <w:r>
        <w:rPr>
          <w:rFonts w:ascii="Times New Roman" w:eastAsiaTheme="minorHAnsi" w:hAnsi="Times New Roman"/>
          <w:lang w:val="bs-Latn-BA"/>
        </w:rPr>
        <w:t>tjelesnu</w:t>
      </w:r>
      <w:r w:rsidR="00A131AD" w:rsidRPr="00155F80">
        <w:rPr>
          <w:rFonts w:ascii="Times New Roman" w:eastAsiaTheme="minorHAnsi" w:hAnsi="Times New Roman"/>
          <w:lang w:val="bs-Latn-BA"/>
        </w:rPr>
        <w:t xml:space="preserve"> neaktivnost i štetnu upor</w:t>
      </w:r>
      <w:r>
        <w:rPr>
          <w:rFonts w:ascii="Times New Roman" w:eastAsiaTheme="minorHAnsi" w:hAnsi="Times New Roman"/>
          <w:lang w:val="bs-Latn-BA"/>
        </w:rPr>
        <w:t>a</w:t>
      </w:r>
      <w:r w:rsidR="00A131AD" w:rsidRPr="00155F80">
        <w:rPr>
          <w:rFonts w:ascii="Times New Roman" w:eastAsiaTheme="minorHAnsi" w:hAnsi="Times New Roman"/>
          <w:lang w:val="bs-Latn-BA"/>
        </w:rPr>
        <w:t xml:space="preserve">bu alkohola. S tim u </w:t>
      </w:r>
      <w:r>
        <w:rPr>
          <w:rFonts w:ascii="Times New Roman" w:eastAsiaTheme="minorHAnsi" w:hAnsi="Times New Roman"/>
          <w:lang w:val="bs-Latn-BA"/>
        </w:rPr>
        <w:t>s</w:t>
      </w:r>
      <w:r w:rsidR="00A131AD" w:rsidRPr="00155F80">
        <w:rPr>
          <w:rFonts w:ascii="Times New Roman" w:eastAsiaTheme="minorHAnsi" w:hAnsi="Times New Roman"/>
          <w:lang w:val="bs-Latn-BA"/>
        </w:rPr>
        <w:t>vezi, Svjetska zdravstvena skupština je 2013. godine usvojila Globalni akci</w:t>
      </w:r>
      <w:r>
        <w:rPr>
          <w:rFonts w:ascii="Times New Roman" w:eastAsiaTheme="minorHAnsi" w:hAnsi="Times New Roman"/>
          <w:lang w:val="bs-Latn-BA"/>
        </w:rPr>
        <w:t>jsk</w:t>
      </w:r>
      <w:r w:rsidR="00A131AD" w:rsidRPr="00155F80">
        <w:rPr>
          <w:rFonts w:ascii="Times New Roman" w:eastAsiaTheme="minorHAnsi" w:hAnsi="Times New Roman"/>
          <w:lang w:val="bs-Latn-BA"/>
        </w:rPr>
        <w:t xml:space="preserve">i plan </w:t>
      </w:r>
      <w:r w:rsidR="00A131AD" w:rsidRPr="00155F80">
        <w:rPr>
          <w:rFonts w:ascii="Times New Roman" w:eastAsiaTheme="minorHAnsi" w:hAnsi="Times New Roman"/>
          <w:lang w:val="bs-Latn-BA"/>
        </w:rPr>
        <w:lastRenderedPageBreak/>
        <w:t xml:space="preserve">SZO za prevenciju i kontrolu nezaraznih bolesti koji daje putokaz i opcije iz domena politike, koji će, ako se realizuju u </w:t>
      </w:r>
      <w:r>
        <w:rPr>
          <w:rFonts w:ascii="Times New Roman" w:eastAsiaTheme="minorHAnsi" w:hAnsi="Times New Roman"/>
          <w:lang w:val="bs-Latn-BA"/>
        </w:rPr>
        <w:t>razdoblju</w:t>
      </w:r>
      <w:r w:rsidR="00A131AD" w:rsidRPr="00155F80">
        <w:rPr>
          <w:rFonts w:ascii="Times New Roman" w:eastAsiaTheme="minorHAnsi" w:hAnsi="Times New Roman"/>
          <w:lang w:val="bs-Latn-BA"/>
        </w:rPr>
        <w:t xml:space="preserve"> 2013.-2020. godine, doprinijeti napretku gled</w:t>
      </w:r>
      <w:r>
        <w:rPr>
          <w:rFonts w:ascii="Times New Roman" w:eastAsiaTheme="minorHAnsi" w:hAnsi="Times New Roman"/>
          <w:lang w:val="bs-Latn-BA"/>
        </w:rPr>
        <w:t>e</w:t>
      </w:r>
      <w:r w:rsidR="00A131AD" w:rsidRPr="00155F80">
        <w:rPr>
          <w:rFonts w:ascii="Times New Roman" w:eastAsiaTheme="minorHAnsi" w:hAnsi="Times New Roman"/>
          <w:lang w:val="bs-Latn-BA"/>
        </w:rPr>
        <w:t xml:space="preserve"> 9 globalnih ciljeva postavljenih za nezarazne bolesti</w:t>
      </w:r>
      <w:r w:rsidR="008964DC">
        <w:rPr>
          <w:rFonts w:ascii="Times New Roman" w:eastAsiaTheme="minorHAnsi" w:hAnsi="Times New Roman"/>
          <w:lang w:val="bs-Latn-BA"/>
        </w:rPr>
        <w:t>,</w:t>
      </w:r>
      <w:r w:rsidR="00A131AD" w:rsidRPr="00155F80">
        <w:rPr>
          <w:rFonts w:ascii="Times New Roman" w:eastAsiaTheme="minorHAnsi" w:hAnsi="Times New Roman"/>
          <w:lang w:val="bs-Latn-BA"/>
        </w:rPr>
        <w:t xml:space="preserve"> a koji treba da se ostvare do 2025. godine u </w:t>
      </w:r>
      <w:r w:rsidR="00EC1A09" w:rsidRPr="00155F80">
        <w:rPr>
          <w:rFonts w:ascii="Times New Roman" w:eastAsiaTheme="minorHAnsi" w:hAnsi="Times New Roman"/>
          <w:lang w:val="bs-Latn-BA"/>
        </w:rPr>
        <w:t>o</w:t>
      </w:r>
      <w:r w:rsidR="00A131AD" w:rsidRPr="00155F80">
        <w:rPr>
          <w:rFonts w:ascii="Times New Roman" w:eastAsiaTheme="minorHAnsi" w:hAnsi="Times New Roman"/>
          <w:lang w:val="bs-Latn-BA"/>
        </w:rPr>
        <w:t xml:space="preserve">dnosu na baznu 2010. </w:t>
      </w:r>
      <w:r w:rsidR="00A131AD" w:rsidRPr="00F83CAD">
        <w:rPr>
          <w:rFonts w:ascii="Times New Roman" w:eastAsiaTheme="minorHAnsi" w:hAnsi="Times New Roman"/>
          <w:lang w:val="bs-Latn-BA"/>
        </w:rPr>
        <w:t xml:space="preserve">godinu </w:t>
      </w:r>
      <w:r w:rsidR="004134C0" w:rsidRPr="00F83CAD">
        <w:rPr>
          <w:rFonts w:ascii="Times New Roman" w:eastAsiaTheme="minorHAnsi" w:hAnsi="Times New Roman"/>
          <w:lang w:val="bs-Latn-BA"/>
        </w:rPr>
        <w:t>(8</w:t>
      </w:r>
      <w:r w:rsidR="00B3288D" w:rsidRPr="00F83CAD">
        <w:rPr>
          <w:rFonts w:ascii="Times New Roman" w:eastAsiaTheme="minorHAnsi" w:hAnsi="Times New Roman"/>
          <w:lang w:val="bs-Latn-BA"/>
        </w:rPr>
        <w:t>)</w:t>
      </w:r>
      <w:r w:rsidR="00B3288D" w:rsidRPr="00155F80">
        <w:rPr>
          <w:rFonts w:ascii="Times New Roman" w:eastAsiaTheme="minorHAnsi" w:hAnsi="Times New Roman"/>
          <w:lang w:val="bs-Latn-BA"/>
        </w:rPr>
        <w:t xml:space="preserve"> </w:t>
      </w:r>
      <w:r w:rsidR="00A131AD" w:rsidRPr="00155F80">
        <w:rPr>
          <w:rFonts w:ascii="Times New Roman" w:eastAsiaTheme="minorHAnsi" w:hAnsi="Times New Roman"/>
          <w:lang w:val="bs-Latn-BA"/>
        </w:rPr>
        <w:t>Globalni ciljevi su:</w:t>
      </w:r>
    </w:p>
    <w:p w:rsidR="00A131AD" w:rsidRPr="00155F80" w:rsidRDefault="00A131AD" w:rsidP="000C0138">
      <w:pPr>
        <w:numPr>
          <w:ilvl w:val="0"/>
          <w:numId w:val="2"/>
        </w:numPr>
        <w:spacing w:after="160" w:line="276" w:lineRule="auto"/>
        <w:contextualSpacing/>
        <w:jc w:val="left"/>
        <w:rPr>
          <w:rFonts w:ascii="Times New Roman" w:eastAsiaTheme="minorHAnsi" w:hAnsi="Times New Roman"/>
          <w:lang w:val="bs-Latn-BA"/>
        </w:rPr>
      </w:pPr>
      <w:r w:rsidRPr="00155F80">
        <w:rPr>
          <w:rFonts w:ascii="Times New Roman" w:eastAsiaTheme="minorHAnsi" w:hAnsi="Times New Roman"/>
          <w:lang w:val="bs-Latn-BA"/>
        </w:rPr>
        <w:t xml:space="preserve">Smanjenje rizika od ranog umiranja od kardiovaskularnih bolesti, raka, dijabetesa i </w:t>
      </w:r>
      <w:r w:rsidR="00030E44">
        <w:rPr>
          <w:rFonts w:ascii="Times New Roman" w:eastAsiaTheme="minorHAnsi" w:hAnsi="Times New Roman"/>
          <w:lang w:val="bs-Latn-BA"/>
        </w:rPr>
        <w:t>k</w:t>
      </w:r>
      <w:r w:rsidRPr="00155F80">
        <w:rPr>
          <w:rFonts w:ascii="Times New Roman" w:eastAsiaTheme="minorHAnsi" w:hAnsi="Times New Roman"/>
          <w:lang w:val="bs-Latn-BA"/>
        </w:rPr>
        <w:t>roničnih respiratornih bolesti za 25%</w:t>
      </w:r>
    </w:p>
    <w:p w:rsidR="00A131AD" w:rsidRPr="00155F80" w:rsidRDefault="00A131AD" w:rsidP="000C0138">
      <w:pPr>
        <w:numPr>
          <w:ilvl w:val="0"/>
          <w:numId w:val="2"/>
        </w:numPr>
        <w:spacing w:after="160" w:line="276" w:lineRule="auto"/>
        <w:contextualSpacing/>
        <w:jc w:val="left"/>
        <w:rPr>
          <w:rFonts w:ascii="Times New Roman" w:eastAsiaTheme="minorHAnsi" w:hAnsi="Times New Roman"/>
          <w:lang w:val="bs-Latn-BA"/>
        </w:rPr>
      </w:pPr>
      <w:r w:rsidRPr="00155F80">
        <w:rPr>
          <w:rFonts w:ascii="Times New Roman" w:eastAsiaTheme="minorHAnsi" w:hAnsi="Times New Roman"/>
          <w:lang w:val="bs-Latn-BA"/>
        </w:rPr>
        <w:t>Smanjenje štetne upor</w:t>
      </w:r>
      <w:r w:rsidR="00030E44">
        <w:rPr>
          <w:rFonts w:ascii="Times New Roman" w:eastAsiaTheme="minorHAnsi" w:hAnsi="Times New Roman"/>
          <w:lang w:val="bs-Latn-BA"/>
        </w:rPr>
        <w:t>a</w:t>
      </w:r>
      <w:r w:rsidRPr="00155F80">
        <w:rPr>
          <w:rFonts w:ascii="Times New Roman" w:eastAsiaTheme="minorHAnsi" w:hAnsi="Times New Roman"/>
          <w:lang w:val="bs-Latn-BA"/>
        </w:rPr>
        <w:t>be alkohola za najmanje 10%</w:t>
      </w:r>
    </w:p>
    <w:p w:rsidR="00A131AD" w:rsidRPr="00155F80" w:rsidRDefault="00EC1A09" w:rsidP="000C0138">
      <w:pPr>
        <w:numPr>
          <w:ilvl w:val="0"/>
          <w:numId w:val="2"/>
        </w:numPr>
        <w:spacing w:after="160" w:line="276" w:lineRule="auto"/>
        <w:contextualSpacing/>
        <w:jc w:val="left"/>
        <w:rPr>
          <w:rFonts w:ascii="Times New Roman" w:eastAsiaTheme="minorHAnsi" w:hAnsi="Times New Roman"/>
          <w:lang w:val="bs-Latn-BA"/>
        </w:rPr>
      </w:pPr>
      <w:r w:rsidRPr="00155F80">
        <w:rPr>
          <w:rFonts w:ascii="Times New Roman" w:eastAsiaTheme="minorHAnsi" w:hAnsi="Times New Roman"/>
          <w:lang w:val="bs-Latn-BA"/>
        </w:rPr>
        <w:t>Smanjenje prevalence nedovoljna</w:t>
      </w:r>
      <w:r w:rsidR="00A131AD" w:rsidRPr="00155F80">
        <w:rPr>
          <w:rFonts w:ascii="Times New Roman" w:eastAsiaTheme="minorHAnsi" w:hAnsi="Times New Roman"/>
          <w:lang w:val="bs-Latn-BA"/>
        </w:rPr>
        <w:t xml:space="preserve"> </w:t>
      </w:r>
      <w:r w:rsidR="00030E44">
        <w:rPr>
          <w:rFonts w:ascii="Times New Roman" w:eastAsiaTheme="minorHAnsi" w:hAnsi="Times New Roman"/>
          <w:lang w:val="bs-Latn-BA"/>
        </w:rPr>
        <w:t>tjelesne</w:t>
      </w:r>
      <w:r w:rsidR="00A131AD" w:rsidRPr="00155F80">
        <w:rPr>
          <w:rFonts w:ascii="Times New Roman" w:eastAsiaTheme="minorHAnsi" w:hAnsi="Times New Roman"/>
          <w:lang w:val="bs-Latn-BA"/>
        </w:rPr>
        <w:t xml:space="preserve"> aktivnosti za 10%</w:t>
      </w:r>
    </w:p>
    <w:p w:rsidR="00A131AD" w:rsidRPr="00155F80" w:rsidRDefault="00A131AD" w:rsidP="000C0138">
      <w:pPr>
        <w:numPr>
          <w:ilvl w:val="0"/>
          <w:numId w:val="2"/>
        </w:numPr>
        <w:spacing w:after="160" w:line="276" w:lineRule="auto"/>
        <w:contextualSpacing/>
        <w:jc w:val="left"/>
        <w:rPr>
          <w:rFonts w:ascii="Times New Roman" w:eastAsiaTheme="minorHAnsi" w:hAnsi="Times New Roman"/>
          <w:lang w:val="bs-Latn-BA"/>
        </w:rPr>
      </w:pPr>
      <w:r w:rsidRPr="00155F80">
        <w:rPr>
          <w:rFonts w:ascii="Times New Roman" w:eastAsiaTheme="minorHAnsi" w:hAnsi="Times New Roman"/>
          <w:lang w:val="bs-Latn-BA"/>
        </w:rPr>
        <w:t>Smanjenja prosječnog unosa soli za 30%</w:t>
      </w:r>
    </w:p>
    <w:p w:rsidR="00A131AD" w:rsidRPr="00155F80" w:rsidRDefault="00A131AD" w:rsidP="000C0138">
      <w:pPr>
        <w:numPr>
          <w:ilvl w:val="0"/>
          <w:numId w:val="2"/>
        </w:numPr>
        <w:spacing w:after="160" w:line="276" w:lineRule="auto"/>
        <w:contextualSpacing/>
        <w:jc w:val="left"/>
        <w:rPr>
          <w:rFonts w:ascii="Times New Roman" w:eastAsiaTheme="minorHAnsi" w:hAnsi="Times New Roman"/>
          <w:lang w:val="bs-Latn-BA"/>
        </w:rPr>
      </w:pPr>
      <w:r w:rsidRPr="00155F80">
        <w:rPr>
          <w:rFonts w:ascii="Times New Roman" w:eastAsiaTheme="minorHAnsi" w:hAnsi="Times New Roman"/>
          <w:lang w:val="bs-Latn-BA"/>
        </w:rPr>
        <w:t>Smanjenje prevalenc</w:t>
      </w:r>
      <w:r w:rsidR="00030E44">
        <w:rPr>
          <w:rFonts w:ascii="Times New Roman" w:eastAsiaTheme="minorHAnsi" w:hAnsi="Times New Roman"/>
          <w:lang w:val="bs-Latn-BA"/>
        </w:rPr>
        <w:t>ij</w:t>
      </w:r>
      <w:r w:rsidRPr="00155F80">
        <w:rPr>
          <w:rFonts w:ascii="Times New Roman" w:eastAsiaTheme="minorHAnsi" w:hAnsi="Times New Roman"/>
          <w:lang w:val="bs-Latn-BA"/>
        </w:rPr>
        <w:t>e konzumacije duhana kod osoba starosti 15 i više godina za 30%</w:t>
      </w:r>
    </w:p>
    <w:p w:rsidR="00A131AD" w:rsidRPr="00155F80" w:rsidRDefault="00A131AD" w:rsidP="000C0138">
      <w:pPr>
        <w:numPr>
          <w:ilvl w:val="0"/>
          <w:numId w:val="2"/>
        </w:numPr>
        <w:spacing w:after="160" w:line="276" w:lineRule="auto"/>
        <w:contextualSpacing/>
        <w:jc w:val="left"/>
        <w:rPr>
          <w:rFonts w:ascii="Times New Roman" w:eastAsiaTheme="minorHAnsi" w:hAnsi="Times New Roman"/>
          <w:lang w:val="bs-Latn-BA"/>
        </w:rPr>
      </w:pPr>
      <w:r w:rsidRPr="00155F80">
        <w:rPr>
          <w:rFonts w:ascii="Times New Roman" w:eastAsiaTheme="minorHAnsi" w:hAnsi="Times New Roman"/>
          <w:lang w:val="bs-Latn-BA"/>
        </w:rPr>
        <w:t>Smanjenje prevalenc</w:t>
      </w:r>
      <w:r w:rsidR="00030E44">
        <w:rPr>
          <w:rFonts w:ascii="Times New Roman" w:eastAsiaTheme="minorHAnsi" w:hAnsi="Times New Roman"/>
          <w:lang w:val="bs-Latn-BA"/>
        </w:rPr>
        <w:t>ij</w:t>
      </w:r>
      <w:r w:rsidRPr="00155F80">
        <w:rPr>
          <w:rFonts w:ascii="Times New Roman" w:eastAsiaTheme="minorHAnsi" w:hAnsi="Times New Roman"/>
          <w:lang w:val="bs-Latn-BA"/>
        </w:rPr>
        <w:t xml:space="preserve">e povišenog krvnog </w:t>
      </w:r>
      <w:r w:rsidR="00030E44">
        <w:rPr>
          <w:rFonts w:ascii="Times New Roman" w:eastAsiaTheme="minorHAnsi" w:hAnsi="Times New Roman"/>
          <w:lang w:val="bs-Latn-BA"/>
        </w:rPr>
        <w:t>tlaka</w:t>
      </w:r>
      <w:r w:rsidRPr="00155F80">
        <w:rPr>
          <w:rFonts w:ascii="Times New Roman" w:eastAsiaTheme="minorHAnsi" w:hAnsi="Times New Roman"/>
          <w:lang w:val="bs-Latn-BA"/>
        </w:rPr>
        <w:t xml:space="preserve"> za 10%</w:t>
      </w:r>
    </w:p>
    <w:p w:rsidR="00A131AD" w:rsidRPr="00155F80" w:rsidRDefault="00A131AD" w:rsidP="000C0138">
      <w:pPr>
        <w:numPr>
          <w:ilvl w:val="0"/>
          <w:numId w:val="2"/>
        </w:numPr>
        <w:spacing w:after="160" w:line="276" w:lineRule="auto"/>
        <w:contextualSpacing/>
        <w:jc w:val="left"/>
        <w:rPr>
          <w:rFonts w:ascii="Times New Roman" w:eastAsiaTheme="minorHAnsi" w:hAnsi="Times New Roman"/>
          <w:lang w:val="bs-Latn-BA"/>
        </w:rPr>
      </w:pPr>
      <w:r w:rsidRPr="00155F80">
        <w:rPr>
          <w:rFonts w:ascii="Times New Roman" w:eastAsiaTheme="minorHAnsi" w:hAnsi="Times New Roman"/>
          <w:lang w:val="bs-Latn-BA"/>
        </w:rPr>
        <w:t>Zaustaviti porast dijabetesa i gojaznosti</w:t>
      </w:r>
    </w:p>
    <w:p w:rsidR="00A131AD" w:rsidRPr="00155F80" w:rsidRDefault="00A131AD" w:rsidP="000C0138">
      <w:pPr>
        <w:numPr>
          <w:ilvl w:val="0"/>
          <w:numId w:val="2"/>
        </w:numPr>
        <w:spacing w:after="160" w:line="276" w:lineRule="auto"/>
        <w:contextualSpacing/>
        <w:jc w:val="left"/>
        <w:rPr>
          <w:rFonts w:ascii="Times New Roman" w:eastAsiaTheme="minorHAnsi" w:hAnsi="Times New Roman"/>
          <w:lang w:val="bs-Latn-BA"/>
        </w:rPr>
      </w:pPr>
      <w:r w:rsidRPr="00155F80">
        <w:rPr>
          <w:rFonts w:ascii="Times New Roman" w:eastAsiaTheme="minorHAnsi" w:hAnsi="Times New Roman"/>
          <w:lang w:val="bs-Latn-BA"/>
        </w:rPr>
        <w:t>Najmanje 50% osoba dobija lijekove i ide na savjetovanje s ciljem spr</w:t>
      </w:r>
      <w:r w:rsidR="00030E44">
        <w:rPr>
          <w:rFonts w:ascii="Times New Roman" w:eastAsiaTheme="minorHAnsi" w:hAnsi="Times New Roman"/>
          <w:lang w:val="bs-Latn-BA"/>
        </w:rPr>
        <w:t>j</w:t>
      </w:r>
      <w:r w:rsidRPr="00155F80">
        <w:rPr>
          <w:rFonts w:ascii="Times New Roman" w:eastAsiaTheme="minorHAnsi" w:hAnsi="Times New Roman"/>
          <w:lang w:val="bs-Latn-BA"/>
        </w:rPr>
        <w:t>ečavanja srčanog i moždanog udara</w:t>
      </w:r>
    </w:p>
    <w:p w:rsidR="00A131AD" w:rsidRPr="00155F80" w:rsidRDefault="00A131AD" w:rsidP="000C0138">
      <w:pPr>
        <w:numPr>
          <w:ilvl w:val="0"/>
          <w:numId w:val="2"/>
        </w:numPr>
        <w:spacing w:after="160" w:line="276" w:lineRule="auto"/>
        <w:contextualSpacing/>
        <w:jc w:val="left"/>
        <w:rPr>
          <w:rFonts w:ascii="Times New Roman" w:eastAsiaTheme="minorHAnsi" w:hAnsi="Times New Roman"/>
          <w:lang w:val="bs-Latn-BA"/>
        </w:rPr>
      </w:pPr>
      <w:r w:rsidRPr="00155F80">
        <w:rPr>
          <w:rFonts w:ascii="Times New Roman" w:eastAsiaTheme="minorHAnsi" w:hAnsi="Times New Roman"/>
          <w:lang w:val="bs-Latn-BA"/>
        </w:rPr>
        <w:t xml:space="preserve">Dostupnost osnovnih tehnologija i osnovnih lijekova za vodeće </w:t>
      </w:r>
      <w:r w:rsidR="00030E44">
        <w:rPr>
          <w:rFonts w:ascii="Times New Roman" w:eastAsiaTheme="minorHAnsi" w:hAnsi="Times New Roman"/>
          <w:lang w:val="bs-Latn-BA"/>
        </w:rPr>
        <w:t>n</w:t>
      </w:r>
      <w:r w:rsidRPr="00155F80">
        <w:rPr>
          <w:rFonts w:ascii="Times New Roman" w:eastAsiaTheme="minorHAnsi" w:hAnsi="Times New Roman"/>
          <w:lang w:val="bs-Latn-BA"/>
        </w:rPr>
        <w:t xml:space="preserve">ezarazne bolesti na </w:t>
      </w:r>
      <w:r w:rsidR="00030E44">
        <w:rPr>
          <w:rFonts w:ascii="Times New Roman" w:eastAsiaTheme="minorHAnsi" w:hAnsi="Times New Roman"/>
          <w:lang w:val="bs-Latn-BA"/>
        </w:rPr>
        <w:t>razini</w:t>
      </w:r>
      <w:r w:rsidRPr="00155F80">
        <w:rPr>
          <w:rFonts w:ascii="Times New Roman" w:eastAsiaTheme="minorHAnsi" w:hAnsi="Times New Roman"/>
          <w:lang w:val="bs-Latn-BA"/>
        </w:rPr>
        <w:t xml:space="preserve"> od 80%</w:t>
      </w:r>
    </w:p>
    <w:p w:rsidR="00A131AD" w:rsidRPr="00155F80" w:rsidRDefault="00A131AD" w:rsidP="000C0138">
      <w:pPr>
        <w:spacing w:after="160" w:line="276" w:lineRule="auto"/>
        <w:rPr>
          <w:rFonts w:ascii="Times New Roman" w:eastAsiaTheme="minorHAnsi" w:hAnsi="Times New Roman"/>
          <w:b/>
          <w:lang w:val="bs-Latn-BA"/>
        </w:rPr>
      </w:pPr>
      <w:r w:rsidRPr="00155F80">
        <w:rPr>
          <w:rFonts w:ascii="Times New Roman" w:eastAsiaTheme="minorHAnsi" w:hAnsi="Times New Roman"/>
          <w:b/>
          <w:lang w:val="bs-Latn-BA"/>
        </w:rPr>
        <w:t>Kardiovaskularne bolesti</w:t>
      </w:r>
    </w:p>
    <w:p w:rsidR="00A131AD" w:rsidRPr="00155F80" w:rsidRDefault="00A131AD" w:rsidP="000C0138">
      <w:pPr>
        <w:spacing w:after="160" w:line="276" w:lineRule="auto"/>
        <w:rPr>
          <w:rFonts w:ascii="Times New Roman" w:eastAsiaTheme="minorHAnsi" w:hAnsi="Times New Roman"/>
          <w:lang w:val="bs-Latn-BA"/>
        </w:rPr>
      </w:pPr>
      <w:r w:rsidRPr="00155F80">
        <w:rPr>
          <w:rFonts w:ascii="Times New Roman" w:eastAsiaTheme="minorHAnsi" w:hAnsi="Times New Roman"/>
          <w:lang w:val="bs-Latn-BA"/>
        </w:rPr>
        <w:t>Kardiovaskularne bolesti su vodeći uzrok umiranja stanovništva Federacije BiH već nekoliko decenija, a u strukturi obolijevanja su zastupljene sa 17,2%. Najčešća oboljenja iz ove grupe su hipertenzivna oboljenja (I10-I15) sa u</w:t>
      </w:r>
      <w:r w:rsidR="00243A26">
        <w:rPr>
          <w:rFonts w:ascii="Times New Roman" w:eastAsiaTheme="minorHAnsi" w:hAnsi="Times New Roman"/>
          <w:lang w:val="bs-Latn-BA"/>
        </w:rPr>
        <w:t>djelom</w:t>
      </w:r>
      <w:r w:rsidRPr="00155F80">
        <w:rPr>
          <w:rFonts w:ascii="Times New Roman" w:eastAsiaTheme="minorHAnsi" w:hAnsi="Times New Roman"/>
          <w:lang w:val="bs-Latn-BA"/>
        </w:rPr>
        <w:t xml:space="preserve"> od čak 72,8%.</w:t>
      </w:r>
    </w:p>
    <w:p w:rsidR="00A131AD" w:rsidRPr="00155F80" w:rsidRDefault="00A131AD" w:rsidP="000C0138">
      <w:pPr>
        <w:spacing w:after="160" w:line="276" w:lineRule="auto"/>
        <w:rPr>
          <w:rFonts w:ascii="Times New Roman" w:eastAsiaTheme="minorHAnsi" w:hAnsi="Times New Roman"/>
          <w:lang w:val="bs-Latn-BA"/>
        </w:rPr>
      </w:pPr>
      <w:r w:rsidRPr="00155F80">
        <w:rPr>
          <w:rFonts w:ascii="Times New Roman" w:eastAsiaTheme="minorHAnsi" w:hAnsi="Times New Roman"/>
          <w:lang w:val="bs-Latn-BA"/>
        </w:rPr>
        <w:t xml:space="preserve">Na visoku stopu obolijevanja od kardiovaskularnih bolesti upućuju i rezultati Studije o stanju zdravlja stanovništva u Federaciji BiH, rađene 2012. godine koji su pokazali da 44,4% </w:t>
      </w:r>
      <w:r w:rsidR="009E48BE">
        <w:rPr>
          <w:rFonts w:ascii="Times New Roman" w:eastAsiaTheme="minorHAnsi" w:hAnsi="Times New Roman"/>
          <w:lang w:val="bs-Latn-BA"/>
        </w:rPr>
        <w:t xml:space="preserve">odraslog </w:t>
      </w:r>
      <w:r w:rsidRPr="00155F80">
        <w:rPr>
          <w:rFonts w:ascii="Times New Roman" w:eastAsiaTheme="minorHAnsi" w:hAnsi="Times New Roman"/>
          <w:lang w:val="bs-Latn-BA"/>
        </w:rPr>
        <w:t>stanovnika Federacije BiH ima povišenu vrijednost holesterola (=ili&gt;5mmol/l), a 21,2% imaju povišenu vrijednost triglicerida (=ili&gt;1,7mmol/l), bez značajnih razlika među ženama i muškarcima</w:t>
      </w:r>
      <w:r w:rsidR="00030E44">
        <w:rPr>
          <w:rFonts w:ascii="Times New Roman" w:eastAsiaTheme="minorHAnsi" w:hAnsi="Times New Roman"/>
          <w:lang w:val="bs-Latn-BA"/>
        </w:rPr>
        <w:t>.</w:t>
      </w:r>
    </w:p>
    <w:p w:rsidR="00A131AD" w:rsidRPr="00155F80" w:rsidRDefault="00A131AD" w:rsidP="000C0138">
      <w:pPr>
        <w:tabs>
          <w:tab w:val="left" w:pos="550"/>
        </w:tabs>
        <w:spacing w:before="120" w:line="276" w:lineRule="auto"/>
        <w:rPr>
          <w:rFonts w:ascii="Times New Roman" w:hAnsi="Times New Roman"/>
          <w:noProof/>
          <w:lang w:val="bs-Latn-BA"/>
        </w:rPr>
      </w:pPr>
      <w:r w:rsidRPr="00155F80">
        <w:rPr>
          <w:rFonts w:ascii="Times New Roman" w:hAnsi="Times New Roman"/>
          <w:noProof/>
          <w:lang w:val="bs-Latn-BA"/>
        </w:rPr>
        <w:t>Rezultati ovog istraživanja su pokazali da 42,1% odraslih stanovnika ima potencijalnu hipertenziju (sistolni pritisak&gt;140, dijastolički&gt;90mmHg) i/ili koji uzimaju antihipertenzivnu terapiju. Hipertenzija je nešto više zastupljena među muškarcima (45,3%) nego među ženama (38</w:t>
      </w:r>
      <w:r w:rsidRPr="00F83CAD">
        <w:rPr>
          <w:rFonts w:ascii="Times New Roman" w:hAnsi="Times New Roman"/>
          <w:noProof/>
          <w:lang w:val="bs-Latn-BA"/>
        </w:rPr>
        <w:t>,9%). (</w:t>
      </w:r>
      <w:r w:rsidR="00CF430D" w:rsidRPr="00F83CAD">
        <w:rPr>
          <w:rFonts w:ascii="Times New Roman" w:hAnsi="Times New Roman"/>
          <w:noProof/>
          <w:lang w:val="bs-Latn-BA"/>
        </w:rPr>
        <w:t>9</w:t>
      </w:r>
      <w:r w:rsidRPr="00F83CAD">
        <w:rPr>
          <w:rFonts w:ascii="Times New Roman" w:hAnsi="Times New Roman"/>
          <w:noProof/>
          <w:lang w:val="bs-Latn-BA"/>
        </w:rPr>
        <w:t>)</w:t>
      </w:r>
    </w:p>
    <w:p w:rsidR="00CF430D" w:rsidRDefault="00CF430D" w:rsidP="000C0138">
      <w:pPr>
        <w:spacing w:after="160" w:line="276" w:lineRule="auto"/>
        <w:rPr>
          <w:rFonts w:ascii="Times New Roman" w:eastAsiaTheme="minorHAnsi" w:hAnsi="Times New Roman"/>
          <w:lang w:val="bs-Latn-BA"/>
        </w:rPr>
      </w:pPr>
    </w:p>
    <w:p w:rsidR="00A131AD" w:rsidRPr="00A06016" w:rsidRDefault="00A131AD" w:rsidP="00A06016">
      <w:pPr>
        <w:rPr>
          <w:rFonts w:ascii="Times New Roman" w:eastAsiaTheme="minorHAnsi" w:hAnsi="Times New Roman"/>
          <w:b/>
          <w:lang w:val="bs-Latn-BA"/>
        </w:rPr>
      </w:pPr>
      <w:r w:rsidRPr="00A06016">
        <w:rPr>
          <w:rFonts w:ascii="Times New Roman" w:eastAsiaTheme="minorHAnsi" w:hAnsi="Times New Roman"/>
          <w:b/>
          <w:lang w:val="bs-Latn-BA"/>
        </w:rPr>
        <w:t>Maligne neoplazme</w:t>
      </w:r>
    </w:p>
    <w:p w:rsidR="00A06016" w:rsidRPr="00155F80" w:rsidRDefault="00A06016" w:rsidP="00A06016">
      <w:pPr>
        <w:pStyle w:val="Poglavlje3"/>
        <w:ind w:left="1080"/>
        <w:rPr>
          <w:rFonts w:eastAsiaTheme="minorHAnsi"/>
          <w:lang w:val="bs-Latn-BA"/>
        </w:rPr>
      </w:pPr>
    </w:p>
    <w:p w:rsidR="00A131AD" w:rsidRPr="00155F80" w:rsidRDefault="00A131AD" w:rsidP="000C0138">
      <w:pPr>
        <w:spacing w:after="200" w:line="276" w:lineRule="auto"/>
        <w:contextualSpacing/>
        <w:rPr>
          <w:rFonts w:ascii="Times New Roman" w:eastAsia="Calibri" w:hAnsi="Times New Roman"/>
          <w:b/>
          <w:lang w:val="bs-Latn-BA"/>
        </w:rPr>
      </w:pPr>
      <w:r w:rsidRPr="00155F80">
        <w:rPr>
          <w:rFonts w:ascii="Times New Roman" w:eastAsia="Calibri" w:hAnsi="Times New Roman"/>
          <w:b/>
          <w:lang w:val="bs-Latn-BA"/>
        </w:rPr>
        <w:t xml:space="preserve">Trend malignih neoplazmi </w:t>
      </w:r>
    </w:p>
    <w:p w:rsidR="00CF430D" w:rsidRDefault="00CF430D" w:rsidP="000C0138">
      <w:pPr>
        <w:spacing w:after="200" w:line="276" w:lineRule="auto"/>
        <w:contextualSpacing/>
        <w:rPr>
          <w:rFonts w:ascii="Times New Roman" w:eastAsia="Calibri" w:hAnsi="Times New Roman"/>
          <w:b/>
          <w:lang w:val="bs-Latn-BA"/>
        </w:rPr>
      </w:pPr>
    </w:p>
    <w:p w:rsidR="00A131AD" w:rsidRPr="00155F80" w:rsidRDefault="00A131AD" w:rsidP="000C0138">
      <w:pPr>
        <w:spacing w:after="200" w:line="276" w:lineRule="auto"/>
        <w:contextualSpacing/>
        <w:rPr>
          <w:rFonts w:ascii="Times New Roman" w:eastAsia="Calibri" w:hAnsi="Times New Roman"/>
          <w:lang w:val="bs-Latn-BA"/>
        </w:rPr>
      </w:pPr>
      <w:r w:rsidRPr="00155F80">
        <w:rPr>
          <w:rFonts w:ascii="Times New Roman" w:eastAsia="Calibri" w:hAnsi="Times New Roman"/>
          <w:lang w:val="bs-Latn-BA"/>
        </w:rPr>
        <w:t>Registar za rak u Federaciji BiH je uspostavljen 2004. godine kao posebna djelatnost za prikupljanje, analizu i interpretiranje podataka o svakom novom slučaju raka na području FBiH, kroz da</w:t>
      </w:r>
      <w:r w:rsidR="00F751CC">
        <w:rPr>
          <w:rFonts w:ascii="Times New Roman" w:eastAsia="Calibri" w:hAnsi="Times New Roman"/>
          <w:lang w:val="bs-Latn-BA"/>
        </w:rPr>
        <w:t>n</w:t>
      </w:r>
      <w:r w:rsidRPr="00155F80">
        <w:rPr>
          <w:rFonts w:ascii="Times New Roman" w:eastAsia="Calibri" w:hAnsi="Times New Roman"/>
          <w:lang w:val="bs-Latn-BA"/>
        </w:rPr>
        <w:t>o vremensko razdoblje. Cilj izvješ</w:t>
      </w:r>
      <w:r w:rsidR="00F751CC">
        <w:rPr>
          <w:rFonts w:ascii="Times New Roman" w:eastAsia="Calibri" w:hAnsi="Times New Roman"/>
          <w:lang w:val="bs-Latn-BA"/>
        </w:rPr>
        <w:t>ć</w:t>
      </w:r>
      <w:r w:rsidRPr="00155F80">
        <w:rPr>
          <w:rFonts w:ascii="Times New Roman" w:eastAsia="Calibri" w:hAnsi="Times New Roman"/>
          <w:lang w:val="bs-Latn-BA"/>
        </w:rPr>
        <w:t>a je prikazati podatke obol</w:t>
      </w:r>
      <w:r w:rsidR="00F751CC">
        <w:rPr>
          <w:rFonts w:ascii="Times New Roman" w:eastAsia="Calibri" w:hAnsi="Times New Roman"/>
          <w:lang w:val="bs-Latn-BA"/>
        </w:rPr>
        <w:t>i</w:t>
      </w:r>
      <w:r w:rsidRPr="00155F80">
        <w:rPr>
          <w:rFonts w:ascii="Times New Roman" w:eastAsia="Calibri" w:hAnsi="Times New Roman"/>
          <w:lang w:val="bs-Latn-BA"/>
        </w:rPr>
        <w:t>jevanja i umiranja od raka u FBiH u razdoblju 2004-2014.</w:t>
      </w:r>
      <w:r w:rsidR="009E48BE">
        <w:rPr>
          <w:rFonts w:ascii="Times New Roman" w:eastAsia="Calibri" w:hAnsi="Times New Roman"/>
          <w:lang w:val="bs-Latn-BA"/>
        </w:rPr>
        <w:t xml:space="preserve"> </w:t>
      </w:r>
      <w:r w:rsidRPr="00155F80">
        <w:rPr>
          <w:rFonts w:ascii="Times New Roman" w:eastAsia="Calibri" w:hAnsi="Times New Roman"/>
          <w:lang w:val="bs-Latn-BA"/>
        </w:rPr>
        <w:t xml:space="preserve">godine zatim kretanje incidencije malignih neoplazmi, </w:t>
      </w:r>
      <w:r w:rsidR="005901AB">
        <w:rPr>
          <w:rFonts w:ascii="Times New Roman" w:eastAsia="Calibri" w:hAnsi="Times New Roman"/>
          <w:lang w:val="bs-Latn-BA"/>
        </w:rPr>
        <w:t>zemljopisnu</w:t>
      </w:r>
      <w:r w:rsidRPr="00155F80">
        <w:rPr>
          <w:rFonts w:ascii="Times New Roman" w:eastAsia="Calibri" w:hAnsi="Times New Roman"/>
          <w:lang w:val="bs-Latn-BA"/>
        </w:rPr>
        <w:t xml:space="preserve"> distribuciju, spo</w:t>
      </w:r>
      <w:r w:rsidR="00280080" w:rsidRPr="00155F80">
        <w:rPr>
          <w:rFonts w:ascii="Times New Roman" w:eastAsia="Calibri" w:hAnsi="Times New Roman"/>
          <w:lang w:val="bs-Latn-BA"/>
        </w:rPr>
        <w:t>lnu i dobnu strukturu oboljelih</w:t>
      </w:r>
      <w:r w:rsidRPr="00155F80">
        <w:rPr>
          <w:rFonts w:ascii="Times New Roman" w:eastAsia="Calibri" w:hAnsi="Times New Roman"/>
          <w:lang w:val="bs-Latn-BA"/>
        </w:rPr>
        <w:t>.</w:t>
      </w:r>
      <w:r w:rsidR="009E48BE">
        <w:rPr>
          <w:rFonts w:ascii="Times New Roman" w:eastAsia="Calibri" w:hAnsi="Times New Roman"/>
          <w:lang w:val="bs-Latn-BA"/>
        </w:rPr>
        <w:t xml:space="preserve"> </w:t>
      </w:r>
      <w:r w:rsidRPr="00155F80">
        <w:rPr>
          <w:rFonts w:ascii="Times New Roman" w:eastAsia="Calibri" w:hAnsi="Times New Roman"/>
          <w:lang w:val="bs-Latn-BA"/>
        </w:rPr>
        <w:t>U izvješ</w:t>
      </w:r>
      <w:r w:rsidR="00F751CC">
        <w:rPr>
          <w:rFonts w:ascii="Times New Roman" w:eastAsia="Calibri" w:hAnsi="Times New Roman"/>
          <w:lang w:val="bs-Latn-BA"/>
        </w:rPr>
        <w:t>ć</w:t>
      </w:r>
      <w:r w:rsidRPr="00155F80">
        <w:rPr>
          <w:rFonts w:ascii="Times New Roman" w:eastAsia="Calibri" w:hAnsi="Times New Roman"/>
          <w:lang w:val="bs-Latn-BA"/>
        </w:rPr>
        <w:t>u su korišteni poda</w:t>
      </w:r>
      <w:r w:rsidR="00F751CC">
        <w:rPr>
          <w:rFonts w:ascii="Times New Roman" w:eastAsia="Calibri" w:hAnsi="Times New Roman"/>
          <w:lang w:val="bs-Latn-BA"/>
        </w:rPr>
        <w:t>t</w:t>
      </w:r>
      <w:r w:rsidRPr="00155F80">
        <w:rPr>
          <w:rFonts w:ascii="Times New Roman" w:eastAsia="Calibri" w:hAnsi="Times New Roman"/>
          <w:lang w:val="bs-Latn-BA"/>
        </w:rPr>
        <w:t xml:space="preserve">ci Registra za rak o osobama kojima je dijagnoza raka (bez raka kože) postavljena u razdoblju od 2004. do 2014. godine. Zbog mnogobrojnih izvora podataka u </w:t>
      </w:r>
      <w:r w:rsidR="00F751CC">
        <w:rPr>
          <w:rFonts w:ascii="Times New Roman" w:eastAsia="Calibri" w:hAnsi="Times New Roman"/>
          <w:lang w:val="bs-Latn-BA"/>
        </w:rPr>
        <w:t>s</w:t>
      </w:r>
      <w:r w:rsidRPr="00155F80">
        <w:rPr>
          <w:rFonts w:ascii="Times New Roman" w:eastAsia="Calibri" w:hAnsi="Times New Roman"/>
          <w:lang w:val="bs-Latn-BA"/>
        </w:rPr>
        <w:t>vezi prikupljanja malignih neoplazmi njihovo objavljivanje je prilično dugotrajan proces (ne samo kod nas nego i u svijetu i obično traje dvije do tri godine).</w:t>
      </w:r>
    </w:p>
    <w:p w:rsidR="00280080" w:rsidRPr="00155F80" w:rsidRDefault="00280080" w:rsidP="000C0138">
      <w:pPr>
        <w:spacing w:after="200" w:line="276" w:lineRule="auto"/>
        <w:contextualSpacing/>
        <w:rPr>
          <w:rFonts w:ascii="Times New Roman" w:eastAsia="Calibri" w:hAnsi="Times New Roman"/>
          <w:lang w:val="bs-Latn-BA"/>
        </w:rPr>
      </w:pPr>
    </w:p>
    <w:p w:rsidR="00A131AD" w:rsidRPr="00155F80" w:rsidRDefault="00280080" w:rsidP="000C0138">
      <w:pPr>
        <w:spacing w:after="200" w:line="276" w:lineRule="auto"/>
        <w:contextualSpacing/>
        <w:rPr>
          <w:rFonts w:ascii="Times New Roman" w:eastAsia="Calibri" w:hAnsi="Times New Roman"/>
          <w:lang w:val="bs-Latn-BA"/>
        </w:rPr>
      </w:pPr>
      <w:r w:rsidRPr="00155F80">
        <w:rPr>
          <w:rFonts w:ascii="Times New Roman" w:eastAsia="Calibri" w:hAnsi="Times New Roman"/>
          <w:lang w:val="bs-Latn-BA"/>
        </w:rPr>
        <w:t>P</w:t>
      </w:r>
      <w:r w:rsidR="00A131AD" w:rsidRPr="00155F80">
        <w:rPr>
          <w:rFonts w:ascii="Times New Roman" w:eastAsia="Calibri" w:hAnsi="Times New Roman"/>
          <w:lang w:val="bs-Latn-BA"/>
        </w:rPr>
        <w:t>rosječna stopa pojavnosti raka u razdoblju 2004</w:t>
      </w:r>
      <w:r w:rsidR="00F751CC">
        <w:rPr>
          <w:rFonts w:ascii="Times New Roman" w:eastAsia="Calibri" w:hAnsi="Times New Roman"/>
          <w:lang w:val="bs-Latn-BA"/>
        </w:rPr>
        <w:t>.</w:t>
      </w:r>
      <w:r w:rsidR="00A131AD" w:rsidRPr="00155F80">
        <w:rPr>
          <w:rFonts w:ascii="Times New Roman" w:eastAsia="Calibri" w:hAnsi="Times New Roman"/>
          <w:lang w:val="bs-Latn-BA"/>
        </w:rPr>
        <w:t>-2014. godine u muškaraca iznosi 209,9/</w:t>
      </w:r>
      <w:r w:rsidR="001A2977">
        <w:rPr>
          <w:rFonts w:ascii="Times New Roman" w:eastAsia="Calibri" w:hAnsi="Times New Roman"/>
          <w:lang w:val="bs-Latn-BA"/>
        </w:rPr>
        <w:t xml:space="preserve">100000, a u žena 186,9/100000. </w:t>
      </w:r>
    </w:p>
    <w:p w:rsidR="00A131AD" w:rsidRPr="00155F80" w:rsidRDefault="00A131AD" w:rsidP="00EB7CC7">
      <w:pPr>
        <w:pStyle w:val="refererere"/>
        <w:rPr>
          <w:rFonts w:eastAsia="Calibri"/>
          <w:lang w:val="bs-Latn-BA"/>
        </w:rPr>
      </w:pPr>
      <w:r w:rsidRPr="00155F80">
        <w:rPr>
          <w:rFonts w:eastAsia="Calibri"/>
          <w:lang w:val="bs-Latn-BA"/>
        </w:rPr>
        <w:lastRenderedPageBreak/>
        <w:t>Grafikon 28: Kretanje stope oboljevanja od raka (bez raka kože) po spolu u Federaciji BiH, za period 2004.- 2014.godina</w:t>
      </w:r>
    </w:p>
    <w:p w:rsidR="00A131AD" w:rsidRPr="00155F80" w:rsidRDefault="008D56DE" w:rsidP="000C0138">
      <w:pPr>
        <w:spacing w:after="200" w:line="276" w:lineRule="auto"/>
        <w:jc w:val="left"/>
        <w:rPr>
          <w:rFonts w:ascii="Times New Roman" w:eastAsia="Calibri" w:hAnsi="Times New Roman"/>
          <w:lang w:val="hr-HR"/>
        </w:rPr>
      </w:pPr>
      <w:r>
        <w:rPr>
          <w:noProof/>
          <w:lang w:val="bs-Latn-BA" w:eastAsia="bs-Latn-BA"/>
        </w:rPr>
        <w:drawing>
          <wp:inline distT="0" distB="0" distL="0" distR="0" wp14:anchorId="0505E967" wp14:editId="4ED7BC47">
            <wp:extent cx="5760720" cy="2131060"/>
            <wp:effectExtent l="0" t="0" r="11430" b="2540"/>
            <wp:docPr id="91" name="Chart 91"/>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A131AD" w:rsidRPr="00155F80" w:rsidRDefault="00A131AD" w:rsidP="000C0138">
      <w:pPr>
        <w:spacing w:after="200" w:line="276" w:lineRule="auto"/>
        <w:jc w:val="left"/>
        <w:rPr>
          <w:rFonts w:ascii="Times New Roman" w:eastAsia="Calibri" w:hAnsi="Times New Roman"/>
          <w:lang w:val="bs-Latn-BA"/>
        </w:rPr>
      </w:pPr>
      <w:r w:rsidRPr="00155F80">
        <w:rPr>
          <w:rFonts w:ascii="Times New Roman" w:eastAsia="Calibri" w:hAnsi="Times New Roman"/>
          <w:lang w:val="bs-Latn-BA"/>
        </w:rPr>
        <w:t>Broj novoregistriranih malignih neoplazmi redovito je ve</w:t>
      </w:r>
      <w:r w:rsidR="00280080" w:rsidRPr="00155F80">
        <w:rPr>
          <w:rFonts w:ascii="Times New Roman" w:eastAsia="Calibri" w:hAnsi="Times New Roman"/>
          <w:lang w:val="bs-Latn-BA"/>
        </w:rPr>
        <w:t>ći u muškaraca nego u žena. (51,</w:t>
      </w:r>
      <w:r w:rsidRPr="00155F80">
        <w:rPr>
          <w:rFonts w:ascii="Times New Roman" w:eastAsia="Calibri" w:hAnsi="Times New Roman"/>
          <w:lang w:val="bs-Latn-BA"/>
        </w:rPr>
        <w:t>7% : 48,3% u 2014.</w:t>
      </w:r>
      <w:r w:rsidR="00280080" w:rsidRPr="00155F80">
        <w:rPr>
          <w:rFonts w:ascii="Times New Roman" w:eastAsia="Calibri" w:hAnsi="Times New Roman"/>
          <w:lang w:val="bs-Latn-BA"/>
        </w:rPr>
        <w:t xml:space="preserve"> </w:t>
      </w:r>
      <w:r w:rsidRPr="00155F80">
        <w:rPr>
          <w:rFonts w:ascii="Times New Roman" w:eastAsia="Calibri" w:hAnsi="Times New Roman"/>
          <w:lang w:val="bs-Latn-BA"/>
        </w:rPr>
        <w:t>godini).</w:t>
      </w:r>
    </w:p>
    <w:p w:rsidR="00A131AD" w:rsidRPr="00155F80" w:rsidRDefault="00A131AD" w:rsidP="000C0138">
      <w:pPr>
        <w:spacing w:after="200" w:line="276" w:lineRule="auto"/>
        <w:jc w:val="left"/>
        <w:rPr>
          <w:rFonts w:ascii="Times New Roman" w:eastAsia="Calibri" w:hAnsi="Times New Roman"/>
          <w:lang w:val="bs-Latn-BA"/>
        </w:rPr>
      </w:pPr>
      <w:r w:rsidRPr="00155F80">
        <w:rPr>
          <w:rFonts w:ascii="Times New Roman" w:eastAsia="Calibri" w:hAnsi="Times New Roman"/>
          <w:lang w:val="bs-Latn-BA"/>
        </w:rPr>
        <w:t>Prosječna dob registriranih oboljelih je 63 godine (64 kod muškaraca, 62 godine kod žena).</w:t>
      </w:r>
    </w:p>
    <w:p w:rsidR="00A131AD" w:rsidRPr="00155F80" w:rsidRDefault="00A131AD" w:rsidP="00EB7CC7">
      <w:pPr>
        <w:pStyle w:val="refererere"/>
        <w:rPr>
          <w:rFonts w:eastAsia="Calibri"/>
          <w:lang w:val="bs-Latn-BA"/>
        </w:rPr>
      </w:pPr>
      <w:r w:rsidRPr="00155F80">
        <w:rPr>
          <w:rFonts w:eastAsia="Calibri"/>
          <w:lang w:val="bs-Latn-BA"/>
        </w:rPr>
        <w:t>Grafikon 29: Incidenc</w:t>
      </w:r>
      <w:r w:rsidR="00F751CC">
        <w:rPr>
          <w:rFonts w:eastAsia="Calibri"/>
          <w:lang w:val="bs-Latn-BA"/>
        </w:rPr>
        <w:t>ij</w:t>
      </w:r>
      <w:r w:rsidRPr="00155F80">
        <w:rPr>
          <w:rFonts w:eastAsia="Calibri"/>
          <w:lang w:val="bs-Latn-BA"/>
        </w:rPr>
        <w:t>a obol</w:t>
      </w:r>
      <w:r w:rsidR="00F751CC">
        <w:rPr>
          <w:rFonts w:eastAsia="Calibri"/>
          <w:lang w:val="bs-Latn-BA"/>
        </w:rPr>
        <w:t>i</w:t>
      </w:r>
      <w:r w:rsidRPr="00155F80">
        <w:rPr>
          <w:rFonts w:eastAsia="Calibri"/>
          <w:lang w:val="bs-Latn-BA"/>
        </w:rPr>
        <w:t>jevanja od raka prema spolu i dobnim skupinama u Federaciji BiH, 2014.godina</w:t>
      </w:r>
    </w:p>
    <w:p w:rsidR="00A131AD" w:rsidRPr="00155F80" w:rsidRDefault="00172ABA" w:rsidP="000C0138">
      <w:pPr>
        <w:spacing w:after="200" w:line="276" w:lineRule="auto"/>
        <w:jc w:val="left"/>
        <w:rPr>
          <w:rFonts w:ascii="Times New Roman" w:eastAsia="Calibri" w:hAnsi="Times New Roman"/>
          <w:lang w:val="hr-HR"/>
        </w:rPr>
      </w:pPr>
      <w:r>
        <w:rPr>
          <w:noProof/>
          <w:lang w:val="bs-Latn-BA" w:eastAsia="bs-Latn-BA"/>
        </w:rPr>
        <w:drawing>
          <wp:inline distT="0" distB="0" distL="0" distR="0" wp14:anchorId="455EE1E9" wp14:editId="640D739F">
            <wp:extent cx="5666740" cy="2000250"/>
            <wp:effectExtent l="0" t="0" r="10160" b="0"/>
            <wp:docPr id="88" name="Chart 88"/>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A131AD" w:rsidRPr="00155F80" w:rsidRDefault="00A131AD" w:rsidP="000C0138">
      <w:pPr>
        <w:spacing w:after="200" w:line="276" w:lineRule="auto"/>
        <w:jc w:val="left"/>
        <w:rPr>
          <w:rFonts w:ascii="Times New Roman" w:eastAsia="Calibri" w:hAnsi="Times New Roman"/>
          <w:noProof/>
          <w:lang w:val="en-US"/>
        </w:rPr>
      </w:pPr>
      <w:r w:rsidRPr="00155F80">
        <w:rPr>
          <w:rFonts w:ascii="Times New Roman" w:eastAsia="Calibri" w:hAnsi="Times New Roman"/>
          <w:noProof/>
          <w:lang w:val="en-US"/>
        </w:rPr>
        <w:t>Najniža stopa obol</w:t>
      </w:r>
      <w:r w:rsidR="00F751CC">
        <w:rPr>
          <w:rFonts w:ascii="Times New Roman" w:eastAsia="Calibri" w:hAnsi="Times New Roman"/>
          <w:noProof/>
          <w:lang w:val="en-US"/>
        </w:rPr>
        <w:t>i</w:t>
      </w:r>
      <w:r w:rsidRPr="00155F80">
        <w:rPr>
          <w:rFonts w:ascii="Times New Roman" w:eastAsia="Calibri" w:hAnsi="Times New Roman"/>
          <w:noProof/>
          <w:lang w:val="en-US"/>
        </w:rPr>
        <w:t>jevanja od raka registrira s</w:t>
      </w:r>
      <w:r w:rsidR="00F2242B">
        <w:rPr>
          <w:rFonts w:ascii="Times New Roman" w:eastAsia="Calibri" w:hAnsi="Times New Roman"/>
          <w:noProof/>
          <w:lang w:val="en-US"/>
        </w:rPr>
        <w:t>e u dobnoj skupini od 0-14, raste starošću,</w:t>
      </w:r>
      <w:r w:rsidRPr="00155F80">
        <w:rPr>
          <w:rFonts w:ascii="Times New Roman" w:eastAsia="Calibri" w:hAnsi="Times New Roman"/>
          <w:noProof/>
          <w:lang w:val="en-US"/>
        </w:rPr>
        <w:t xml:space="preserve"> te dosežu najveću </w:t>
      </w:r>
      <w:r w:rsidR="00F2242B">
        <w:rPr>
          <w:rFonts w:ascii="Times New Roman" w:eastAsia="Calibri" w:hAnsi="Times New Roman"/>
          <w:noProof/>
          <w:lang w:val="en-US"/>
        </w:rPr>
        <w:t>vrijednost</w:t>
      </w:r>
      <w:r w:rsidRPr="00155F80">
        <w:rPr>
          <w:rFonts w:ascii="Times New Roman" w:eastAsia="Calibri" w:hAnsi="Times New Roman"/>
          <w:noProof/>
          <w:lang w:val="en-US"/>
        </w:rPr>
        <w:t xml:space="preserve"> u dobnoj skupini 65 i više godina. U dobi od 25 do 54 primjetna je veća stopa obol</w:t>
      </w:r>
      <w:r w:rsidR="00F751CC">
        <w:rPr>
          <w:rFonts w:ascii="Times New Roman" w:eastAsia="Calibri" w:hAnsi="Times New Roman"/>
          <w:noProof/>
          <w:lang w:val="en-US"/>
        </w:rPr>
        <w:t>i</w:t>
      </w:r>
      <w:r w:rsidRPr="00155F80">
        <w:rPr>
          <w:rFonts w:ascii="Times New Roman" w:eastAsia="Calibri" w:hAnsi="Times New Roman"/>
          <w:noProof/>
          <w:lang w:val="en-US"/>
        </w:rPr>
        <w:t>jevanja žena u odnosu na muškarce.</w:t>
      </w:r>
    </w:p>
    <w:p w:rsidR="00A131AD" w:rsidRPr="00155F80" w:rsidRDefault="00A131AD" w:rsidP="00EB7CC7">
      <w:pPr>
        <w:pStyle w:val="refererere"/>
        <w:rPr>
          <w:rFonts w:eastAsia="Calibri"/>
          <w:noProof/>
          <w:lang w:val="en-US"/>
        </w:rPr>
      </w:pPr>
      <w:r w:rsidRPr="00155F80">
        <w:rPr>
          <w:rFonts w:eastAsia="Calibri"/>
          <w:noProof/>
          <w:lang w:val="en-US"/>
        </w:rPr>
        <w:t>Grafikon 30: Incidenc</w:t>
      </w:r>
      <w:r w:rsidR="00F751CC">
        <w:rPr>
          <w:rFonts w:eastAsia="Calibri"/>
          <w:noProof/>
          <w:lang w:val="en-US"/>
        </w:rPr>
        <w:t>ij</w:t>
      </w:r>
      <w:r w:rsidRPr="00155F80">
        <w:rPr>
          <w:rFonts w:eastAsia="Calibri"/>
          <w:noProof/>
          <w:lang w:val="en-US"/>
        </w:rPr>
        <w:t>a obol</w:t>
      </w:r>
      <w:r w:rsidR="00F751CC">
        <w:rPr>
          <w:rFonts w:eastAsia="Calibri"/>
          <w:noProof/>
          <w:lang w:val="en-US"/>
        </w:rPr>
        <w:t>i</w:t>
      </w:r>
      <w:r w:rsidRPr="00155F80">
        <w:rPr>
          <w:rFonts w:eastAsia="Calibri"/>
          <w:noProof/>
          <w:lang w:val="en-US"/>
        </w:rPr>
        <w:t>jevanja od raka kod muškaraca po kantonima u Federaciji BiH, 2014.godina, stopa na 100.000 stanovnika</w:t>
      </w:r>
    </w:p>
    <w:p w:rsidR="00A131AD" w:rsidRPr="00155F80" w:rsidRDefault="00A131AD" w:rsidP="000C0138">
      <w:pPr>
        <w:spacing w:after="200" w:line="276" w:lineRule="auto"/>
        <w:jc w:val="left"/>
        <w:rPr>
          <w:rFonts w:ascii="Times New Roman" w:eastAsia="Calibri" w:hAnsi="Times New Roman"/>
          <w:lang w:val="hr-HR"/>
        </w:rPr>
      </w:pPr>
      <w:r w:rsidRPr="00155F80">
        <w:rPr>
          <w:rFonts w:ascii="Times New Roman" w:eastAsia="Calibri" w:hAnsi="Times New Roman"/>
          <w:noProof/>
          <w:lang w:val="bs-Latn-BA" w:eastAsia="bs-Latn-BA"/>
        </w:rPr>
        <w:drawing>
          <wp:inline distT="0" distB="0" distL="0" distR="0" wp14:anchorId="73197BA4" wp14:editId="33A93D76">
            <wp:extent cx="5722620" cy="1914525"/>
            <wp:effectExtent l="0" t="0" r="0" b="952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28739" cy="1916572"/>
                    </a:xfrm>
                    <a:prstGeom prst="rect">
                      <a:avLst/>
                    </a:prstGeom>
                    <a:noFill/>
                  </pic:spPr>
                </pic:pic>
              </a:graphicData>
            </a:graphic>
          </wp:inline>
        </w:drawing>
      </w:r>
    </w:p>
    <w:p w:rsidR="00A131AD" w:rsidRPr="00155F80" w:rsidRDefault="00A131AD" w:rsidP="00FB3114">
      <w:pPr>
        <w:spacing w:after="200" w:line="276" w:lineRule="auto"/>
        <w:jc w:val="left"/>
        <w:rPr>
          <w:rFonts w:ascii="Times New Roman" w:eastAsia="Calibri" w:hAnsi="Times New Roman"/>
          <w:noProof/>
          <w:lang w:val="en-US"/>
        </w:rPr>
      </w:pPr>
      <w:r w:rsidRPr="00155F80">
        <w:rPr>
          <w:rFonts w:ascii="Times New Roman" w:eastAsia="Calibri" w:hAnsi="Times New Roman"/>
          <w:noProof/>
          <w:lang w:val="en-US"/>
        </w:rPr>
        <w:lastRenderedPageBreak/>
        <w:t xml:space="preserve">U odnosu na </w:t>
      </w:r>
      <w:r w:rsidR="005901AB">
        <w:rPr>
          <w:rFonts w:ascii="Times New Roman" w:eastAsia="Calibri" w:hAnsi="Times New Roman"/>
          <w:noProof/>
          <w:lang w:val="en-US"/>
        </w:rPr>
        <w:t>zemljopisnu</w:t>
      </w:r>
      <w:r w:rsidRPr="00155F80">
        <w:rPr>
          <w:rFonts w:ascii="Times New Roman" w:eastAsia="Calibri" w:hAnsi="Times New Roman"/>
          <w:noProof/>
          <w:lang w:val="en-US"/>
        </w:rPr>
        <w:t xml:space="preserve"> distribuciju registri</w:t>
      </w:r>
      <w:r w:rsidR="004727C8" w:rsidRPr="00155F80">
        <w:rPr>
          <w:rFonts w:ascii="Times New Roman" w:eastAsia="Calibri" w:hAnsi="Times New Roman"/>
          <w:noProof/>
          <w:lang w:val="en-US"/>
        </w:rPr>
        <w:t>ranih malignih neoplazmi, najveć</w:t>
      </w:r>
      <w:r w:rsidRPr="00155F80">
        <w:rPr>
          <w:rFonts w:ascii="Times New Roman" w:eastAsia="Calibri" w:hAnsi="Times New Roman"/>
          <w:noProof/>
          <w:lang w:val="en-US"/>
        </w:rPr>
        <w:t xml:space="preserve">a stopa </w:t>
      </w:r>
      <w:r w:rsidR="004727C8" w:rsidRPr="00155F80">
        <w:rPr>
          <w:rFonts w:ascii="Times New Roman" w:eastAsia="Calibri" w:hAnsi="Times New Roman"/>
          <w:noProof/>
          <w:lang w:val="en-US"/>
        </w:rPr>
        <w:t xml:space="preserve">obolijevanja kod </w:t>
      </w:r>
      <w:r w:rsidRPr="00155F80">
        <w:rPr>
          <w:rFonts w:ascii="Times New Roman" w:eastAsia="Calibri" w:hAnsi="Times New Roman"/>
          <w:noProof/>
          <w:lang w:val="en-US"/>
        </w:rPr>
        <w:t xml:space="preserve"> muškaraca je u Hercegovačko-neretvan</w:t>
      </w:r>
      <w:r w:rsidR="004727C8" w:rsidRPr="00155F80">
        <w:rPr>
          <w:rFonts w:ascii="Times New Roman" w:eastAsia="Calibri" w:hAnsi="Times New Roman"/>
          <w:noProof/>
          <w:lang w:val="en-US"/>
        </w:rPr>
        <w:t>skom kantonu (371,2/100000), a kod</w:t>
      </w:r>
      <w:r w:rsidRPr="00155F80">
        <w:rPr>
          <w:rFonts w:ascii="Times New Roman" w:eastAsia="Calibri" w:hAnsi="Times New Roman"/>
          <w:noProof/>
          <w:lang w:val="en-US"/>
        </w:rPr>
        <w:t xml:space="preserve"> žena u Posavskom kantonu (299,8/100000). </w:t>
      </w:r>
      <w:r w:rsidR="004727C8" w:rsidRPr="00155F80">
        <w:rPr>
          <w:rFonts w:ascii="Times New Roman" w:eastAsia="Calibri" w:hAnsi="Times New Roman"/>
          <w:noProof/>
          <w:lang w:val="en-US"/>
        </w:rPr>
        <w:t>Nasuprot tome, najmanja stopa obolijevanja kod</w:t>
      </w:r>
      <w:r w:rsidRPr="00155F80">
        <w:rPr>
          <w:rFonts w:ascii="Times New Roman" w:eastAsia="Calibri" w:hAnsi="Times New Roman"/>
          <w:noProof/>
          <w:lang w:val="en-US"/>
        </w:rPr>
        <w:t xml:space="preserve"> muškaraca (84,7/100</w:t>
      </w:r>
      <w:r w:rsidR="00E8761D" w:rsidRPr="00155F80">
        <w:rPr>
          <w:rFonts w:ascii="Times New Roman" w:eastAsia="Calibri" w:hAnsi="Times New Roman"/>
          <w:noProof/>
          <w:lang w:val="en-US"/>
        </w:rPr>
        <w:t>.</w:t>
      </w:r>
      <w:r w:rsidRPr="00155F80">
        <w:rPr>
          <w:rFonts w:ascii="Times New Roman" w:eastAsia="Calibri" w:hAnsi="Times New Roman"/>
          <w:noProof/>
          <w:lang w:val="en-US"/>
        </w:rPr>
        <w:t xml:space="preserve">000) i </w:t>
      </w:r>
      <w:r w:rsidR="004727C8" w:rsidRPr="00155F80">
        <w:rPr>
          <w:rFonts w:ascii="Times New Roman" w:eastAsia="Calibri" w:hAnsi="Times New Roman"/>
          <w:noProof/>
          <w:lang w:val="en-US"/>
        </w:rPr>
        <w:t xml:space="preserve">kod </w:t>
      </w:r>
      <w:r w:rsidRPr="00155F80">
        <w:rPr>
          <w:rFonts w:ascii="Times New Roman" w:eastAsia="Calibri" w:hAnsi="Times New Roman"/>
          <w:noProof/>
          <w:lang w:val="en-US"/>
        </w:rPr>
        <w:t xml:space="preserve">žena </w:t>
      </w:r>
      <w:r w:rsidR="00E8761D" w:rsidRPr="00155F80">
        <w:rPr>
          <w:rFonts w:ascii="Times New Roman" w:eastAsia="Calibri" w:hAnsi="Times New Roman"/>
          <w:noProof/>
          <w:lang w:val="en-US"/>
        </w:rPr>
        <w:t>(51,9/100.000) je u Herceg-bosanskom kantonu</w:t>
      </w:r>
      <w:r w:rsidR="00FB3114">
        <w:rPr>
          <w:rFonts w:ascii="Times New Roman" w:eastAsia="Calibri" w:hAnsi="Times New Roman"/>
          <w:noProof/>
          <w:lang w:val="en-US"/>
        </w:rPr>
        <w:t>.</w:t>
      </w:r>
    </w:p>
    <w:p w:rsidR="00F2242B" w:rsidRDefault="00A131AD" w:rsidP="00FB3114">
      <w:pPr>
        <w:pStyle w:val="refererere"/>
        <w:rPr>
          <w:rFonts w:eastAsia="Calibri"/>
          <w:noProof/>
          <w:lang w:val="bs-Latn-BA" w:eastAsia="bs-Latn-BA"/>
        </w:rPr>
      </w:pPr>
      <w:r w:rsidRPr="00155F80">
        <w:rPr>
          <w:rFonts w:eastAsia="Calibri"/>
          <w:noProof/>
          <w:lang w:val="en-US"/>
        </w:rPr>
        <w:t>Grafikon 31: Incidenc</w:t>
      </w:r>
      <w:r w:rsidR="00F751CC">
        <w:rPr>
          <w:rFonts w:eastAsia="Calibri"/>
          <w:noProof/>
          <w:lang w:val="en-US"/>
        </w:rPr>
        <w:t>ij</w:t>
      </w:r>
      <w:r w:rsidRPr="00155F80">
        <w:rPr>
          <w:rFonts w:eastAsia="Calibri"/>
          <w:noProof/>
          <w:lang w:val="en-US"/>
        </w:rPr>
        <w:t>a obol</w:t>
      </w:r>
      <w:r w:rsidR="00F751CC">
        <w:rPr>
          <w:rFonts w:eastAsia="Calibri"/>
          <w:noProof/>
          <w:lang w:val="en-US"/>
        </w:rPr>
        <w:t>i</w:t>
      </w:r>
      <w:r w:rsidRPr="00155F80">
        <w:rPr>
          <w:rFonts w:eastAsia="Calibri"/>
          <w:noProof/>
          <w:lang w:val="en-US"/>
        </w:rPr>
        <w:t>jevanja od raka kod žena po kantonima u Federaciji BiH, 2014.godina, stopa na 100.000 stanovnika</w:t>
      </w:r>
    </w:p>
    <w:p w:rsidR="00A131AD" w:rsidRPr="00155F80" w:rsidRDefault="00A131AD" w:rsidP="000C0138">
      <w:pPr>
        <w:spacing w:after="200" w:line="276" w:lineRule="auto"/>
        <w:jc w:val="left"/>
        <w:rPr>
          <w:rFonts w:ascii="Times New Roman" w:eastAsia="Calibri" w:hAnsi="Times New Roman"/>
          <w:lang w:val="hr-HR"/>
        </w:rPr>
      </w:pPr>
      <w:r w:rsidRPr="00155F80">
        <w:rPr>
          <w:rFonts w:ascii="Times New Roman" w:eastAsia="Calibri" w:hAnsi="Times New Roman"/>
          <w:noProof/>
          <w:lang w:val="bs-Latn-BA" w:eastAsia="bs-Latn-BA"/>
        </w:rPr>
        <w:drawing>
          <wp:inline distT="0" distB="0" distL="0" distR="0" wp14:anchorId="7EA7AD82" wp14:editId="01B845AC">
            <wp:extent cx="5724525" cy="2085774"/>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55704" cy="2097134"/>
                    </a:xfrm>
                    <a:prstGeom prst="rect">
                      <a:avLst/>
                    </a:prstGeom>
                    <a:noFill/>
                  </pic:spPr>
                </pic:pic>
              </a:graphicData>
            </a:graphic>
          </wp:inline>
        </w:drawing>
      </w:r>
    </w:p>
    <w:p w:rsidR="00F2242B" w:rsidRPr="00155F80" w:rsidRDefault="00F2242B" w:rsidP="00F2242B">
      <w:pPr>
        <w:spacing w:after="200" w:line="276" w:lineRule="auto"/>
        <w:contextualSpacing/>
        <w:rPr>
          <w:rFonts w:ascii="Times New Roman" w:eastAsia="Calibri" w:hAnsi="Times New Roman"/>
          <w:noProof/>
          <w:lang w:val="en-US"/>
        </w:rPr>
      </w:pPr>
      <w:r w:rsidRPr="00155F80">
        <w:rPr>
          <w:rFonts w:ascii="Times New Roman" w:eastAsia="Calibri" w:hAnsi="Times New Roman"/>
          <w:noProof/>
          <w:lang w:val="en-US"/>
        </w:rPr>
        <w:t>Deset najčešćih lokalizacija raka u muškaraca u FBiH u 2014.</w:t>
      </w:r>
      <w:r>
        <w:rPr>
          <w:rFonts w:ascii="Times New Roman" w:eastAsia="Calibri" w:hAnsi="Times New Roman"/>
          <w:noProof/>
          <w:lang w:val="en-US"/>
        </w:rPr>
        <w:t xml:space="preserve"> </w:t>
      </w:r>
      <w:r w:rsidRPr="00155F80">
        <w:rPr>
          <w:rFonts w:ascii="Times New Roman" w:eastAsia="Calibri" w:hAnsi="Times New Roman"/>
          <w:noProof/>
          <w:lang w:val="en-US"/>
        </w:rPr>
        <w:t>g</w:t>
      </w:r>
      <w:r>
        <w:rPr>
          <w:rFonts w:ascii="Times New Roman" w:eastAsia="Calibri" w:hAnsi="Times New Roman"/>
          <w:noProof/>
          <w:lang w:val="en-US"/>
        </w:rPr>
        <w:t>odini čine 66,9% svih</w:t>
      </w:r>
      <w:r w:rsidRPr="00155F80">
        <w:rPr>
          <w:rFonts w:ascii="Times New Roman" w:eastAsia="Calibri" w:hAnsi="Times New Roman"/>
          <w:noProof/>
          <w:lang w:val="en-US"/>
        </w:rPr>
        <w:t xml:space="preserve"> registr</w:t>
      </w:r>
      <w:r w:rsidR="00F751CC">
        <w:rPr>
          <w:rFonts w:ascii="Times New Roman" w:eastAsia="Calibri" w:hAnsi="Times New Roman"/>
          <w:noProof/>
          <w:lang w:val="en-US"/>
        </w:rPr>
        <w:t>iranih</w:t>
      </w:r>
      <w:r w:rsidRPr="00155F80">
        <w:rPr>
          <w:rFonts w:ascii="Times New Roman" w:eastAsia="Calibri" w:hAnsi="Times New Roman"/>
          <w:noProof/>
          <w:lang w:val="en-US"/>
        </w:rPr>
        <w:t xml:space="preserve"> slučajeva raka u muškaraca. Vodeći, prema lokalizaciji su rak di</w:t>
      </w:r>
      <w:r w:rsidR="00C861DA">
        <w:rPr>
          <w:rFonts w:ascii="Times New Roman" w:eastAsia="Calibri" w:hAnsi="Times New Roman"/>
          <w:noProof/>
          <w:lang w:val="en-US"/>
        </w:rPr>
        <w:t>šnog</w:t>
      </w:r>
      <w:r w:rsidRPr="00155F80">
        <w:rPr>
          <w:rFonts w:ascii="Times New Roman" w:eastAsia="Calibri" w:hAnsi="Times New Roman"/>
          <w:noProof/>
          <w:lang w:val="en-US"/>
        </w:rPr>
        <w:t xml:space="preserve"> s</w:t>
      </w:r>
      <w:r w:rsidR="00C651BA">
        <w:rPr>
          <w:rFonts w:ascii="Times New Roman" w:eastAsia="Calibri" w:hAnsi="Times New Roman"/>
          <w:noProof/>
          <w:lang w:val="en-US"/>
        </w:rPr>
        <w:t>ustava</w:t>
      </w:r>
      <w:r w:rsidRPr="00155F80">
        <w:rPr>
          <w:rFonts w:ascii="Times New Roman" w:eastAsia="Calibri" w:hAnsi="Times New Roman"/>
          <w:noProof/>
          <w:lang w:val="en-US"/>
        </w:rPr>
        <w:t xml:space="preserve"> (p</w:t>
      </w:r>
      <w:r w:rsidRPr="00155F80">
        <w:rPr>
          <w:rFonts w:ascii="Times New Roman" w:hAnsi="Times New Roman"/>
          <w:color w:val="000000"/>
          <w:lang w:val="en-US"/>
        </w:rPr>
        <w:t xml:space="preserve">luća, bronh, traheja) koji čine (24,8%), zatim rak prostate (9,4%), rak želuca (5,7%) svih novodijagnosticiranih neoplazmi u muškaraca. </w:t>
      </w:r>
    </w:p>
    <w:p w:rsidR="00A131AD" w:rsidRPr="00155F80" w:rsidRDefault="00A131AD" w:rsidP="00EB7CC7">
      <w:pPr>
        <w:pStyle w:val="refererere"/>
        <w:rPr>
          <w:rFonts w:eastAsia="Calibri"/>
          <w:noProof/>
          <w:lang w:val="en-US"/>
        </w:rPr>
      </w:pPr>
      <w:r w:rsidRPr="00155F80">
        <w:rPr>
          <w:rFonts w:eastAsia="Calibri"/>
          <w:noProof/>
          <w:lang w:val="en-US"/>
        </w:rPr>
        <w:t>Tabl</w:t>
      </w:r>
      <w:r w:rsidR="00FE3B0D">
        <w:rPr>
          <w:rFonts w:eastAsia="Calibri"/>
          <w:noProof/>
          <w:lang w:val="en-US"/>
        </w:rPr>
        <w:t>ic</w:t>
      </w:r>
      <w:r w:rsidRPr="00155F80">
        <w:rPr>
          <w:rFonts w:eastAsia="Calibri"/>
          <w:noProof/>
          <w:lang w:val="en-US"/>
        </w:rPr>
        <w:t>a 1: Najčešće lokalizacije raka u muškaraca u Federaciji BiH, 2014.godina</w:t>
      </w:r>
    </w:p>
    <w:tbl>
      <w:tblPr>
        <w:tblW w:w="8539" w:type="dxa"/>
        <w:tblInd w:w="93" w:type="dxa"/>
        <w:tblLook w:val="04A0" w:firstRow="1" w:lastRow="0" w:firstColumn="1" w:lastColumn="0" w:noHBand="0" w:noVBand="1"/>
      </w:tblPr>
      <w:tblGrid>
        <w:gridCol w:w="723"/>
        <w:gridCol w:w="1082"/>
        <w:gridCol w:w="1978"/>
        <w:gridCol w:w="1698"/>
        <w:gridCol w:w="1361"/>
        <w:gridCol w:w="1697"/>
      </w:tblGrid>
      <w:tr w:rsidR="00A131AD" w:rsidRPr="00FB3114" w:rsidTr="001911A6">
        <w:trPr>
          <w:trHeight w:val="578"/>
        </w:trPr>
        <w:tc>
          <w:tcPr>
            <w:tcW w:w="723" w:type="dxa"/>
            <w:tcBorders>
              <w:top w:val="single" w:sz="12" w:space="0" w:color="7F7F7F"/>
              <w:left w:val="single" w:sz="12" w:space="0" w:color="7F7F7F"/>
              <w:bottom w:val="single" w:sz="4" w:space="0" w:color="auto"/>
              <w:right w:val="single" w:sz="4" w:space="0" w:color="auto"/>
            </w:tcBorders>
            <w:shd w:val="clear" w:color="000000" w:fill="BFBFBF"/>
            <w:noWrap/>
            <w:vAlign w:val="center"/>
            <w:hideMark/>
          </w:tcPr>
          <w:p w:rsidR="00A131AD" w:rsidRPr="00FB3114" w:rsidRDefault="00A131AD" w:rsidP="000C0138">
            <w:pPr>
              <w:pStyle w:val="NoSpacing"/>
              <w:spacing w:line="276" w:lineRule="auto"/>
              <w:rPr>
                <w:sz w:val="22"/>
                <w:szCs w:val="22"/>
                <w:lang w:val="en-US"/>
              </w:rPr>
            </w:pPr>
            <w:r w:rsidRPr="00FB3114">
              <w:rPr>
                <w:sz w:val="22"/>
                <w:szCs w:val="22"/>
                <w:lang w:val="en-US"/>
              </w:rPr>
              <w:t>Rang</w:t>
            </w:r>
          </w:p>
        </w:tc>
        <w:tc>
          <w:tcPr>
            <w:tcW w:w="1082" w:type="dxa"/>
            <w:tcBorders>
              <w:top w:val="single" w:sz="12" w:space="0" w:color="7F7F7F"/>
              <w:left w:val="single" w:sz="4" w:space="0" w:color="auto"/>
              <w:bottom w:val="single" w:sz="4" w:space="0" w:color="auto"/>
              <w:right w:val="single" w:sz="4" w:space="0" w:color="auto"/>
            </w:tcBorders>
            <w:shd w:val="clear" w:color="000000" w:fill="BFBFBF"/>
            <w:noWrap/>
            <w:vAlign w:val="center"/>
            <w:hideMark/>
          </w:tcPr>
          <w:p w:rsidR="00A131AD" w:rsidRPr="00FB3114" w:rsidRDefault="00A131AD" w:rsidP="000C0138">
            <w:pPr>
              <w:pStyle w:val="NoSpacing"/>
              <w:spacing w:line="276" w:lineRule="auto"/>
              <w:rPr>
                <w:sz w:val="22"/>
                <w:szCs w:val="22"/>
                <w:lang w:val="en-US"/>
              </w:rPr>
            </w:pPr>
            <w:r w:rsidRPr="00FB3114">
              <w:rPr>
                <w:sz w:val="22"/>
                <w:szCs w:val="22"/>
                <w:lang w:val="en-US"/>
              </w:rPr>
              <w:t>MKB-10</w:t>
            </w:r>
          </w:p>
        </w:tc>
        <w:tc>
          <w:tcPr>
            <w:tcW w:w="1978" w:type="dxa"/>
            <w:tcBorders>
              <w:top w:val="single" w:sz="12" w:space="0" w:color="7F7F7F"/>
              <w:left w:val="single" w:sz="4" w:space="0" w:color="auto"/>
              <w:bottom w:val="single" w:sz="4" w:space="0" w:color="auto"/>
              <w:right w:val="single" w:sz="4" w:space="0" w:color="auto"/>
            </w:tcBorders>
            <w:shd w:val="clear" w:color="000000" w:fill="BFBFBF"/>
            <w:noWrap/>
            <w:vAlign w:val="center"/>
            <w:hideMark/>
          </w:tcPr>
          <w:p w:rsidR="00A131AD" w:rsidRPr="00FB3114" w:rsidRDefault="00A131AD" w:rsidP="000C0138">
            <w:pPr>
              <w:pStyle w:val="NoSpacing"/>
              <w:spacing w:line="276" w:lineRule="auto"/>
              <w:rPr>
                <w:sz w:val="22"/>
                <w:szCs w:val="22"/>
                <w:lang w:val="en-US"/>
              </w:rPr>
            </w:pPr>
            <w:r w:rsidRPr="00FB3114">
              <w:rPr>
                <w:sz w:val="22"/>
                <w:szCs w:val="22"/>
                <w:lang w:val="en-US"/>
              </w:rPr>
              <w:t>Lokalizacija</w:t>
            </w:r>
          </w:p>
        </w:tc>
        <w:tc>
          <w:tcPr>
            <w:tcW w:w="1698" w:type="dxa"/>
            <w:tcBorders>
              <w:top w:val="single" w:sz="12" w:space="0" w:color="7F7F7F"/>
              <w:left w:val="single" w:sz="4" w:space="0" w:color="auto"/>
              <w:bottom w:val="single" w:sz="4" w:space="0" w:color="auto"/>
              <w:right w:val="single" w:sz="4" w:space="0" w:color="auto"/>
            </w:tcBorders>
            <w:shd w:val="clear" w:color="000000" w:fill="BFBFBF"/>
            <w:vAlign w:val="center"/>
            <w:hideMark/>
          </w:tcPr>
          <w:p w:rsidR="00A131AD" w:rsidRPr="00FB3114" w:rsidRDefault="00A131AD" w:rsidP="000C0138">
            <w:pPr>
              <w:pStyle w:val="NoSpacing"/>
              <w:spacing w:line="276" w:lineRule="auto"/>
              <w:rPr>
                <w:sz w:val="22"/>
                <w:szCs w:val="22"/>
                <w:lang w:val="en-US"/>
              </w:rPr>
            </w:pPr>
            <w:r w:rsidRPr="00FB3114">
              <w:rPr>
                <w:sz w:val="22"/>
                <w:szCs w:val="22"/>
                <w:lang w:val="en-US"/>
              </w:rPr>
              <w:t>Broj registriranih oboljenja</w:t>
            </w:r>
          </w:p>
        </w:tc>
        <w:tc>
          <w:tcPr>
            <w:tcW w:w="1361" w:type="dxa"/>
            <w:tcBorders>
              <w:top w:val="single" w:sz="12" w:space="0" w:color="7F7F7F"/>
              <w:left w:val="single" w:sz="4" w:space="0" w:color="auto"/>
              <w:bottom w:val="single" w:sz="4" w:space="0" w:color="auto"/>
              <w:right w:val="single" w:sz="4" w:space="0" w:color="auto"/>
            </w:tcBorders>
            <w:shd w:val="clear" w:color="000000" w:fill="BFBFBF"/>
            <w:vAlign w:val="center"/>
            <w:hideMark/>
          </w:tcPr>
          <w:p w:rsidR="00A131AD" w:rsidRPr="00FB3114" w:rsidRDefault="00A131AD" w:rsidP="000C0138">
            <w:pPr>
              <w:pStyle w:val="NoSpacing"/>
              <w:spacing w:line="276" w:lineRule="auto"/>
              <w:rPr>
                <w:sz w:val="22"/>
                <w:szCs w:val="22"/>
                <w:lang w:val="en-US"/>
              </w:rPr>
            </w:pPr>
            <w:r w:rsidRPr="00FB3114">
              <w:rPr>
                <w:sz w:val="22"/>
                <w:szCs w:val="22"/>
                <w:lang w:val="en-US"/>
              </w:rPr>
              <w:t>Indeks strukture</w:t>
            </w:r>
          </w:p>
        </w:tc>
        <w:tc>
          <w:tcPr>
            <w:tcW w:w="1697" w:type="dxa"/>
            <w:tcBorders>
              <w:top w:val="single" w:sz="12" w:space="0" w:color="7F7F7F"/>
              <w:left w:val="single" w:sz="4" w:space="0" w:color="auto"/>
              <w:bottom w:val="single" w:sz="4" w:space="0" w:color="auto"/>
              <w:right w:val="single" w:sz="12" w:space="0" w:color="7F7F7F"/>
            </w:tcBorders>
            <w:shd w:val="clear" w:color="000000" w:fill="BFBFBF"/>
            <w:noWrap/>
            <w:vAlign w:val="center"/>
            <w:hideMark/>
          </w:tcPr>
          <w:p w:rsidR="00A131AD" w:rsidRPr="00FB3114" w:rsidRDefault="00A131AD" w:rsidP="000C0138">
            <w:pPr>
              <w:pStyle w:val="NoSpacing"/>
              <w:spacing w:line="276" w:lineRule="auto"/>
              <w:rPr>
                <w:sz w:val="22"/>
                <w:szCs w:val="22"/>
                <w:lang w:val="en-US"/>
              </w:rPr>
            </w:pPr>
            <w:r w:rsidRPr="00FB3114">
              <w:rPr>
                <w:sz w:val="22"/>
                <w:szCs w:val="22"/>
                <w:lang w:val="en-US"/>
              </w:rPr>
              <w:t>Mb/100000</w:t>
            </w:r>
          </w:p>
        </w:tc>
      </w:tr>
      <w:tr w:rsidR="00A131AD" w:rsidRPr="00FB3114" w:rsidTr="001911A6">
        <w:trPr>
          <w:trHeight w:val="372"/>
        </w:trPr>
        <w:tc>
          <w:tcPr>
            <w:tcW w:w="723" w:type="dxa"/>
            <w:tcBorders>
              <w:top w:val="single" w:sz="4" w:space="0" w:color="auto"/>
              <w:left w:val="single" w:sz="12" w:space="0" w:color="7F7F7F"/>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1</w:t>
            </w:r>
          </w:p>
        </w:tc>
        <w:tc>
          <w:tcPr>
            <w:tcW w:w="108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C33-34</w:t>
            </w:r>
          </w:p>
        </w:tc>
        <w:tc>
          <w:tcPr>
            <w:tcW w:w="197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Pluća bronh, traheja</w:t>
            </w:r>
          </w:p>
        </w:tc>
        <w:tc>
          <w:tcPr>
            <w:tcW w:w="169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621</w:t>
            </w:r>
          </w:p>
        </w:tc>
        <w:tc>
          <w:tcPr>
            <w:tcW w:w="13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24,8</w:t>
            </w:r>
          </w:p>
        </w:tc>
        <w:tc>
          <w:tcPr>
            <w:tcW w:w="1697" w:type="dxa"/>
            <w:tcBorders>
              <w:top w:val="single" w:sz="4" w:space="0" w:color="auto"/>
              <w:left w:val="single" w:sz="4" w:space="0" w:color="auto"/>
              <w:bottom w:val="single" w:sz="4" w:space="0" w:color="auto"/>
              <w:right w:val="single" w:sz="12" w:space="0" w:color="7F7F7F"/>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53,4</w:t>
            </w:r>
          </w:p>
        </w:tc>
      </w:tr>
      <w:tr w:rsidR="00A131AD" w:rsidRPr="00FB3114" w:rsidTr="001911A6">
        <w:trPr>
          <w:trHeight w:val="305"/>
        </w:trPr>
        <w:tc>
          <w:tcPr>
            <w:tcW w:w="723" w:type="dxa"/>
            <w:tcBorders>
              <w:top w:val="single" w:sz="4" w:space="0" w:color="auto"/>
              <w:left w:val="single" w:sz="12" w:space="0" w:color="7F7F7F"/>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2</w:t>
            </w:r>
          </w:p>
        </w:tc>
        <w:tc>
          <w:tcPr>
            <w:tcW w:w="108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C61</w:t>
            </w:r>
          </w:p>
        </w:tc>
        <w:tc>
          <w:tcPr>
            <w:tcW w:w="197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Prostata</w:t>
            </w:r>
          </w:p>
        </w:tc>
        <w:tc>
          <w:tcPr>
            <w:tcW w:w="169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236</w:t>
            </w:r>
          </w:p>
        </w:tc>
        <w:tc>
          <w:tcPr>
            <w:tcW w:w="13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9,4</w:t>
            </w:r>
          </w:p>
        </w:tc>
        <w:tc>
          <w:tcPr>
            <w:tcW w:w="1697" w:type="dxa"/>
            <w:tcBorders>
              <w:top w:val="single" w:sz="4" w:space="0" w:color="auto"/>
              <w:left w:val="single" w:sz="4" w:space="0" w:color="auto"/>
              <w:bottom w:val="single" w:sz="4" w:space="0" w:color="auto"/>
              <w:right w:val="single" w:sz="12" w:space="0" w:color="7F7F7F"/>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20,3</w:t>
            </w:r>
          </w:p>
        </w:tc>
      </w:tr>
      <w:tr w:rsidR="00A131AD" w:rsidRPr="00FB3114" w:rsidTr="001911A6">
        <w:trPr>
          <w:trHeight w:val="305"/>
        </w:trPr>
        <w:tc>
          <w:tcPr>
            <w:tcW w:w="723" w:type="dxa"/>
            <w:tcBorders>
              <w:top w:val="single" w:sz="4" w:space="0" w:color="auto"/>
              <w:left w:val="single" w:sz="12" w:space="0" w:color="7F7F7F"/>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3</w:t>
            </w:r>
          </w:p>
        </w:tc>
        <w:tc>
          <w:tcPr>
            <w:tcW w:w="108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C16</w:t>
            </w:r>
          </w:p>
        </w:tc>
        <w:tc>
          <w:tcPr>
            <w:tcW w:w="197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Želudac</w:t>
            </w:r>
          </w:p>
        </w:tc>
        <w:tc>
          <w:tcPr>
            <w:tcW w:w="169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142</w:t>
            </w:r>
          </w:p>
        </w:tc>
        <w:tc>
          <w:tcPr>
            <w:tcW w:w="13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5,7</w:t>
            </w:r>
          </w:p>
        </w:tc>
        <w:tc>
          <w:tcPr>
            <w:tcW w:w="1697" w:type="dxa"/>
            <w:tcBorders>
              <w:top w:val="single" w:sz="4" w:space="0" w:color="auto"/>
              <w:left w:val="single" w:sz="4" w:space="0" w:color="auto"/>
              <w:bottom w:val="single" w:sz="4" w:space="0" w:color="auto"/>
              <w:right w:val="single" w:sz="12" w:space="0" w:color="7F7F7F"/>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12,2</w:t>
            </w:r>
          </w:p>
        </w:tc>
      </w:tr>
      <w:tr w:rsidR="00A131AD" w:rsidRPr="00FB3114" w:rsidTr="001911A6">
        <w:trPr>
          <w:trHeight w:val="305"/>
        </w:trPr>
        <w:tc>
          <w:tcPr>
            <w:tcW w:w="723" w:type="dxa"/>
            <w:tcBorders>
              <w:top w:val="single" w:sz="4" w:space="0" w:color="auto"/>
              <w:left w:val="single" w:sz="12" w:space="0" w:color="7F7F7F"/>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4</w:t>
            </w:r>
          </w:p>
        </w:tc>
        <w:tc>
          <w:tcPr>
            <w:tcW w:w="108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C18</w:t>
            </w:r>
          </w:p>
        </w:tc>
        <w:tc>
          <w:tcPr>
            <w:tcW w:w="197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Debelo crijevo</w:t>
            </w:r>
          </w:p>
        </w:tc>
        <w:tc>
          <w:tcPr>
            <w:tcW w:w="169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131</w:t>
            </w:r>
          </w:p>
        </w:tc>
        <w:tc>
          <w:tcPr>
            <w:tcW w:w="13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5,2</w:t>
            </w:r>
          </w:p>
        </w:tc>
        <w:tc>
          <w:tcPr>
            <w:tcW w:w="1697" w:type="dxa"/>
            <w:tcBorders>
              <w:top w:val="single" w:sz="4" w:space="0" w:color="auto"/>
              <w:left w:val="single" w:sz="4" w:space="0" w:color="auto"/>
              <w:bottom w:val="single" w:sz="4" w:space="0" w:color="auto"/>
              <w:right w:val="single" w:sz="12" w:space="0" w:color="7F7F7F"/>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11,3</w:t>
            </w:r>
          </w:p>
        </w:tc>
      </w:tr>
      <w:tr w:rsidR="00A131AD" w:rsidRPr="00FB3114" w:rsidTr="001911A6">
        <w:trPr>
          <w:trHeight w:val="305"/>
        </w:trPr>
        <w:tc>
          <w:tcPr>
            <w:tcW w:w="723" w:type="dxa"/>
            <w:tcBorders>
              <w:top w:val="single" w:sz="4" w:space="0" w:color="auto"/>
              <w:left w:val="single" w:sz="12" w:space="0" w:color="7F7F7F"/>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5</w:t>
            </w:r>
          </w:p>
        </w:tc>
        <w:tc>
          <w:tcPr>
            <w:tcW w:w="108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C19-20</w:t>
            </w:r>
          </w:p>
        </w:tc>
        <w:tc>
          <w:tcPr>
            <w:tcW w:w="197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Rektum</w:t>
            </w:r>
          </w:p>
        </w:tc>
        <w:tc>
          <w:tcPr>
            <w:tcW w:w="169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128</w:t>
            </w:r>
          </w:p>
        </w:tc>
        <w:tc>
          <w:tcPr>
            <w:tcW w:w="13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5,1</w:t>
            </w:r>
          </w:p>
        </w:tc>
        <w:tc>
          <w:tcPr>
            <w:tcW w:w="1697" w:type="dxa"/>
            <w:tcBorders>
              <w:top w:val="single" w:sz="4" w:space="0" w:color="auto"/>
              <w:left w:val="single" w:sz="4" w:space="0" w:color="auto"/>
              <w:bottom w:val="single" w:sz="4" w:space="0" w:color="auto"/>
              <w:right w:val="single" w:sz="12" w:space="0" w:color="7F7F7F"/>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11,1</w:t>
            </w:r>
          </w:p>
        </w:tc>
      </w:tr>
      <w:tr w:rsidR="00A131AD" w:rsidRPr="00FB3114" w:rsidTr="001911A6">
        <w:trPr>
          <w:trHeight w:val="305"/>
        </w:trPr>
        <w:tc>
          <w:tcPr>
            <w:tcW w:w="723" w:type="dxa"/>
            <w:tcBorders>
              <w:top w:val="single" w:sz="4" w:space="0" w:color="auto"/>
              <w:left w:val="single" w:sz="12" w:space="0" w:color="7F7F7F"/>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6</w:t>
            </w:r>
          </w:p>
        </w:tc>
        <w:tc>
          <w:tcPr>
            <w:tcW w:w="108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C67</w:t>
            </w:r>
          </w:p>
        </w:tc>
        <w:tc>
          <w:tcPr>
            <w:tcW w:w="197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Mokraćni mjehur</w:t>
            </w:r>
          </w:p>
        </w:tc>
        <w:tc>
          <w:tcPr>
            <w:tcW w:w="169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108</w:t>
            </w:r>
          </w:p>
        </w:tc>
        <w:tc>
          <w:tcPr>
            <w:tcW w:w="13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4,3</w:t>
            </w:r>
          </w:p>
        </w:tc>
        <w:tc>
          <w:tcPr>
            <w:tcW w:w="1697" w:type="dxa"/>
            <w:tcBorders>
              <w:top w:val="single" w:sz="4" w:space="0" w:color="auto"/>
              <w:left w:val="single" w:sz="4" w:space="0" w:color="auto"/>
              <w:bottom w:val="single" w:sz="4" w:space="0" w:color="auto"/>
              <w:right w:val="single" w:sz="12" w:space="0" w:color="7F7F7F"/>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9,3</w:t>
            </w:r>
          </w:p>
        </w:tc>
      </w:tr>
      <w:tr w:rsidR="00A131AD" w:rsidRPr="00FB3114" w:rsidTr="001911A6">
        <w:trPr>
          <w:trHeight w:val="305"/>
        </w:trPr>
        <w:tc>
          <w:tcPr>
            <w:tcW w:w="723" w:type="dxa"/>
            <w:tcBorders>
              <w:top w:val="single" w:sz="4" w:space="0" w:color="auto"/>
              <w:left w:val="single" w:sz="12" w:space="0" w:color="7F7F7F"/>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7</w:t>
            </w:r>
          </w:p>
        </w:tc>
        <w:tc>
          <w:tcPr>
            <w:tcW w:w="108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C32</w:t>
            </w:r>
          </w:p>
        </w:tc>
        <w:tc>
          <w:tcPr>
            <w:tcW w:w="197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Dušnik</w:t>
            </w:r>
          </w:p>
        </w:tc>
        <w:tc>
          <w:tcPr>
            <w:tcW w:w="169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102</w:t>
            </w:r>
          </w:p>
        </w:tc>
        <w:tc>
          <w:tcPr>
            <w:tcW w:w="13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4,1</w:t>
            </w:r>
          </w:p>
        </w:tc>
        <w:tc>
          <w:tcPr>
            <w:tcW w:w="1697" w:type="dxa"/>
            <w:tcBorders>
              <w:top w:val="single" w:sz="4" w:space="0" w:color="auto"/>
              <w:left w:val="single" w:sz="4" w:space="0" w:color="auto"/>
              <w:bottom w:val="single" w:sz="4" w:space="0" w:color="auto"/>
              <w:right w:val="single" w:sz="12" w:space="0" w:color="7F7F7F"/>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8,8</w:t>
            </w:r>
          </w:p>
        </w:tc>
      </w:tr>
      <w:tr w:rsidR="00A131AD" w:rsidRPr="00FB3114" w:rsidTr="001911A6">
        <w:trPr>
          <w:trHeight w:val="305"/>
        </w:trPr>
        <w:tc>
          <w:tcPr>
            <w:tcW w:w="723" w:type="dxa"/>
            <w:tcBorders>
              <w:top w:val="single" w:sz="4" w:space="0" w:color="auto"/>
              <w:left w:val="single" w:sz="12" w:space="0" w:color="7F7F7F"/>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8</w:t>
            </w:r>
          </w:p>
        </w:tc>
        <w:tc>
          <w:tcPr>
            <w:tcW w:w="108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C70-72</w:t>
            </w:r>
          </w:p>
        </w:tc>
        <w:tc>
          <w:tcPr>
            <w:tcW w:w="197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Mozak, živčani sustav</w:t>
            </w:r>
          </w:p>
        </w:tc>
        <w:tc>
          <w:tcPr>
            <w:tcW w:w="169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75</w:t>
            </w:r>
          </w:p>
        </w:tc>
        <w:tc>
          <w:tcPr>
            <w:tcW w:w="13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3,1</w:t>
            </w:r>
          </w:p>
        </w:tc>
        <w:tc>
          <w:tcPr>
            <w:tcW w:w="1697" w:type="dxa"/>
            <w:tcBorders>
              <w:top w:val="single" w:sz="4" w:space="0" w:color="auto"/>
              <w:left w:val="single" w:sz="4" w:space="0" w:color="auto"/>
              <w:bottom w:val="single" w:sz="4" w:space="0" w:color="auto"/>
              <w:right w:val="single" w:sz="12" w:space="0" w:color="7F7F7F"/>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6,5</w:t>
            </w:r>
          </w:p>
        </w:tc>
      </w:tr>
      <w:tr w:rsidR="00A131AD" w:rsidRPr="00FB3114" w:rsidTr="001911A6">
        <w:trPr>
          <w:trHeight w:val="264"/>
        </w:trPr>
        <w:tc>
          <w:tcPr>
            <w:tcW w:w="723" w:type="dxa"/>
            <w:tcBorders>
              <w:top w:val="single" w:sz="4" w:space="0" w:color="auto"/>
              <w:left w:val="single" w:sz="12" w:space="0" w:color="7F7F7F"/>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9</w:t>
            </w:r>
          </w:p>
        </w:tc>
        <w:tc>
          <w:tcPr>
            <w:tcW w:w="108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C22</w:t>
            </w:r>
          </w:p>
        </w:tc>
        <w:tc>
          <w:tcPr>
            <w:tcW w:w="197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Jetra</w:t>
            </w:r>
          </w:p>
        </w:tc>
        <w:tc>
          <w:tcPr>
            <w:tcW w:w="169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69</w:t>
            </w:r>
          </w:p>
        </w:tc>
        <w:tc>
          <w:tcPr>
            <w:tcW w:w="13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2,7</w:t>
            </w:r>
          </w:p>
        </w:tc>
        <w:tc>
          <w:tcPr>
            <w:tcW w:w="1697" w:type="dxa"/>
            <w:tcBorders>
              <w:top w:val="single" w:sz="4" w:space="0" w:color="auto"/>
              <w:left w:val="single" w:sz="4" w:space="0" w:color="auto"/>
              <w:bottom w:val="single" w:sz="4" w:space="0" w:color="auto"/>
              <w:right w:val="single" w:sz="12" w:space="0" w:color="7F7F7F"/>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5,9</w:t>
            </w:r>
          </w:p>
        </w:tc>
      </w:tr>
      <w:tr w:rsidR="00A131AD" w:rsidRPr="00FB3114" w:rsidTr="001911A6">
        <w:trPr>
          <w:trHeight w:val="305"/>
        </w:trPr>
        <w:tc>
          <w:tcPr>
            <w:tcW w:w="723" w:type="dxa"/>
            <w:tcBorders>
              <w:top w:val="single" w:sz="4" w:space="0" w:color="auto"/>
              <w:left w:val="single" w:sz="12" w:space="0" w:color="7F7F7F"/>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10</w:t>
            </w:r>
          </w:p>
        </w:tc>
        <w:tc>
          <w:tcPr>
            <w:tcW w:w="108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C25</w:t>
            </w:r>
          </w:p>
        </w:tc>
        <w:tc>
          <w:tcPr>
            <w:tcW w:w="197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Gušterača</w:t>
            </w:r>
          </w:p>
        </w:tc>
        <w:tc>
          <w:tcPr>
            <w:tcW w:w="169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63</w:t>
            </w:r>
          </w:p>
        </w:tc>
        <w:tc>
          <w:tcPr>
            <w:tcW w:w="13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2,5</w:t>
            </w:r>
          </w:p>
        </w:tc>
        <w:tc>
          <w:tcPr>
            <w:tcW w:w="1697" w:type="dxa"/>
            <w:tcBorders>
              <w:top w:val="single" w:sz="4" w:space="0" w:color="auto"/>
              <w:left w:val="single" w:sz="4" w:space="0" w:color="auto"/>
              <w:bottom w:val="single" w:sz="4" w:space="0" w:color="auto"/>
              <w:right w:val="single" w:sz="12" w:space="0" w:color="7F7F7F"/>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5,4</w:t>
            </w:r>
          </w:p>
        </w:tc>
      </w:tr>
      <w:tr w:rsidR="00A131AD" w:rsidRPr="00FB3114" w:rsidTr="001911A6">
        <w:trPr>
          <w:trHeight w:val="95"/>
        </w:trPr>
        <w:tc>
          <w:tcPr>
            <w:tcW w:w="3783" w:type="dxa"/>
            <w:gridSpan w:val="3"/>
            <w:tcBorders>
              <w:top w:val="single" w:sz="4" w:space="0" w:color="auto"/>
              <w:left w:val="single" w:sz="12" w:space="0" w:color="7F7F7F"/>
              <w:bottom w:val="single" w:sz="4" w:space="0" w:color="auto"/>
              <w:right w:val="single" w:sz="4" w:space="0" w:color="auto"/>
            </w:tcBorders>
            <w:shd w:val="clear" w:color="auto" w:fill="FFFFFF" w:themeFill="background1"/>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Ostali (bez raka kože)</w:t>
            </w:r>
          </w:p>
        </w:tc>
        <w:tc>
          <w:tcPr>
            <w:tcW w:w="169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822</w:t>
            </w:r>
          </w:p>
        </w:tc>
        <w:tc>
          <w:tcPr>
            <w:tcW w:w="13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33,1</w:t>
            </w:r>
          </w:p>
        </w:tc>
        <w:tc>
          <w:tcPr>
            <w:tcW w:w="1697" w:type="dxa"/>
            <w:tcBorders>
              <w:top w:val="single" w:sz="4" w:space="0" w:color="auto"/>
              <w:left w:val="single" w:sz="4" w:space="0" w:color="auto"/>
              <w:bottom w:val="single" w:sz="4" w:space="0" w:color="auto"/>
              <w:right w:val="single" w:sz="12" w:space="0" w:color="7F7F7F"/>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71,5</w:t>
            </w:r>
          </w:p>
        </w:tc>
      </w:tr>
      <w:tr w:rsidR="00A131AD" w:rsidRPr="00FB3114" w:rsidTr="001911A6">
        <w:trPr>
          <w:trHeight w:val="183"/>
        </w:trPr>
        <w:tc>
          <w:tcPr>
            <w:tcW w:w="3783" w:type="dxa"/>
            <w:gridSpan w:val="3"/>
            <w:tcBorders>
              <w:top w:val="single" w:sz="4" w:space="0" w:color="auto"/>
              <w:left w:val="single" w:sz="12" w:space="0" w:color="7F7F7F"/>
              <w:bottom w:val="single" w:sz="12" w:space="0" w:color="7F7F7F"/>
              <w:right w:val="single" w:sz="4" w:space="0" w:color="auto"/>
            </w:tcBorders>
            <w:shd w:val="clear" w:color="000000" w:fill="BFBFBF"/>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Ukupno (bez raka kože)</w:t>
            </w:r>
          </w:p>
        </w:tc>
        <w:tc>
          <w:tcPr>
            <w:tcW w:w="1698" w:type="dxa"/>
            <w:tcBorders>
              <w:top w:val="single" w:sz="4" w:space="0" w:color="auto"/>
              <w:left w:val="single" w:sz="4" w:space="0" w:color="auto"/>
              <w:bottom w:val="single" w:sz="12" w:space="0" w:color="7F7F7F"/>
              <w:right w:val="single" w:sz="4" w:space="0" w:color="auto"/>
            </w:tcBorders>
            <w:shd w:val="clear" w:color="000000" w:fill="BFBFBF"/>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2497</w:t>
            </w:r>
          </w:p>
        </w:tc>
        <w:tc>
          <w:tcPr>
            <w:tcW w:w="1361" w:type="dxa"/>
            <w:tcBorders>
              <w:top w:val="single" w:sz="4" w:space="0" w:color="auto"/>
              <w:left w:val="single" w:sz="4" w:space="0" w:color="auto"/>
              <w:bottom w:val="single" w:sz="12" w:space="0" w:color="7F7F7F"/>
              <w:right w:val="single" w:sz="4" w:space="0" w:color="auto"/>
            </w:tcBorders>
            <w:shd w:val="clear" w:color="000000" w:fill="BFBFBF"/>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100</w:t>
            </w:r>
          </w:p>
        </w:tc>
        <w:tc>
          <w:tcPr>
            <w:tcW w:w="1697" w:type="dxa"/>
            <w:tcBorders>
              <w:top w:val="single" w:sz="4" w:space="0" w:color="auto"/>
              <w:left w:val="single" w:sz="4" w:space="0" w:color="auto"/>
              <w:bottom w:val="single" w:sz="12" w:space="0" w:color="7F7F7F"/>
              <w:right w:val="single" w:sz="12" w:space="0" w:color="7F7F7F"/>
            </w:tcBorders>
            <w:shd w:val="clear" w:color="000000" w:fill="BFBFBF"/>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215,7</w:t>
            </w:r>
          </w:p>
        </w:tc>
      </w:tr>
    </w:tbl>
    <w:p w:rsidR="00A131AD" w:rsidRPr="00155F80" w:rsidRDefault="00A131AD" w:rsidP="000C0138">
      <w:pPr>
        <w:spacing w:after="200" w:line="276" w:lineRule="auto"/>
        <w:contextualSpacing/>
        <w:jc w:val="left"/>
        <w:rPr>
          <w:rFonts w:ascii="Times New Roman" w:eastAsia="Calibri" w:hAnsi="Times New Roman"/>
          <w:noProof/>
          <w:lang w:val="en-US"/>
        </w:rPr>
      </w:pPr>
    </w:p>
    <w:p w:rsidR="00F2242B" w:rsidRPr="00F2242B" w:rsidRDefault="00F2242B" w:rsidP="00F2242B">
      <w:pPr>
        <w:spacing w:after="200" w:line="276" w:lineRule="auto"/>
        <w:contextualSpacing/>
        <w:rPr>
          <w:rFonts w:ascii="Times New Roman" w:eastAsia="Calibri" w:hAnsi="Times New Roman"/>
          <w:noProof/>
          <w:lang w:val="en-US"/>
        </w:rPr>
      </w:pPr>
      <w:r w:rsidRPr="00155F80">
        <w:rPr>
          <w:rFonts w:ascii="Times New Roman" w:eastAsia="Calibri" w:hAnsi="Times New Roman"/>
          <w:noProof/>
          <w:lang w:val="en-US"/>
        </w:rPr>
        <w:t>Deset najčešćih lokalizacija raka u žena u FBiH u 2014.</w:t>
      </w:r>
      <w:r w:rsidR="00AB7271">
        <w:rPr>
          <w:rFonts w:ascii="Times New Roman" w:eastAsia="Calibri" w:hAnsi="Times New Roman"/>
          <w:noProof/>
          <w:lang w:val="en-US"/>
        </w:rPr>
        <w:t xml:space="preserve"> </w:t>
      </w:r>
      <w:r w:rsidRPr="00155F80">
        <w:rPr>
          <w:rFonts w:ascii="Times New Roman" w:eastAsia="Calibri" w:hAnsi="Times New Roman"/>
          <w:noProof/>
          <w:lang w:val="en-US"/>
        </w:rPr>
        <w:t>godini čine 68,1% svih registr</w:t>
      </w:r>
      <w:r w:rsidR="00AB7271">
        <w:rPr>
          <w:rFonts w:ascii="Times New Roman" w:eastAsia="Calibri" w:hAnsi="Times New Roman"/>
          <w:noProof/>
          <w:lang w:val="en-US"/>
        </w:rPr>
        <w:t>ira</w:t>
      </w:r>
      <w:r w:rsidRPr="00155F80">
        <w:rPr>
          <w:rFonts w:ascii="Times New Roman" w:eastAsia="Calibri" w:hAnsi="Times New Roman"/>
          <w:noProof/>
          <w:lang w:val="en-US"/>
        </w:rPr>
        <w:t>nih slučajeva raka u muškaraca. Vodeći, prema lokalizaciji su rak dojke (23,6%</w:t>
      </w:r>
      <w:r w:rsidRPr="00155F80">
        <w:rPr>
          <w:rFonts w:ascii="Times New Roman" w:hAnsi="Times New Roman"/>
          <w:color w:val="000000"/>
          <w:lang w:val="en-US"/>
        </w:rPr>
        <w:t xml:space="preserve">) koji čine 24,8%, zatim rak </w:t>
      </w:r>
      <w:r w:rsidRPr="00155F80">
        <w:rPr>
          <w:rFonts w:ascii="Times New Roman" w:eastAsia="Calibri" w:hAnsi="Times New Roman"/>
          <w:noProof/>
          <w:lang w:val="en-US"/>
        </w:rPr>
        <w:t>p</w:t>
      </w:r>
      <w:r w:rsidRPr="00155F80">
        <w:rPr>
          <w:rFonts w:ascii="Times New Roman" w:hAnsi="Times New Roman"/>
          <w:color w:val="000000"/>
          <w:lang w:val="en-US"/>
        </w:rPr>
        <w:t xml:space="preserve">luća, bronh, traheja (7,3%), rak tijela maternice (7,2%) svih novodijagnosticiranih neoplazmi u žena. </w:t>
      </w:r>
    </w:p>
    <w:p w:rsidR="00874E9B" w:rsidRDefault="00874E9B">
      <w:pPr>
        <w:spacing w:after="160" w:line="259" w:lineRule="auto"/>
        <w:jc w:val="left"/>
        <w:rPr>
          <w:rFonts w:ascii="Times New Roman" w:eastAsia="Calibri" w:hAnsi="Times New Roman"/>
          <w:noProof/>
          <w:sz w:val="20"/>
          <w:szCs w:val="20"/>
          <w:lang w:val="en-US"/>
        </w:rPr>
      </w:pPr>
      <w:r>
        <w:rPr>
          <w:rFonts w:eastAsia="Calibri"/>
          <w:noProof/>
          <w:lang w:val="en-US"/>
        </w:rPr>
        <w:br w:type="page"/>
      </w:r>
    </w:p>
    <w:p w:rsidR="00A131AD" w:rsidRPr="00155F80" w:rsidRDefault="00A131AD" w:rsidP="00EB7CC7">
      <w:pPr>
        <w:pStyle w:val="refererere"/>
        <w:rPr>
          <w:rFonts w:eastAsia="Calibri"/>
          <w:noProof/>
          <w:lang w:val="en-US"/>
        </w:rPr>
      </w:pPr>
      <w:r w:rsidRPr="00155F80">
        <w:rPr>
          <w:rFonts w:eastAsia="Calibri"/>
          <w:noProof/>
          <w:lang w:val="en-US"/>
        </w:rPr>
        <w:lastRenderedPageBreak/>
        <w:t>Tabl</w:t>
      </w:r>
      <w:r w:rsidR="00FE3B0D">
        <w:rPr>
          <w:rFonts w:eastAsia="Calibri"/>
          <w:noProof/>
          <w:lang w:val="en-US"/>
        </w:rPr>
        <w:t>ic</w:t>
      </w:r>
      <w:r w:rsidRPr="00155F80">
        <w:rPr>
          <w:rFonts w:eastAsia="Calibri"/>
          <w:noProof/>
          <w:lang w:val="en-US"/>
        </w:rPr>
        <w:t>a 2: Najčešće lokalizacije raka u žena u Federaciji BiH, 2014.godina</w:t>
      </w:r>
    </w:p>
    <w:tbl>
      <w:tblPr>
        <w:tblW w:w="8420" w:type="dxa"/>
        <w:tblInd w:w="93"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681"/>
        <w:gridCol w:w="1048"/>
        <w:gridCol w:w="1915"/>
        <w:gridCol w:w="1644"/>
        <w:gridCol w:w="1319"/>
        <w:gridCol w:w="1879"/>
      </w:tblGrid>
      <w:tr w:rsidR="00A131AD" w:rsidRPr="00FB3114" w:rsidTr="001911A6">
        <w:trPr>
          <w:trHeight w:val="419"/>
        </w:trPr>
        <w:tc>
          <w:tcPr>
            <w:tcW w:w="614" w:type="dxa"/>
            <w:tcBorders>
              <w:top w:val="single" w:sz="4" w:space="0" w:color="auto"/>
              <w:bottom w:val="single" w:sz="4" w:space="0" w:color="auto"/>
              <w:right w:val="single" w:sz="4" w:space="0" w:color="auto"/>
            </w:tcBorders>
            <w:shd w:val="clear" w:color="000000" w:fill="BFBFBF"/>
            <w:noWrap/>
            <w:vAlign w:val="center"/>
            <w:hideMark/>
          </w:tcPr>
          <w:p w:rsidR="00A131AD" w:rsidRPr="00FB3114" w:rsidRDefault="00A131AD" w:rsidP="000C0138">
            <w:pPr>
              <w:pStyle w:val="NoSpacing"/>
              <w:spacing w:line="276" w:lineRule="auto"/>
              <w:rPr>
                <w:sz w:val="22"/>
                <w:szCs w:val="22"/>
                <w:lang w:val="en-US"/>
              </w:rPr>
            </w:pPr>
            <w:r w:rsidRPr="00FB3114">
              <w:rPr>
                <w:sz w:val="22"/>
                <w:szCs w:val="22"/>
                <w:lang w:val="en-US"/>
              </w:rPr>
              <w:t>Rang</w:t>
            </w:r>
          </w:p>
        </w:tc>
        <w:tc>
          <w:tcPr>
            <w:tcW w:w="1048"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A131AD" w:rsidRPr="00FB3114" w:rsidRDefault="00A131AD" w:rsidP="000C0138">
            <w:pPr>
              <w:pStyle w:val="NoSpacing"/>
              <w:spacing w:line="276" w:lineRule="auto"/>
              <w:rPr>
                <w:sz w:val="22"/>
                <w:szCs w:val="22"/>
                <w:lang w:val="en-US"/>
              </w:rPr>
            </w:pPr>
            <w:r w:rsidRPr="00FB3114">
              <w:rPr>
                <w:sz w:val="22"/>
                <w:szCs w:val="22"/>
                <w:lang w:val="en-US"/>
              </w:rPr>
              <w:t>MKB-10</w:t>
            </w:r>
          </w:p>
        </w:tc>
        <w:tc>
          <w:tcPr>
            <w:tcW w:w="1915"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A131AD" w:rsidRPr="00FB3114" w:rsidRDefault="00A131AD" w:rsidP="000C0138">
            <w:pPr>
              <w:pStyle w:val="NoSpacing"/>
              <w:spacing w:line="276" w:lineRule="auto"/>
              <w:rPr>
                <w:sz w:val="22"/>
                <w:szCs w:val="22"/>
                <w:lang w:val="en-US"/>
              </w:rPr>
            </w:pPr>
            <w:r w:rsidRPr="00FB3114">
              <w:rPr>
                <w:sz w:val="22"/>
                <w:szCs w:val="22"/>
                <w:lang w:val="en-US"/>
              </w:rPr>
              <w:t>Lokalizacija</w:t>
            </w:r>
          </w:p>
        </w:tc>
        <w:tc>
          <w:tcPr>
            <w:tcW w:w="1644" w:type="dxa"/>
            <w:tcBorders>
              <w:top w:val="single" w:sz="4" w:space="0" w:color="auto"/>
              <w:left w:val="single" w:sz="4" w:space="0" w:color="auto"/>
              <w:bottom w:val="single" w:sz="4" w:space="0" w:color="auto"/>
              <w:right w:val="single" w:sz="4" w:space="0" w:color="auto"/>
            </w:tcBorders>
            <w:shd w:val="clear" w:color="000000" w:fill="BFBFBF"/>
            <w:vAlign w:val="center"/>
            <w:hideMark/>
          </w:tcPr>
          <w:p w:rsidR="00A131AD" w:rsidRPr="00FB3114" w:rsidRDefault="00A131AD" w:rsidP="000C0138">
            <w:pPr>
              <w:pStyle w:val="NoSpacing"/>
              <w:spacing w:line="276" w:lineRule="auto"/>
              <w:rPr>
                <w:sz w:val="22"/>
                <w:szCs w:val="22"/>
                <w:lang w:val="en-US"/>
              </w:rPr>
            </w:pPr>
            <w:r w:rsidRPr="00FB3114">
              <w:rPr>
                <w:sz w:val="22"/>
                <w:szCs w:val="22"/>
                <w:lang w:val="en-US"/>
              </w:rPr>
              <w:t>Broj registriranih oboljenja</w:t>
            </w:r>
          </w:p>
        </w:tc>
        <w:tc>
          <w:tcPr>
            <w:tcW w:w="1319" w:type="dxa"/>
            <w:tcBorders>
              <w:top w:val="single" w:sz="4" w:space="0" w:color="auto"/>
              <w:left w:val="single" w:sz="4" w:space="0" w:color="auto"/>
              <w:bottom w:val="single" w:sz="4" w:space="0" w:color="auto"/>
              <w:right w:val="single" w:sz="4" w:space="0" w:color="auto"/>
            </w:tcBorders>
            <w:shd w:val="clear" w:color="000000" w:fill="BFBFBF"/>
            <w:vAlign w:val="center"/>
            <w:hideMark/>
          </w:tcPr>
          <w:p w:rsidR="00A131AD" w:rsidRPr="00FB3114" w:rsidRDefault="00A131AD" w:rsidP="000C0138">
            <w:pPr>
              <w:pStyle w:val="NoSpacing"/>
              <w:spacing w:line="276" w:lineRule="auto"/>
              <w:rPr>
                <w:sz w:val="22"/>
                <w:szCs w:val="22"/>
                <w:lang w:val="en-US"/>
              </w:rPr>
            </w:pPr>
            <w:r w:rsidRPr="00FB3114">
              <w:rPr>
                <w:sz w:val="22"/>
                <w:szCs w:val="22"/>
                <w:lang w:val="en-US"/>
              </w:rPr>
              <w:t>Indeks strukture</w:t>
            </w:r>
          </w:p>
        </w:tc>
        <w:tc>
          <w:tcPr>
            <w:tcW w:w="1879" w:type="dxa"/>
            <w:tcBorders>
              <w:top w:val="single" w:sz="4" w:space="0" w:color="auto"/>
              <w:left w:val="single" w:sz="4" w:space="0" w:color="auto"/>
              <w:bottom w:val="single" w:sz="4" w:space="0" w:color="auto"/>
            </w:tcBorders>
            <w:shd w:val="clear" w:color="000000" w:fill="BFBFBF"/>
            <w:noWrap/>
            <w:vAlign w:val="center"/>
            <w:hideMark/>
          </w:tcPr>
          <w:p w:rsidR="00A131AD" w:rsidRPr="00FB3114" w:rsidRDefault="00A131AD" w:rsidP="000C0138">
            <w:pPr>
              <w:pStyle w:val="NoSpacing"/>
              <w:spacing w:line="276" w:lineRule="auto"/>
              <w:rPr>
                <w:sz w:val="22"/>
                <w:szCs w:val="22"/>
                <w:lang w:val="en-US"/>
              </w:rPr>
            </w:pPr>
            <w:r w:rsidRPr="00FB3114">
              <w:rPr>
                <w:sz w:val="22"/>
                <w:szCs w:val="22"/>
                <w:lang w:val="en-US"/>
              </w:rPr>
              <w:t>Mb/100000</w:t>
            </w:r>
          </w:p>
        </w:tc>
      </w:tr>
      <w:tr w:rsidR="00A131AD" w:rsidRPr="00FB3114" w:rsidTr="001911A6">
        <w:trPr>
          <w:trHeight w:val="275"/>
        </w:trPr>
        <w:tc>
          <w:tcPr>
            <w:tcW w:w="614" w:type="dxa"/>
            <w:tcBorders>
              <w:top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1</w:t>
            </w:r>
          </w:p>
        </w:tc>
        <w:tc>
          <w:tcPr>
            <w:tcW w:w="104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C50</w:t>
            </w:r>
          </w:p>
        </w:tc>
        <w:tc>
          <w:tcPr>
            <w:tcW w:w="1915"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Dojka</w:t>
            </w:r>
          </w:p>
        </w:tc>
        <w:tc>
          <w:tcPr>
            <w:tcW w:w="164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568</w:t>
            </w:r>
          </w:p>
        </w:tc>
        <w:tc>
          <w:tcPr>
            <w:tcW w:w="1319"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23,6</w:t>
            </w:r>
          </w:p>
        </w:tc>
        <w:tc>
          <w:tcPr>
            <w:tcW w:w="1879" w:type="dxa"/>
            <w:tcBorders>
              <w:top w:val="single" w:sz="4" w:space="0" w:color="auto"/>
              <w:left w:val="single" w:sz="4" w:space="0" w:color="auto"/>
              <w:bottom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47,4</w:t>
            </w:r>
          </w:p>
        </w:tc>
      </w:tr>
      <w:tr w:rsidR="00A131AD" w:rsidRPr="00FB3114" w:rsidTr="001911A6">
        <w:trPr>
          <w:trHeight w:val="275"/>
        </w:trPr>
        <w:tc>
          <w:tcPr>
            <w:tcW w:w="614" w:type="dxa"/>
            <w:tcBorders>
              <w:top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2</w:t>
            </w:r>
          </w:p>
        </w:tc>
        <w:tc>
          <w:tcPr>
            <w:tcW w:w="104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C33-34</w:t>
            </w:r>
          </w:p>
        </w:tc>
        <w:tc>
          <w:tcPr>
            <w:tcW w:w="1915"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Pluća bronh, traheja</w:t>
            </w:r>
          </w:p>
        </w:tc>
        <w:tc>
          <w:tcPr>
            <w:tcW w:w="164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177</w:t>
            </w:r>
          </w:p>
        </w:tc>
        <w:tc>
          <w:tcPr>
            <w:tcW w:w="1319"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7,3</w:t>
            </w:r>
          </w:p>
        </w:tc>
        <w:tc>
          <w:tcPr>
            <w:tcW w:w="1879" w:type="dxa"/>
            <w:tcBorders>
              <w:top w:val="single" w:sz="4" w:space="0" w:color="auto"/>
              <w:left w:val="single" w:sz="4" w:space="0" w:color="auto"/>
              <w:bottom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15,1</w:t>
            </w:r>
          </w:p>
        </w:tc>
      </w:tr>
      <w:tr w:rsidR="00A131AD" w:rsidRPr="00FB3114" w:rsidTr="001911A6">
        <w:trPr>
          <w:trHeight w:val="275"/>
        </w:trPr>
        <w:tc>
          <w:tcPr>
            <w:tcW w:w="614" w:type="dxa"/>
            <w:tcBorders>
              <w:top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3</w:t>
            </w:r>
          </w:p>
        </w:tc>
        <w:tc>
          <w:tcPr>
            <w:tcW w:w="104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C54</w:t>
            </w:r>
          </w:p>
        </w:tc>
        <w:tc>
          <w:tcPr>
            <w:tcW w:w="1915"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Tijelo maternice</w:t>
            </w:r>
          </w:p>
        </w:tc>
        <w:tc>
          <w:tcPr>
            <w:tcW w:w="164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172</w:t>
            </w:r>
          </w:p>
        </w:tc>
        <w:tc>
          <w:tcPr>
            <w:tcW w:w="1319"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7,2</w:t>
            </w:r>
          </w:p>
        </w:tc>
        <w:tc>
          <w:tcPr>
            <w:tcW w:w="1879" w:type="dxa"/>
            <w:tcBorders>
              <w:top w:val="single" w:sz="4" w:space="0" w:color="auto"/>
              <w:left w:val="single" w:sz="4" w:space="0" w:color="auto"/>
              <w:bottom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14,7</w:t>
            </w:r>
          </w:p>
        </w:tc>
      </w:tr>
      <w:tr w:rsidR="00A131AD" w:rsidRPr="00FB3114" w:rsidTr="001911A6">
        <w:trPr>
          <w:trHeight w:val="275"/>
        </w:trPr>
        <w:tc>
          <w:tcPr>
            <w:tcW w:w="614" w:type="dxa"/>
            <w:tcBorders>
              <w:top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4</w:t>
            </w:r>
          </w:p>
        </w:tc>
        <w:tc>
          <w:tcPr>
            <w:tcW w:w="104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C53</w:t>
            </w:r>
          </w:p>
        </w:tc>
        <w:tc>
          <w:tcPr>
            <w:tcW w:w="1915"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Grlić maternice</w:t>
            </w:r>
          </w:p>
        </w:tc>
        <w:tc>
          <w:tcPr>
            <w:tcW w:w="164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169</w:t>
            </w:r>
          </w:p>
        </w:tc>
        <w:tc>
          <w:tcPr>
            <w:tcW w:w="1319"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7,1</w:t>
            </w:r>
          </w:p>
        </w:tc>
        <w:tc>
          <w:tcPr>
            <w:tcW w:w="1879" w:type="dxa"/>
            <w:tcBorders>
              <w:top w:val="single" w:sz="4" w:space="0" w:color="auto"/>
              <w:left w:val="single" w:sz="4" w:space="0" w:color="auto"/>
              <w:bottom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14,4</w:t>
            </w:r>
          </w:p>
        </w:tc>
      </w:tr>
      <w:tr w:rsidR="00A131AD" w:rsidRPr="00FB3114" w:rsidTr="001911A6">
        <w:trPr>
          <w:trHeight w:val="275"/>
        </w:trPr>
        <w:tc>
          <w:tcPr>
            <w:tcW w:w="614" w:type="dxa"/>
            <w:tcBorders>
              <w:top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5</w:t>
            </w:r>
          </w:p>
        </w:tc>
        <w:tc>
          <w:tcPr>
            <w:tcW w:w="104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C19-20</w:t>
            </w:r>
          </w:p>
        </w:tc>
        <w:tc>
          <w:tcPr>
            <w:tcW w:w="1915"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Rektum</w:t>
            </w:r>
          </w:p>
        </w:tc>
        <w:tc>
          <w:tcPr>
            <w:tcW w:w="164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133</w:t>
            </w:r>
          </w:p>
        </w:tc>
        <w:tc>
          <w:tcPr>
            <w:tcW w:w="1319"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5,5</w:t>
            </w:r>
          </w:p>
        </w:tc>
        <w:tc>
          <w:tcPr>
            <w:tcW w:w="1879" w:type="dxa"/>
            <w:tcBorders>
              <w:top w:val="single" w:sz="4" w:space="0" w:color="auto"/>
              <w:left w:val="single" w:sz="4" w:space="0" w:color="auto"/>
              <w:bottom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11,3</w:t>
            </w:r>
          </w:p>
        </w:tc>
      </w:tr>
      <w:tr w:rsidR="00A131AD" w:rsidRPr="00FB3114" w:rsidTr="001911A6">
        <w:trPr>
          <w:trHeight w:val="275"/>
        </w:trPr>
        <w:tc>
          <w:tcPr>
            <w:tcW w:w="614" w:type="dxa"/>
            <w:tcBorders>
              <w:top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6</w:t>
            </w:r>
          </w:p>
        </w:tc>
        <w:tc>
          <w:tcPr>
            <w:tcW w:w="104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C56</w:t>
            </w:r>
          </w:p>
        </w:tc>
        <w:tc>
          <w:tcPr>
            <w:tcW w:w="1915"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Jajnik</w:t>
            </w:r>
          </w:p>
        </w:tc>
        <w:tc>
          <w:tcPr>
            <w:tcW w:w="164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117</w:t>
            </w:r>
          </w:p>
        </w:tc>
        <w:tc>
          <w:tcPr>
            <w:tcW w:w="1319"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4,9</w:t>
            </w:r>
          </w:p>
        </w:tc>
        <w:tc>
          <w:tcPr>
            <w:tcW w:w="1879" w:type="dxa"/>
            <w:tcBorders>
              <w:top w:val="single" w:sz="4" w:space="0" w:color="auto"/>
              <w:left w:val="single" w:sz="4" w:space="0" w:color="auto"/>
              <w:bottom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9,9</w:t>
            </w:r>
          </w:p>
        </w:tc>
      </w:tr>
      <w:tr w:rsidR="00A131AD" w:rsidRPr="00FB3114" w:rsidTr="001911A6">
        <w:trPr>
          <w:trHeight w:val="275"/>
        </w:trPr>
        <w:tc>
          <w:tcPr>
            <w:tcW w:w="614" w:type="dxa"/>
            <w:tcBorders>
              <w:top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7</w:t>
            </w:r>
          </w:p>
        </w:tc>
        <w:tc>
          <w:tcPr>
            <w:tcW w:w="104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C16</w:t>
            </w:r>
          </w:p>
        </w:tc>
        <w:tc>
          <w:tcPr>
            <w:tcW w:w="1915"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Želudac</w:t>
            </w:r>
          </w:p>
        </w:tc>
        <w:tc>
          <w:tcPr>
            <w:tcW w:w="164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109</w:t>
            </w:r>
          </w:p>
        </w:tc>
        <w:tc>
          <w:tcPr>
            <w:tcW w:w="1319"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4,5</w:t>
            </w:r>
          </w:p>
        </w:tc>
        <w:tc>
          <w:tcPr>
            <w:tcW w:w="1879" w:type="dxa"/>
            <w:tcBorders>
              <w:top w:val="single" w:sz="4" w:space="0" w:color="auto"/>
              <w:left w:val="single" w:sz="4" w:space="0" w:color="auto"/>
              <w:bottom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9,3</w:t>
            </w:r>
          </w:p>
        </w:tc>
      </w:tr>
      <w:tr w:rsidR="00A131AD" w:rsidRPr="00FB3114" w:rsidTr="001911A6">
        <w:trPr>
          <w:trHeight w:val="275"/>
        </w:trPr>
        <w:tc>
          <w:tcPr>
            <w:tcW w:w="614" w:type="dxa"/>
            <w:tcBorders>
              <w:top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8</w:t>
            </w:r>
          </w:p>
        </w:tc>
        <w:tc>
          <w:tcPr>
            <w:tcW w:w="104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C18</w:t>
            </w:r>
          </w:p>
        </w:tc>
        <w:tc>
          <w:tcPr>
            <w:tcW w:w="1915"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Debelo crijevo</w:t>
            </w:r>
          </w:p>
        </w:tc>
        <w:tc>
          <w:tcPr>
            <w:tcW w:w="164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87</w:t>
            </w:r>
          </w:p>
        </w:tc>
        <w:tc>
          <w:tcPr>
            <w:tcW w:w="1319"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3,6</w:t>
            </w:r>
          </w:p>
        </w:tc>
        <w:tc>
          <w:tcPr>
            <w:tcW w:w="1879" w:type="dxa"/>
            <w:tcBorders>
              <w:top w:val="single" w:sz="4" w:space="0" w:color="auto"/>
              <w:left w:val="single" w:sz="4" w:space="0" w:color="auto"/>
              <w:bottom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6,4</w:t>
            </w:r>
          </w:p>
        </w:tc>
      </w:tr>
      <w:tr w:rsidR="00A131AD" w:rsidRPr="00FB3114" w:rsidTr="001911A6">
        <w:trPr>
          <w:trHeight w:val="275"/>
        </w:trPr>
        <w:tc>
          <w:tcPr>
            <w:tcW w:w="614" w:type="dxa"/>
            <w:tcBorders>
              <w:top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9</w:t>
            </w:r>
          </w:p>
        </w:tc>
        <w:tc>
          <w:tcPr>
            <w:tcW w:w="104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C22</w:t>
            </w:r>
          </w:p>
        </w:tc>
        <w:tc>
          <w:tcPr>
            <w:tcW w:w="1915"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Jetra</w:t>
            </w:r>
          </w:p>
        </w:tc>
        <w:tc>
          <w:tcPr>
            <w:tcW w:w="164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63</w:t>
            </w:r>
          </w:p>
        </w:tc>
        <w:tc>
          <w:tcPr>
            <w:tcW w:w="1319"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2,6</w:t>
            </w:r>
          </w:p>
        </w:tc>
        <w:tc>
          <w:tcPr>
            <w:tcW w:w="1879" w:type="dxa"/>
            <w:tcBorders>
              <w:top w:val="single" w:sz="4" w:space="0" w:color="auto"/>
              <w:left w:val="single" w:sz="4" w:space="0" w:color="auto"/>
              <w:bottom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5,4</w:t>
            </w:r>
          </w:p>
        </w:tc>
      </w:tr>
      <w:tr w:rsidR="00A131AD" w:rsidRPr="00FB3114" w:rsidTr="001911A6">
        <w:trPr>
          <w:trHeight w:val="275"/>
        </w:trPr>
        <w:tc>
          <w:tcPr>
            <w:tcW w:w="614" w:type="dxa"/>
            <w:tcBorders>
              <w:top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10</w:t>
            </w:r>
          </w:p>
        </w:tc>
        <w:tc>
          <w:tcPr>
            <w:tcW w:w="104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C25</w:t>
            </w:r>
          </w:p>
        </w:tc>
        <w:tc>
          <w:tcPr>
            <w:tcW w:w="1915"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Gušterača</w:t>
            </w:r>
          </w:p>
        </w:tc>
        <w:tc>
          <w:tcPr>
            <w:tcW w:w="164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42</w:t>
            </w:r>
          </w:p>
        </w:tc>
        <w:tc>
          <w:tcPr>
            <w:tcW w:w="1319"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1,8</w:t>
            </w:r>
          </w:p>
        </w:tc>
        <w:tc>
          <w:tcPr>
            <w:tcW w:w="1879" w:type="dxa"/>
            <w:tcBorders>
              <w:top w:val="single" w:sz="4" w:space="0" w:color="auto"/>
              <w:left w:val="single" w:sz="4" w:space="0" w:color="auto"/>
              <w:bottom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3,6</w:t>
            </w:r>
          </w:p>
        </w:tc>
      </w:tr>
      <w:tr w:rsidR="00A131AD" w:rsidRPr="00FB3114" w:rsidTr="001911A6">
        <w:trPr>
          <w:trHeight w:val="275"/>
        </w:trPr>
        <w:tc>
          <w:tcPr>
            <w:tcW w:w="3578" w:type="dxa"/>
            <w:gridSpan w:val="3"/>
            <w:tcBorders>
              <w:top w:val="single" w:sz="4" w:space="0" w:color="auto"/>
              <w:bottom w:val="single" w:sz="4" w:space="0" w:color="auto"/>
              <w:right w:val="single" w:sz="4" w:space="0" w:color="auto"/>
            </w:tcBorders>
            <w:shd w:val="clear" w:color="auto" w:fill="FFFFFF" w:themeFill="background1"/>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Ostali (bez raka kože)</w:t>
            </w:r>
          </w:p>
        </w:tc>
        <w:tc>
          <w:tcPr>
            <w:tcW w:w="164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773</w:t>
            </w:r>
          </w:p>
        </w:tc>
        <w:tc>
          <w:tcPr>
            <w:tcW w:w="1319"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31,9</w:t>
            </w:r>
          </w:p>
        </w:tc>
        <w:tc>
          <w:tcPr>
            <w:tcW w:w="1879" w:type="dxa"/>
            <w:tcBorders>
              <w:top w:val="single" w:sz="4" w:space="0" w:color="auto"/>
              <w:left w:val="single" w:sz="4" w:space="0" w:color="auto"/>
              <w:bottom w:val="single" w:sz="4" w:space="0" w:color="auto"/>
            </w:tcBorders>
            <w:shd w:val="clear" w:color="auto" w:fill="FFFFFF" w:themeFill="background1"/>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63,8</w:t>
            </w:r>
          </w:p>
        </w:tc>
      </w:tr>
      <w:tr w:rsidR="00A131AD" w:rsidRPr="00FB3114" w:rsidTr="001911A6">
        <w:trPr>
          <w:trHeight w:val="288"/>
        </w:trPr>
        <w:tc>
          <w:tcPr>
            <w:tcW w:w="3578" w:type="dxa"/>
            <w:gridSpan w:val="3"/>
            <w:tcBorders>
              <w:top w:val="single" w:sz="4" w:space="0" w:color="auto"/>
              <w:bottom w:val="single" w:sz="4" w:space="0" w:color="auto"/>
              <w:right w:val="single" w:sz="4" w:space="0" w:color="auto"/>
            </w:tcBorders>
            <w:shd w:val="clear" w:color="000000" w:fill="BFBFBF"/>
            <w:vAlign w:val="bottom"/>
            <w:hideMark/>
          </w:tcPr>
          <w:p w:rsidR="00A131AD" w:rsidRPr="00FB3114" w:rsidRDefault="00A131AD" w:rsidP="000C0138">
            <w:pPr>
              <w:pStyle w:val="NoSpacing"/>
              <w:spacing w:line="276" w:lineRule="auto"/>
              <w:rPr>
                <w:sz w:val="22"/>
                <w:szCs w:val="22"/>
                <w:lang w:val="en-US"/>
              </w:rPr>
            </w:pPr>
            <w:r w:rsidRPr="00FB3114">
              <w:rPr>
                <w:sz w:val="22"/>
                <w:szCs w:val="22"/>
                <w:lang w:val="en-US"/>
              </w:rPr>
              <w:t>Ukupno (bez raka kože)</w:t>
            </w:r>
          </w:p>
        </w:tc>
        <w:tc>
          <w:tcPr>
            <w:tcW w:w="1644" w:type="dxa"/>
            <w:tcBorders>
              <w:top w:val="single" w:sz="4" w:space="0" w:color="auto"/>
              <w:left w:val="single" w:sz="4" w:space="0" w:color="auto"/>
              <w:bottom w:val="single" w:sz="4" w:space="0" w:color="auto"/>
              <w:right w:val="single" w:sz="4" w:space="0" w:color="auto"/>
            </w:tcBorders>
            <w:shd w:val="clear" w:color="000000" w:fill="BFBFBF"/>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2410</w:t>
            </w:r>
          </w:p>
        </w:tc>
        <w:tc>
          <w:tcPr>
            <w:tcW w:w="1319" w:type="dxa"/>
            <w:tcBorders>
              <w:top w:val="single" w:sz="4" w:space="0" w:color="auto"/>
              <w:left w:val="single" w:sz="4" w:space="0" w:color="auto"/>
              <w:bottom w:val="single" w:sz="4" w:space="0" w:color="auto"/>
              <w:right w:val="single" w:sz="4" w:space="0" w:color="auto"/>
            </w:tcBorders>
            <w:shd w:val="clear" w:color="000000" w:fill="BFBFBF"/>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100</w:t>
            </w:r>
          </w:p>
        </w:tc>
        <w:tc>
          <w:tcPr>
            <w:tcW w:w="1879" w:type="dxa"/>
            <w:tcBorders>
              <w:top w:val="single" w:sz="4" w:space="0" w:color="auto"/>
              <w:left w:val="single" w:sz="4" w:space="0" w:color="auto"/>
              <w:bottom w:val="single" w:sz="4" w:space="0" w:color="auto"/>
            </w:tcBorders>
            <w:shd w:val="clear" w:color="000000" w:fill="BFBFBF"/>
            <w:noWrap/>
            <w:vAlign w:val="bottom"/>
            <w:hideMark/>
          </w:tcPr>
          <w:p w:rsidR="00A131AD" w:rsidRPr="00FB3114" w:rsidRDefault="00A131AD" w:rsidP="000C0138">
            <w:pPr>
              <w:pStyle w:val="NoSpacing"/>
              <w:spacing w:line="276" w:lineRule="auto"/>
              <w:jc w:val="center"/>
              <w:rPr>
                <w:sz w:val="22"/>
                <w:szCs w:val="22"/>
                <w:lang w:val="en-US"/>
              </w:rPr>
            </w:pPr>
            <w:r w:rsidRPr="00FB3114">
              <w:rPr>
                <w:sz w:val="22"/>
                <w:szCs w:val="22"/>
                <w:lang w:val="en-US"/>
              </w:rPr>
              <w:t>201,3</w:t>
            </w:r>
          </w:p>
        </w:tc>
      </w:tr>
    </w:tbl>
    <w:p w:rsidR="00A131AD" w:rsidRPr="00155F80" w:rsidRDefault="00A131AD" w:rsidP="000C0138">
      <w:pPr>
        <w:spacing w:after="200" w:line="276" w:lineRule="auto"/>
        <w:contextualSpacing/>
        <w:jc w:val="left"/>
        <w:rPr>
          <w:rFonts w:ascii="Times New Roman" w:eastAsia="Calibri" w:hAnsi="Times New Roman"/>
          <w:noProof/>
          <w:lang w:val="en-US"/>
        </w:rPr>
      </w:pPr>
    </w:p>
    <w:p w:rsidR="00F2242B" w:rsidRPr="00155F80" w:rsidRDefault="00F2242B" w:rsidP="00F2242B">
      <w:pPr>
        <w:spacing w:after="200" w:line="276" w:lineRule="auto"/>
        <w:contextualSpacing/>
        <w:rPr>
          <w:rFonts w:ascii="Times New Roman" w:eastAsia="Calibri" w:hAnsi="Times New Roman"/>
          <w:lang w:val="hr-HR"/>
        </w:rPr>
      </w:pPr>
      <w:r w:rsidRPr="00155F80">
        <w:rPr>
          <w:rFonts w:ascii="Times New Roman" w:eastAsia="Calibri" w:hAnsi="Times New Roman"/>
          <w:lang w:val="hr-HR"/>
        </w:rPr>
        <w:t xml:space="preserve">Struktura vodećih lokalizacija raka u muškaraca u FBiH u 2014. je neznatno izmjenjena u odnosu na 2013. godinu. Rak želuca je na trećem mjestu (u 2013. na četvrtom mjestu), a rak debelog crijeva je znatno umanjen i sada je na četvrtom mjestu. Vodeći su: rak dišnih organa (traheja, bronhi, pluća), zatim prostate, želuca i debelog crijeva. </w:t>
      </w:r>
    </w:p>
    <w:p w:rsidR="00A131AD" w:rsidRPr="00155F80" w:rsidRDefault="00A131AD" w:rsidP="00EB7CC7">
      <w:pPr>
        <w:pStyle w:val="refererere"/>
        <w:rPr>
          <w:rFonts w:eastAsia="Calibri"/>
          <w:noProof/>
          <w:lang w:val="en-US"/>
        </w:rPr>
      </w:pPr>
      <w:r w:rsidRPr="00155F80">
        <w:rPr>
          <w:rFonts w:eastAsia="Calibri"/>
          <w:noProof/>
          <w:lang w:val="en-US"/>
        </w:rPr>
        <w:t>Grafikon 32: Vodeće lokalizacije raka kod muškaraca u Federaciji BiH, u</w:t>
      </w:r>
      <w:r w:rsidR="00AB7271">
        <w:rPr>
          <w:rFonts w:eastAsia="Calibri"/>
          <w:noProof/>
          <w:lang w:val="en-US"/>
        </w:rPr>
        <w:t>s</w:t>
      </w:r>
      <w:r w:rsidRPr="00155F80">
        <w:rPr>
          <w:rFonts w:eastAsia="Calibri"/>
          <w:noProof/>
          <w:lang w:val="en-US"/>
        </w:rPr>
        <w:t>poredba 2014. i 2013.godina</w:t>
      </w:r>
    </w:p>
    <w:p w:rsidR="00A131AD" w:rsidRPr="00155F80" w:rsidRDefault="00A131AD" w:rsidP="000C0138">
      <w:pPr>
        <w:spacing w:after="200" w:line="276" w:lineRule="auto"/>
        <w:jc w:val="left"/>
        <w:rPr>
          <w:rFonts w:ascii="Times New Roman" w:eastAsia="Calibri" w:hAnsi="Times New Roman"/>
          <w:lang w:val="hr-HR"/>
        </w:rPr>
      </w:pPr>
      <w:r w:rsidRPr="00155F80">
        <w:rPr>
          <w:rFonts w:ascii="Times New Roman" w:eastAsia="Calibri" w:hAnsi="Times New Roman"/>
          <w:noProof/>
          <w:lang w:val="bs-Latn-BA" w:eastAsia="bs-Latn-BA"/>
        </w:rPr>
        <w:drawing>
          <wp:inline distT="0" distB="0" distL="0" distR="0" wp14:anchorId="15558B43" wp14:editId="0DCC5087">
            <wp:extent cx="5734050" cy="283845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803571" cy="2872864"/>
                    </a:xfrm>
                    <a:prstGeom prst="rect">
                      <a:avLst/>
                    </a:prstGeom>
                    <a:noFill/>
                  </pic:spPr>
                </pic:pic>
              </a:graphicData>
            </a:graphic>
          </wp:inline>
        </w:drawing>
      </w:r>
    </w:p>
    <w:p w:rsidR="00F2242B" w:rsidRPr="00F2242B" w:rsidRDefault="00F2242B" w:rsidP="00F2242B">
      <w:pPr>
        <w:spacing w:after="200" w:line="276" w:lineRule="auto"/>
        <w:contextualSpacing/>
        <w:rPr>
          <w:rFonts w:ascii="Times New Roman" w:eastAsia="Calibri" w:hAnsi="Times New Roman"/>
          <w:noProof/>
          <w:lang w:val="en-US"/>
        </w:rPr>
      </w:pPr>
      <w:r w:rsidRPr="00155F80">
        <w:rPr>
          <w:rFonts w:ascii="Times New Roman" w:eastAsia="Calibri" w:hAnsi="Times New Roman"/>
          <w:lang w:val="hr-HR"/>
        </w:rPr>
        <w:t>I struktura vodećih lokalizacija raka u žena u FBiH u 2014. je neznatno izmjenjena u odnosu na 2013. godinu. Veći udio u strukturi, u odnosu na 2013. godinu, imaju rak dojke, tijela maternice, grlića maternice i rektuma. Rak dojke je daleko najčešća lokalizacija raka u žena. Rak pluća, iako s manjim udjelom u strukturi u odnosu na 2013. godinu, ima visok rang (drugo mjesto).</w:t>
      </w:r>
    </w:p>
    <w:p w:rsidR="00874E9B" w:rsidRDefault="00874E9B">
      <w:pPr>
        <w:spacing w:after="160" w:line="259" w:lineRule="auto"/>
        <w:jc w:val="left"/>
        <w:rPr>
          <w:rFonts w:ascii="Times New Roman" w:eastAsia="Calibri" w:hAnsi="Times New Roman"/>
          <w:noProof/>
          <w:sz w:val="20"/>
          <w:szCs w:val="20"/>
          <w:lang w:val="en-US"/>
        </w:rPr>
      </w:pPr>
      <w:r>
        <w:rPr>
          <w:rFonts w:eastAsia="Calibri"/>
          <w:noProof/>
          <w:lang w:val="en-US"/>
        </w:rPr>
        <w:br w:type="page"/>
      </w:r>
    </w:p>
    <w:p w:rsidR="00A131AD" w:rsidRPr="00155F80" w:rsidRDefault="00A131AD" w:rsidP="00EB7CC7">
      <w:pPr>
        <w:pStyle w:val="refererere"/>
        <w:rPr>
          <w:rFonts w:eastAsia="Calibri"/>
          <w:noProof/>
          <w:lang w:val="en-US"/>
        </w:rPr>
      </w:pPr>
      <w:r w:rsidRPr="00155F80">
        <w:rPr>
          <w:rFonts w:eastAsia="Calibri"/>
          <w:noProof/>
          <w:lang w:val="en-US"/>
        </w:rPr>
        <w:lastRenderedPageBreak/>
        <w:t>Grafikon 33: Vodeće lokalizacije raka kod žena u Federaciji BiH, u</w:t>
      </w:r>
      <w:r w:rsidR="00AB7271">
        <w:rPr>
          <w:rFonts w:eastAsia="Calibri"/>
          <w:noProof/>
          <w:lang w:val="en-US"/>
        </w:rPr>
        <w:t>s</w:t>
      </w:r>
      <w:r w:rsidRPr="00155F80">
        <w:rPr>
          <w:rFonts w:eastAsia="Calibri"/>
          <w:noProof/>
          <w:lang w:val="en-US"/>
        </w:rPr>
        <w:t>poredba 2014. i 2013.godina</w:t>
      </w:r>
    </w:p>
    <w:p w:rsidR="00A131AD" w:rsidRPr="00155F80" w:rsidRDefault="00A131AD" w:rsidP="000C0138">
      <w:pPr>
        <w:spacing w:after="200" w:line="276" w:lineRule="auto"/>
        <w:jc w:val="left"/>
        <w:rPr>
          <w:rFonts w:ascii="Times New Roman" w:eastAsia="Calibri" w:hAnsi="Times New Roman"/>
          <w:lang w:val="hr-HR"/>
        </w:rPr>
      </w:pPr>
      <w:r w:rsidRPr="00155F80">
        <w:rPr>
          <w:rFonts w:ascii="Times New Roman" w:eastAsia="Calibri" w:hAnsi="Times New Roman"/>
          <w:noProof/>
          <w:lang w:val="bs-Latn-BA" w:eastAsia="bs-Latn-BA"/>
        </w:rPr>
        <w:drawing>
          <wp:inline distT="0" distB="0" distL="0" distR="0" wp14:anchorId="723A0496" wp14:editId="36CEDB84">
            <wp:extent cx="5695950" cy="253365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09500" cy="2539677"/>
                    </a:xfrm>
                    <a:prstGeom prst="rect">
                      <a:avLst/>
                    </a:prstGeom>
                    <a:noFill/>
                  </pic:spPr>
                </pic:pic>
              </a:graphicData>
            </a:graphic>
          </wp:inline>
        </w:drawing>
      </w:r>
    </w:p>
    <w:p w:rsidR="00A131AD" w:rsidRPr="00F2242B" w:rsidRDefault="00F2242B" w:rsidP="000C0138">
      <w:pPr>
        <w:spacing w:after="200" w:line="276" w:lineRule="auto"/>
        <w:contextualSpacing/>
        <w:rPr>
          <w:rFonts w:ascii="Times New Roman" w:eastAsia="Calibri" w:hAnsi="Times New Roman"/>
          <w:lang w:val="hr-HR"/>
        </w:rPr>
      </w:pPr>
      <w:r>
        <w:rPr>
          <w:rFonts w:ascii="Times New Roman" w:eastAsia="Calibri" w:hAnsi="Times New Roman"/>
          <w:lang w:val="hr-HR"/>
        </w:rPr>
        <w:t>Specifič</w:t>
      </w:r>
      <w:r w:rsidRPr="00155F80">
        <w:rPr>
          <w:rFonts w:ascii="Times New Roman" w:eastAsia="Calibri" w:hAnsi="Times New Roman"/>
          <w:lang w:val="hr-HR"/>
        </w:rPr>
        <w:t xml:space="preserve">ni mortalitet od malignoma je kontinuirano rastao do 2013.godine, </w:t>
      </w:r>
      <w:r>
        <w:rPr>
          <w:rFonts w:ascii="Times New Roman" w:eastAsia="Calibri" w:hAnsi="Times New Roman"/>
          <w:lang w:val="hr-HR"/>
        </w:rPr>
        <w:t>kada je</w:t>
      </w:r>
      <w:r w:rsidRPr="00155F80">
        <w:rPr>
          <w:rFonts w:ascii="Times New Roman" w:eastAsia="Calibri" w:hAnsi="Times New Roman"/>
          <w:lang w:val="hr-HR"/>
        </w:rPr>
        <w:t xml:space="preserve"> ukupan broj umrlih bio smanjen na 4.136. U 2014. godini specifični mortalitet je znatno veći u odnosu na prethodnu godinu i iznosi 4.327.</w:t>
      </w:r>
    </w:p>
    <w:p w:rsidR="00FB3114" w:rsidRDefault="00FB3114" w:rsidP="00EB7CC7">
      <w:pPr>
        <w:pStyle w:val="refererere"/>
        <w:rPr>
          <w:rFonts w:eastAsia="Calibri"/>
          <w:noProof/>
          <w:lang w:val="en-US"/>
        </w:rPr>
      </w:pPr>
    </w:p>
    <w:p w:rsidR="00FB3114" w:rsidRDefault="00FB3114" w:rsidP="00EB7CC7">
      <w:pPr>
        <w:pStyle w:val="refererere"/>
        <w:rPr>
          <w:rFonts w:eastAsia="Calibri"/>
          <w:noProof/>
          <w:lang w:val="en-US"/>
        </w:rPr>
      </w:pPr>
    </w:p>
    <w:p w:rsidR="00A131AD" w:rsidRPr="00155F80" w:rsidRDefault="00A131AD" w:rsidP="00EB7CC7">
      <w:pPr>
        <w:pStyle w:val="refererere"/>
        <w:rPr>
          <w:rFonts w:eastAsia="Calibri"/>
          <w:lang w:val="bs-Latn-BA"/>
        </w:rPr>
      </w:pPr>
      <w:r w:rsidRPr="00155F80">
        <w:rPr>
          <w:rFonts w:eastAsia="Calibri"/>
          <w:noProof/>
          <w:lang w:val="en-US"/>
        </w:rPr>
        <w:t>Grafikon 34: Broj umrlih</w:t>
      </w:r>
      <w:r w:rsidRPr="00155F80">
        <w:rPr>
          <w:rFonts w:eastAsia="Calibri"/>
          <w:lang w:val="bs-Latn-BA"/>
        </w:rPr>
        <w:t xml:space="preserve"> od raka u Federaciji BiH, za </w:t>
      </w:r>
      <w:r w:rsidR="00AB7271">
        <w:rPr>
          <w:rFonts w:eastAsia="Calibri"/>
          <w:lang w:val="bs-Latn-BA"/>
        </w:rPr>
        <w:t>razdoblje</w:t>
      </w:r>
      <w:r w:rsidRPr="00155F80">
        <w:rPr>
          <w:rFonts w:eastAsia="Calibri"/>
          <w:lang w:val="bs-Latn-BA"/>
        </w:rPr>
        <w:t xml:space="preserve"> 2010.-2014.godina</w:t>
      </w:r>
    </w:p>
    <w:p w:rsidR="00A131AD" w:rsidRPr="00155F80" w:rsidRDefault="00A131AD" w:rsidP="000C0138">
      <w:pPr>
        <w:spacing w:after="200" w:line="276" w:lineRule="auto"/>
        <w:jc w:val="left"/>
        <w:rPr>
          <w:rFonts w:ascii="Times New Roman" w:eastAsia="Calibri" w:hAnsi="Times New Roman"/>
          <w:lang w:val="hr-HR"/>
        </w:rPr>
      </w:pPr>
      <w:r w:rsidRPr="00155F80">
        <w:rPr>
          <w:rFonts w:ascii="Times New Roman" w:eastAsia="Calibri" w:hAnsi="Times New Roman"/>
          <w:noProof/>
          <w:lang w:val="bs-Latn-BA" w:eastAsia="bs-Latn-BA"/>
        </w:rPr>
        <w:drawing>
          <wp:inline distT="0" distB="0" distL="0" distR="0" wp14:anchorId="38C81585" wp14:editId="6EEE5C7D">
            <wp:extent cx="5676900" cy="16764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26845" cy="1691149"/>
                    </a:xfrm>
                    <a:prstGeom prst="rect">
                      <a:avLst/>
                    </a:prstGeom>
                    <a:noFill/>
                  </pic:spPr>
                </pic:pic>
              </a:graphicData>
            </a:graphic>
          </wp:inline>
        </w:drawing>
      </w:r>
    </w:p>
    <w:p w:rsidR="00834139" w:rsidRDefault="00834139" w:rsidP="000C0138">
      <w:pPr>
        <w:spacing w:after="200" w:line="276" w:lineRule="auto"/>
        <w:contextualSpacing/>
        <w:rPr>
          <w:rFonts w:ascii="Times New Roman" w:eastAsia="Calibri" w:hAnsi="Times New Roman"/>
          <w:lang w:val="hr-HR"/>
        </w:rPr>
      </w:pPr>
    </w:p>
    <w:p w:rsidR="00834139" w:rsidRPr="00155F80" w:rsidRDefault="00C45324" w:rsidP="000C0138">
      <w:pPr>
        <w:spacing w:after="200" w:line="276" w:lineRule="auto"/>
        <w:contextualSpacing/>
        <w:rPr>
          <w:rFonts w:ascii="Times New Roman" w:eastAsia="Calibri" w:hAnsi="Times New Roman"/>
          <w:lang w:val="hr-HR"/>
        </w:rPr>
      </w:pPr>
      <w:r w:rsidRPr="00155F80">
        <w:rPr>
          <w:rFonts w:ascii="Times New Roman" w:eastAsia="Calibri" w:hAnsi="Times New Roman"/>
          <w:bCs/>
          <w:lang w:val="hr-HR"/>
        </w:rPr>
        <w:t>Prema poda</w:t>
      </w:r>
      <w:r w:rsidR="00AB7271">
        <w:rPr>
          <w:rFonts w:ascii="Times New Roman" w:eastAsia="Calibri" w:hAnsi="Times New Roman"/>
          <w:bCs/>
          <w:lang w:val="hr-HR"/>
        </w:rPr>
        <w:t>t</w:t>
      </w:r>
      <w:r w:rsidRPr="00155F80">
        <w:rPr>
          <w:rFonts w:ascii="Times New Roman" w:eastAsia="Calibri" w:hAnsi="Times New Roman"/>
          <w:bCs/>
          <w:lang w:val="hr-HR"/>
        </w:rPr>
        <w:t>cima Zavoda za statistiku, udio mortaliteta od malignoma u ukupnom mortalitetu u 2014.</w:t>
      </w:r>
      <w:r>
        <w:rPr>
          <w:rFonts w:ascii="Times New Roman" w:eastAsia="Calibri" w:hAnsi="Times New Roman"/>
          <w:bCs/>
          <w:lang w:val="hr-HR"/>
        </w:rPr>
        <w:t xml:space="preserve"> </w:t>
      </w:r>
      <w:r w:rsidRPr="00155F80">
        <w:rPr>
          <w:rFonts w:ascii="Times New Roman" w:eastAsia="Calibri" w:hAnsi="Times New Roman"/>
          <w:bCs/>
          <w:lang w:val="hr-HR"/>
        </w:rPr>
        <w:t>godini iznosio je 21,6, te zauzima drugo mjesto, odmah iza bolesti srca i krvnih žila. U proteklom petogodišnjem razdoblju, udio mortaliteta od raka u ukupnom mortalitetu se kontinuirano povećavao od 20,01% (2009.) do 21,4% (2012.).</w:t>
      </w:r>
    </w:p>
    <w:p w:rsidR="00874E9B" w:rsidRDefault="00874E9B">
      <w:pPr>
        <w:spacing w:after="160" w:line="259" w:lineRule="auto"/>
        <w:jc w:val="left"/>
        <w:rPr>
          <w:rFonts w:ascii="Times New Roman" w:eastAsia="Calibri" w:hAnsi="Times New Roman"/>
          <w:sz w:val="20"/>
          <w:szCs w:val="20"/>
          <w:lang w:val="hr-HR"/>
        </w:rPr>
      </w:pPr>
      <w:r>
        <w:rPr>
          <w:rFonts w:eastAsia="Calibri"/>
          <w:lang w:val="hr-HR"/>
        </w:rPr>
        <w:br w:type="page"/>
      </w:r>
    </w:p>
    <w:p w:rsidR="00A131AD" w:rsidRPr="00155F80" w:rsidRDefault="00A131AD" w:rsidP="00EB7CC7">
      <w:pPr>
        <w:pStyle w:val="refererere"/>
        <w:rPr>
          <w:rFonts w:eastAsia="Calibri"/>
          <w:lang w:val="hr-HR"/>
        </w:rPr>
      </w:pPr>
      <w:r w:rsidRPr="00155F80">
        <w:rPr>
          <w:rFonts w:eastAsia="Calibri"/>
          <w:lang w:val="hr-HR"/>
        </w:rPr>
        <w:lastRenderedPageBreak/>
        <w:t>Tabl</w:t>
      </w:r>
      <w:r w:rsidR="00FE3B0D">
        <w:rPr>
          <w:rFonts w:eastAsia="Calibri"/>
          <w:lang w:val="hr-HR"/>
        </w:rPr>
        <w:t>ic</w:t>
      </w:r>
      <w:r w:rsidRPr="00155F80">
        <w:rPr>
          <w:rFonts w:eastAsia="Calibri"/>
          <w:lang w:val="hr-HR"/>
        </w:rPr>
        <w:t xml:space="preserve">a 3: Udio mortaliteta raka u ukupnom mortalitetu u Federaciji BiH, za </w:t>
      </w:r>
      <w:r w:rsidR="00AB7271">
        <w:rPr>
          <w:rFonts w:eastAsia="Calibri"/>
          <w:lang w:val="hr-HR"/>
        </w:rPr>
        <w:t>razdoblje</w:t>
      </w:r>
      <w:r w:rsidRPr="00155F80">
        <w:rPr>
          <w:rFonts w:eastAsia="Calibri"/>
          <w:lang w:val="hr-HR"/>
        </w:rPr>
        <w:t xml:space="preserve"> 2010.-2014.godina</w:t>
      </w:r>
    </w:p>
    <w:tbl>
      <w:tblPr>
        <w:tblW w:w="90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988"/>
        <w:gridCol w:w="892"/>
        <w:gridCol w:w="892"/>
        <w:gridCol w:w="893"/>
        <w:gridCol w:w="892"/>
        <w:gridCol w:w="893"/>
        <w:gridCol w:w="892"/>
        <w:gridCol w:w="893"/>
        <w:gridCol w:w="892"/>
        <w:gridCol w:w="893"/>
      </w:tblGrid>
      <w:tr w:rsidR="00A131AD" w:rsidRPr="00FB3114" w:rsidTr="00284F26">
        <w:trPr>
          <w:trHeight w:val="367"/>
          <w:jc w:val="center"/>
        </w:trPr>
        <w:tc>
          <w:tcPr>
            <w:tcW w:w="988" w:type="dxa"/>
            <w:vMerge w:val="restart"/>
            <w:shd w:val="clear" w:color="auto" w:fill="E7E6E6" w:themeFill="background2"/>
            <w:noWrap/>
            <w:hideMark/>
          </w:tcPr>
          <w:p w:rsidR="00A131AD" w:rsidRPr="00284F26" w:rsidRDefault="00A131AD" w:rsidP="000C0138">
            <w:pPr>
              <w:pStyle w:val="NoSpacing"/>
              <w:spacing w:line="276" w:lineRule="auto"/>
              <w:rPr>
                <w:b/>
                <w:sz w:val="22"/>
                <w:szCs w:val="22"/>
                <w:lang w:val="hr-HR" w:eastAsia="hr-HR"/>
              </w:rPr>
            </w:pPr>
            <w:r w:rsidRPr="00284F26">
              <w:rPr>
                <w:b/>
                <w:sz w:val="22"/>
                <w:szCs w:val="22"/>
                <w:lang w:val="bs-Latn-BA" w:eastAsia="hr-HR"/>
              </w:rPr>
              <w:t>Godina</w:t>
            </w:r>
          </w:p>
        </w:tc>
        <w:tc>
          <w:tcPr>
            <w:tcW w:w="2677" w:type="dxa"/>
            <w:gridSpan w:val="3"/>
            <w:shd w:val="clear" w:color="auto" w:fill="E7E6E6" w:themeFill="background2"/>
            <w:noWrap/>
            <w:hideMark/>
          </w:tcPr>
          <w:p w:rsidR="00A131AD" w:rsidRPr="00284F26" w:rsidRDefault="00A131AD" w:rsidP="000C0138">
            <w:pPr>
              <w:pStyle w:val="NoSpacing"/>
              <w:spacing w:line="276" w:lineRule="auto"/>
              <w:jc w:val="center"/>
              <w:rPr>
                <w:b/>
                <w:sz w:val="22"/>
                <w:szCs w:val="22"/>
                <w:lang w:val="hr-HR" w:eastAsia="hr-HR"/>
              </w:rPr>
            </w:pPr>
            <w:r w:rsidRPr="00284F26">
              <w:rPr>
                <w:b/>
                <w:sz w:val="22"/>
                <w:szCs w:val="22"/>
                <w:lang w:val="bs-Latn-BA" w:eastAsia="hr-HR"/>
              </w:rPr>
              <w:t>MUŠKARCI</w:t>
            </w:r>
          </w:p>
        </w:tc>
        <w:tc>
          <w:tcPr>
            <w:tcW w:w="2677" w:type="dxa"/>
            <w:gridSpan w:val="3"/>
            <w:shd w:val="clear" w:color="auto" w:fill="E7E6E6" w:themeFill="background2"/>
            <w:noWrap/>
            <w:hideMark/>
          </w:tcPr>
          <w:p w:rsidR="00A131AD" w:rsidRPr="00284F26" w:rsidRDefault="00A131AD" w:rsidP="000C0138">
            <w:pPr>
              <w:pStyle w:val="NoSpacing"/>
              <w:spacing w:line="276" w:lineRule="auto"/>
              <w:jc w:val="center"/>
              <w:rPr>
                <w:b/>
                <w:sz w:val="22"/>
                <w:szCs w:val="22"/>
                <w:lang w:val="hr-HR" w:eastAsia="hr-HR"/>
              </w:rPr>
            </w:pPr>
            <w:r w:rsidRPr="00284F26">
              <w:rPr>
                <w:b/>
                <w:sz w:val="22"/>
                <w:szCs w:val="22"/>
                <w:lang w:val="bs-Latn-BA" w:eastAsia="hr-HR"/>
              </w:rPr>
              <w:t>ŽENE</w:t>
            </w:r>
          </w:p>
        </w:tc>
        <w:tc>
          <w:tcPr>
            <w:tcW w:w="2678" w:type="dxa"/>
            <w:gridSpan w:val="3"/>
            <w:shd w:val="clear" w:color="auto" w:fill="E7E6E6" w:themeFill="background2"/>
            <w:noWrap/>
            <w:hideMark/>
          </w:tcPr>
          <w:p w:rsidR="00A131AD" w:rsidRPr="00284F26" w:rsidRDefault="00A131AD" w:rsidP="000C0138">
            <w:pPr>
              <w:pStyle w:val="NoSpacing"/>
              <w:spacing w:line="276" w:lineRule="auto"/>
              <w:jc w:val="center"/>
              <w:rPr>
                <w:b/>
                <w:sz w:val="22"/>
                <w:szCs w:val="22"/>
                <w:lang w:val="hr-HR" w:eastAsia="hr-HR"/>
              </w:rPr>
            </w:pPr>
            <w:r w:rsidRPr="00284F26">
              <w:rPr>
                <w:b/>
                <w:sz w:val="22"/>
                <w:szCs w:val="22"/>
                <w:lang w:val="bs-Latn-BA" w:eastAsia="hr-HR"/>
              </w:rPr>
              <w:t>UKUPNO</w:t>
            </w:r>
          </w:p>
        </w:tc>
      </w:tr>
      <w:tr w:rsidR="00A131AD" w:rsidRPr="00FB3114" w:rsidTr="00284F26">
        <w:trPr>
          <w:trHeight w:val="966"/>
          <w:jc w:val="center"/>
        </w:trPr>
        <w:tc>
          <w:tcPr>
            <w:tcW w:w="988" w:type="dxa"/>
            <w:vMerge/>
            <w:shd w:val="clear" w:color="auto" w:fill="E7E6E6" w:themeFill="background2"/>
            <w:hideMark/>
          </w:tcPr>
          <w:p w:rsidR="00A131AD" w:rsidRPr="00284F26" w:rsidRDefault="00A131AD" w:rsidP="000C0138">
            <w:pPr>
              <w:pStyle w:val="NoSpacing"/>
              <w:spacing w:line="276" w:lineRule="auto"/>
              <w:rPr>
                <w:b/>
                <w:sz w:val="22"/>
                <w:szCs w:val="22"/>
                <w:lang w:val="hr-HR" w:eastAsia="hr-HR"/>
              </w:rPr>
            </w:pPr>
          </w:p>
        </w:tc>
        <w:tc>
          <w:tcPr>
            <w:tcW w:w="892" w:type="dxa"/>
            <w:shd w:val="clear" w:color="auto" w:fill="E7E6E6" w:themeFill="background2"/>
            <w:hideMark/>
          </w:tcPr>
          <w:p w:rsidR="00A131AD" w:rsidRPr="00284F26" w:rsidRDefault="00A131AD" w:rsidP="000C0138">
            <w:pPr>
              <w:pStyle w:val="NoSpacing"/>
              <w:spacing w:line="276" w:lineRule="auto"/>
              <w:jc w:val="center"/>
              <w:rPr>
                <w:b/>
                <w:sz w:val="22"/>
                <w:szCs w:val="22"/>
                <w:lang w:val="hr-HR" w:eastAsia="hr-HR"/>
              </w:rPr>
            </w:pPr>
            <w:r w:rsidRPr="00284F26">
              <w:rPr>
                <w:b/>
                <w:sz w:val="22"/>
                <w:szCs w:val="22"/>
                <w:lang w:val="bs-Latn-BA" w:eastAsia="hr-HR"/>
              </w:rPr>
              <w:t>Ukupan broj umrlih</w:t>
            </w:r>
          </w:p>
        </w:tc>
        <w:tc>
          <w:tcPr>
            <w:tcW w:w="892" w:type="dxa"/>
            <w:shd w:val="clear" w:color="auto" w:fill="E7E6E6" w:themeFill="background2"/>
            <w:hideMark/>
          </w:tcPr>
          <w:p w:rsidR="00A131AD" w:rsidRPr="00284F26" w:rsidRDefault="00A131AD" w:rsidP="000C0138">
            <w:pPr>
              <w:pStyle w:val="NoSpacing"/>
              <w:spacing w:line="276" w:lineRule="auto"/>
              <w:jc w:val="center"/>
              <w:rPr>
                <w:b/>
                <w:sz w:val="22"/>
                <w:szCs w:val="22"/>
                <w:lang w:val="hr-HR" w:eastAsia="hr-HR"/>
              </w:rPr>
            </w:pPr>
            <w:r w:rsidRPr="00284F26">
              <w:rPr>
                <w:b/>
                <w:sz w:val="22"/>
                <w:szCs w:val="22"/>
                <w:lang w:val="bs-Latn-BA" w:eastAsia="hr-HR"/>
              </w:rPr>
              <w:t>Broj umrlih od raka</w:t>
            </w:r>
          </w:p>
        </w:tc>
        <w:tc>
          <w:tcPr>
            <w:tcW w:w="893" w:type="dxa"/>
            <w:shd w:val="clear" w:color="auto" w:fill="E7E6E6" w:themeFill="background2"/>
            <w:hideMark/>
          </w:tcPr>
          <w:p w:rsidR="00A131AD" w:rsidRPr="00284F26" w:rsidRDefault="00A131AD" w:rsidP="000C0138">
            <w:pPr>
              <w:pStyle w:val="NoSpacing"/>
              <w:spacing w:line="276" w:lineRule="auto"/>
              <w:jc w:val="center"/>
              <w:rPr>
                <w:b/>
                <w:sz w:val="22"/>
                <w:szCs w:val="22"/>
                <w:lang w:val="hr-HR" w:eastAsia="hr-HR"/>
              </w:rPr>
            </w:pPr>
            <w:r w:rsidRPr="00284F26">
              <w:rPr>
                <w:b/>
                <w:sz w:val="22"/>
                <w:szCs w:val="22"/>
                <w:lang w:val="bs-Latn-BA" w:eastAsia="hr-HR"/>
              </w:rPr>
              <w:t>Udio u ukupnom mortalitetu</w:t>
            </w:r>
          </w:p>
        </w:tc>
        <w:tc>
          <w:tcPr>
            <w:tcW w:w="892" w:type="dxa"/>
            <w:shd w:val="clear" w:color="auto" w:fill="E7E6E6" w:themeFill="background2"/>
            <w:hideMark/>
          </w:tcPr>
          <w:p w:rsidR="00A131AD" w:rsidRPr="00284F26" w:rsidRDefault="00A131AD" w:rsidP="000C0138">
            <w:pPr>
              <w:pStyle w:val="NoSpacing"/>
              <w:spacing w:line="276" w:lineRule="auto"/>
              <w:jc w:val="center"/>
              <w:rPr>
                <w:b/>
                <w:sz w:val="22"/>
                <w:szCs w:val="22"/>
                <w:lang w:val="hr-HR" w:eastAsia="hr-HR"/>
              </w:rPr>
            </w:pPr>
            <w:r w:rsidRPr="00284F26">
              <w:rPr>
                <w:b/>
                <w:sz w:val="22"/>
                <w:szCs w:val="22"/>
                <w:lang w:val="bs-Latn-BA" w:eastAsia="hr-HR"/>
              </w:rPr>
              <w:t>Ukupan broj umrlih</w:t>
            </w:r>
          </w:p>
        </w:tc>
        <w:tc>
          <w:tcPr>
            <w:tcW w:w="893" w:type="dxa"/>
            <w:shd w:val="clear" w:color="auto" w:fill="E7E6E6" w:themeFill="background2"/>
            <w:hideMark/>
          </w:tcPr>
          <w:p w:rsidR="00A131AD" w:rsidRPr="00284F26" w:rsidRDefault="00A131AD" w:rsidP="000C0138">
            <w:pPr>
              <w:pStyle w:val="NoSpacing"/>
              <w:spacing w:line="276" w:lineRule="auto"/>
              <w:jc w:val="center"/>
              <w:rPr>
                <w:b/>
                <w:sz w:val="22"/>
                <w:szCs w:val="22"/>
                <w:lang w:val="hr-HR" w:eastAsia="hr-HR"/>
              </w:rPr>
            </w:pPr>
            <w:r w:rsidRPr="00284F26">
              <w:rPr>
                <w:b/>
                <w:sz w:val="22"/>
                <w:szCs w:val="22"/>
                <w:lang w:val="bs-Latn-BA" w:eastAsia="hr-HR"/>
              </w:rPr>
              <w:t>Broj umrlih od raka</w:t>
            </w:r>
          </w:p>
        </w:tc>
        <w:tc>
          <w:tcPr>
            <w:tcW w:w="892" w:type="dxa"/>
            <w:shd w:val="clear" w:color="auto" w:fill="E7E6E6" w:themeFill="background2"/>
            <w:hideMark/>
          </w:tcPr>
          <w:p w:rsidR="00A131AD" w:rsidRPr="00284F26" w:rsidRDefault="00A131AD" w:rsidP="000C0138">
            <w:pPr>
              <w:pStyle w:val="NoSpacing"/>
              <w:spacing w:line="276" w:lineRule="auto"/>
              <w:jc w:val="center"/>
              <w:rPr>
                <w:b/>
                <w:sz w:val="22"/>
                <w:szCs w:val="22"/>
                <w:lang w:val="hr-HR" w:eastAsia="hr-HR"/>
              </w:rPr>
            </w:pPr>
            <w:r w:rsidRPr="00284F26">
              <w:rPr>
                <w:b/>
                <w:sz w:val="22"/>
                <w:szCs w:val="22"/>
                <w:lang w:val="bs-Latn-BA" w:eastAsia="hr-HR"/>
              </w:rPr>
              <w:t>Udio u ukupnom mortalitetu</w:t>
            </w:r>
          </w:p>
        </w:tc>
        <w:tc>
          <w:tcPr>
            <w:tcW w:w="893" w:type="dxa"/>
            <w:shd w:val="clear" w:color="auto" w:fill="E7E6E6" w:themeFill="background2"/>
            <w:hideMark/>
          </w:tcPr>
          <w:p w:rsidR="00A131AD" w:rsidRPr="00284F26" w:rsidRDefault="00A131AD" w:rsidP="000C0138">
            <w:pPr>
              <w:pStyle w:val="NoSpacing"/>
              <w:spacing w:line="276" w:lineRule="auto"/>
              <w:jc w:val="center"/>
              <w:rPr>
                <w:b/>
                <w:sz w:val="22"/>
                <w:szCs w:val="22"/>
                <w:lang w:val="hr-HR" w:eastAsia="hr-HR"/>
              </w:rPr>
            </w:pPr>
            <w:r w:rsidRPr="00284F26">
              <w:rPr>
                <w:b/>
                <w:sz w:val="22"/>
                <w:szCs w:val="22"/>
                <w:lang w:val="bs-Latn-BA" w:eastAsia="hr-HR"/>
              </w:rPr>
              <w:t>Ukupan broj umrlih</w:t>
            </w:r>
          </w:p>
        </w:tc>
        <w:tc>
          <w:tcPr>
            <w:tcW w:w="892" w:type="dxa"/>
            <w:shd w:val="clear" w:color="auto" w:fill="E7E6E6" w:themeFill="background2"/>
            <w:hideMark/>
          </w:tcPr>
          <w:p w:rsidR="00A131AD" w:rsidRPr="00284F26" w:rsidRDefault="00A131AD" w:rsidP="000C0138">
            <w:pPr>
              <w:pStyle w:val="NoSpacing"/>
              <w:spacing w:line="276" w:lineRule="auto"/>
              <w:jc w:val="center"/>
              <w:rPr>
                <w:b/>
                <w:sz w:val="22"/>
                <w:szCs w:val="22"/>
                <w:lang w:val="hr-HR" w:eastAsia="hr-HR"/>
              </w:rPr>
            </w:pPr>
            <w:r w:rsidRPr="00284F26">
              <w:rPr>
                <w:b/>
                <w:sz w:val="22"/>
                <w:szCs w:val="22"/>
                <w:lang w:val="bs-Latn-BA" w:eastAsia="hr-HR"/>
              </w:rPr>
              <w:t>Broj umrlih od raka</w:t>
            </w:r>
          </w:p>
        </w:tc>
        <w:tc>
          <w:tcPr>
            <w:tcW w:w="893" w:type="dxa"/>
            <w:shd w:val="clear" w:color="auto" w:fill="E7E6E6" w:themeFill="background2"/>
            <w:hideMark/>
          </w:tcPr>
          <w:p w:rsidR="00A131AD" w:rsidRPr="00284F26" w:rsidRDefault="00A131AD" w:rsidP="000C0138">
            <w:pPr>
              <w:pStyle w:val="NoSpacing"/>
              <w:spacing w:line="276" w:lineRule="auto"/>
              <w:jc w:val="center"/>
              <w:rPr>
                <w:b/>
                <w:sz w:val="22"/>
                <w:szCs w:val="22"/>
                <w:lang w:val="hr-HR" w:eastAsia="hr-HR"/>
              </w:rPr>
            </w:pPr>
            <w:r w:rsidRPr="00284F26">
              <w:rPr>
                <w:b/>
                <w:sz w:val="22"/>
                <w:szCs w:val="22"/>
                <w:lang w:val="bs-Latn-BA" w:eastAsia="hr-HR"/>
              </w:rPr>
              <w:t>Udio u ukupnom mortalitetu</w:t>
            </w:r>
          </w:p>
        </w:tc>
      </w:tr>
      <w:tr w:rsidR="00A131AD" w:rsidRPr="00FB3114" w:rsidTr="001911A6">
        <w:trPr>
          <w:trHeight w:val="367"/>
          <w:jc w:val="center"/>
        </w:trPr>
        <w:tc>
          <w:tcPr>
            <w:tcW w:w="988" w:type="dxa"/>
            <w:shd w:val="clear" w:color="auto" w:fill="FFFFFF" w:themeFill="background1"/>
            <w:noWrap/>
            <w:hideMark/>
          </w:tcPr>
          <w:p w:rsidR="00A131AD" w:rsidRPr="00FB3114" w:rsidRDefault="00A131AD" w:rsidP="000C0138">
            <w:pPr>
              <w:pStyle w:val="NoSpacing"/>
              <w:spacing w:line="276" w:lineRule="auto"/>
              <w:rPr>
                <w:sz w:val="22"/>
                <w:szCs w:val="22"/>
                <w:lang w:val="hr-HR" w:eastAsia="hr-HR"/>
              </w:rPr>
            </w:pPr>
            <w:r w:rsidRPr="00FB3114">
              <w:rPr>
                <w:sz w:val="22"/>
                <w:szCs w:val="22"/>
                <w:lang w:val="bs-Latn-BA" w:eastAsia="hr-HR"/>
              </w:rPr>
              <w:t>2010</w:t>
            </w:r>
            <w:r w:rsidR="00874E9B">
              <w:rPr>
                <w:sz w:val="22"/>
                <w:szCs w:val="22"/>
                <w:lang w:val="bs-Latn-BA" w:eastAsia="hr-HR"/>
              </w:rPr>
              <w:t>.</w:t>
            </w:r>
          </w:p>
        </w:tc>
        <w:tc>
          <w:tcPr>
            <w:tcW w:w="892"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bs-Latn-BA" w:eastAsia="hr-HR"/>
              </w:rPr>
              <w:t>10220</w:t>
            </w:r>
          </w:p>
        </w:tc>
        <w:tc>
          <w:tcPr>
            <w:tcW w:w="892"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bs-Latn-BA" w:eastAsia="hr-HR"/>
              </w:rPr>
              <w:t>2361</w:t>
            </w:r>
          </w:p>
        </w:tc>
        <w:tc>
          <w:tcPr>
            <w:tcW w:w="893"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bs-Latn-BA" w:eastAsia="hr-HR"/>
              </w:rPr>
              <w:t>23,1</w:t>
            </w:r>
          </w:p>
        </w:tc>
        <w:tc>
          <w:tcPr>
            <w:tcW w:w="892"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bs-Latn-BA" w:eastAsia="hr-HR"/>
              </w:rPr>
              <w:t>10036</w:t>
            </w:r>
          </w:p>
        </w:tc>
        <w:tc>
          <w:tcPr>
            <w:tcW w:w="893"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bs-Latn-BA" w:eastAsia="hr-HR"/>
              </w:rPr>
              <w:t>1732</w:t>
            </w:r>
          </w:p>
        </w:tc>
        <w:tc>
          <w:tcPr>
            <w:tcW w:w="892"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bs-Latn-BA" w:eastAsia="hr-HR"/>
              </w:rPr>
              <w:t>17,3</w:t>
            </w:r>
          </w:p>
        </w:tc>
        <w:tc>
          <w:tcPr>
            <w:tcW w:w="893"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bs-Latn-BA" w:eastAsia="hr-HR"/>
              </w:rPr>
              <w:t>20256</w:t>
            </w:r>
          </w:p>
        </w:tc>
        <w:tc>
          <w:tcPr>
            <w:tcW w:w="892"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bs-Latn-BA" w:eastAsia="hr-HR"/>
              </w:rPr>
              <w:t>4093</w:t>
            </w:r>
          </w:p>
        </w:tc>
        <w:tc>
          <w:tcPr>
            <w:tcW w:w="893"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bs-Latn-BA" w:eastAsia="hr-HR"/>
              </w:rPr>
              <w:t>20,2</w:t>
            </w:r>
          </w:p>
        </w:tc>
      </w:tr>
      <w:tr w:rsidR="00A131AD" w:rsidRPr="00FB3114" w:rsidTr="001911A6">
        <w:trPr>
          <w:trHeight w:val="367"/>
          <w:jc w:val="center"/>
        </w:trPr>
        <w:tc>
          <w:tcPr>
            <w:tcW w:w="988" w:type="dxa"/>
            <w:shd w:val="clear" w:color="auto" w:fill="FFFFFF" w:themeFill="background1"/>
            <w:noWrap/>
            <w:hideMark/>
          </w:tcPr>
          <w:p w:rsidR="00A131AD" w:rsidRPr="00FB3114" w:rsidRDefault="00A131AD" w:rsidP="000C0138">
            <w:pPr>
              <w:pStyle w:val="NoSpacing"/>
              <w:spacing w:line="276" w:lineRule="auto"/>
              <w:rPr>
                <w:sz w:val="22"/>
                <w:szCs w:val="22"/>
                <w:lang w:val="hr-HR" w:eastAsia="hr-HR"/>
              </w:rPr>
            </w:pPr>
            <w:r w:rsidRPr="00FB3114">
              <w:rPr>
                <w:sz w:val="22"/>
                <w:szCs w:val="22"/>
                <w:lang w:val="bs-Latn-BA" w:eastAsia="hr-HR"/>
              </w:rPr>
              <w:t>2011</w:t>
            </w:r>
            <w:r w:rsidR="00874E9B">
              <w:rPr>
                <w:sz w:val="22"/>
                <w:szCs w:val="22"/>
                <w:lang w:val="bs-Latn-BA" w:eastAsia="hr-HR"/>
              </w:rPr>
              <w:t>.</w:t>
            </w:r>
          </w:p>
        </w:tc>
        <w:tc>
          <w:tcPr>
            <w:tcW w:w="892"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bs-Latn-BA" w:eastAsia="hr-HR"/>
              </w:rPr>
              <w:t>10234</w:t>
            </w:r>
          </w:p>
        </w:tc>
        <w:tc>
          <w:tcPr>
            <w:tcW w:w="892"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bs-Latn-BA" w:eastAsia="hr-HR"/>
              </w:rPr>
              <w:t>2468</w:t>
            </w:r>
          </w:p>
        </w:tc>
        <w:tc>
          <w:tcPr>
            <w:tcW w:w="893"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bs-Latn-BA" w:eastAsia="hr-HR"/>
              </w:rPr>
              <w:t>24,1</w:t>
            </w:r>
          </w:p>
        </w:tc>
        <w:tc>
          <w:tcPr>
            <w:tcW w:w="892"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bs-Latn-BA" w:eastAsia="hr-HR"/>
              </w:rPr>
              <w:t>9745</w:t>
            </w:r>
          </w:p>
        </w:tc>
        <w:tc>
          <w:tcPr>
            <w:tcW w:w="893"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bs-Latn-BA" w:eastAsia="hr-HR"/>
              </w:rPr>
              <w:t>1673</w:t>
            </w:r>
          </w:p>
        </w:tc>
        <w:tc>
          <w:tcPr>
            <w:tcW w:w="892"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bs-Latn-BA" w:eastAsia="hr-HR"/>
              </w:rPr>
              <w:t>17,2</w:t>
            </w:r>
          </w:p>
        </w:tc>
        <w:tc>
          <w:tcPr>
            <w:tcW w:w="893"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bs-Latn-BA" w:eastAsia="hr-HR"/>
              </w:rPr>
              <w:t>19979</w:t>
            </w:r>
          </w:p>
        </w:tc>
        <w:tc>
          <w:tcPr>
            <w:tcW w:w="892"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bs-Latn-BA" w:eastAsia="hr-HR"/>
              </w:rPr>
              <w:t>4141</w:t>
            </w:r>
          </w:p>
        </w:tc>
        <w:tc>
          <w:tcPr>
            <w:tcW w:w="893"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bs-Latn-BA" w:eastAsia="hr-HR"/>
              </w:rPr>
              <w:t>20,7</w:t>
            </w:r>
          </w:p>
        </w:tc>
      </w:tr>
      <w:tr w:rsidR="00A131AD" w:rsidRPr="00FB3114" w:rsidTr="001911A6">
        <w:trPr>
          <w:trHeight w:val="367"/>
          <w:jc w:val="center"/>
        </w:trPr>
        <w:tc>
          <w:tcPr>
            <w:tcW w:w="988" w:type="dxa"/>
            <w:shd w:val="clear" w:color="auto" w:fill="FFFFFF" w:themeFill="background1"/>
            <w:noWrap/>
            <w:hideMark/>
          </w:tcPr>
          <w:p w:rsidR="00A131AD" w:rsidRPr="00FB3114" w:rsidRDefault="00A131AD" w:rsidP="000C0138">
            <w:pPr>
              <w:pStyle w:val="NoSpacing"/>
              <w:spacing w:line="276" w:lineRule="auto"/>
              <w:rPr>
                <w:sz w:val="22"/>
                <w:szCs w:val="22"/>
                <w:lang w:val="hr-HR" w:eastAsia="hr-HR"/>
              </w:rPr>
            </w:pPr>
            <w:r w:rsidRPr="00FB3114">
              <w:rPr>
                <w:sz w:val="22"/>
                <w:szCs w:val="22"/>
                <w:lang w:val="bs-Latn-BA" w:eastAsia="hr-HR"/>
              </w:rPr>
              <w:t>2012</w:t>
            </w:r>
            <w:r w:rsidR="00874E9B">
              <w:rPr>
                <w:sz w:val="22"/>
                <w:szCs w:val="22"/>
                <w:lang w:val="bs-Latn-BA" w:eastAsia="hr-HR"/>
              </w:rPr>
              <w:t>.</w:t>
            </w:r>
          </w:p>
        </w:tc>
        <w:tc>
          <w:tcPr>
            <w:tcW w:w="892"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bs-Latn-BA" w:eastAsia="hr-HR"/>
              </w:rPr>
              <w:t>10591</w:t>
            </w:r>
          </w:p>
        </w:tc>
        <w:tc>
          <w:tcPr>
            <w:tcW w:w="892"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bs-Latn-BA" w:eastAsia="hr-HR"/>
              </w:rPr>
              <w:t>2546</w:t>
            </w:r>
          </w:p>
        </w:tc>
        <w:tc>
          <w:tcPr>
            <w:tcW w:w="893"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bs-Latn-BA" w:eastAsia="hr-HR"/>
              </w:rPr>
              <w:t>24</w:t>
            </w:r>
          </w:p>
        </w:tc>
        <w:tc>
          <w:tcPr>
            <w:tcW w:w="892"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bs-Latn-BA" w:eastAsia="hr-HR"/>
              </w:rPr>
              <w:t>10010</w:t>
            </w:r>
          </w:p>
        </w:tc>
        <w:tc>
          <w:tcPr>
            <w:tcW w:w="893"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bs-Latn-BA" w:eastAsia="hr-HR"/>
              </w:rPr>
              <w:t>1859</w:t>
            </w:r>
          </w:p>
        </w:tc>
        <w:tc>
          <w:tcPr>
            <w:tcW w:w="892"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bs-Latn-BA" w:eastAsia="hr-HR"/>
              </w:rPr>
              <w:t>18,6</w:t>
            </w:r>
          </w:p>
        </w:tc>
        <w:tc>
          <w:tcPr>
            <w:tcW w:w="893"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bs-Latn-BA" w:eastAsia="hr-HR"/>
              </w:rPr>
              <w:t>20601</w:t>
            </w:r>
          </w:p>
        </w:tc>
        <w:tc>
          <w:tcPr>
            <w:tcW w:w="892"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bs-Latn-BA" w:eastAsia="hr-HR"/>
              </w:rPr>
              <w:t>4405</w:t>
            </w:r>
          </w:p>
        </w:tc>
        <w:tc>
          <w:tcPr>
            <w:tcW w:w="893"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bs-Latn-BA" w:eastAsia="hr-HR"/>
              </w:rPr>
              <w:t>21,4</w:t>
            </w:r>
          </w:p>
        </w:tc>
      </w:tr>
      <w:tr w:rsidR="00A131AD" w:rsidRPr="00FB3114" w:rsidTr="001911A6">
        <w:trPr>
          <w:trHeight w:val="82"/>
          <w:jc w:val="center"/>
        </w:trPr>
        <w:tc>
          <w:tcPr>
            <w:tcW w:w="988" w:type="dxa"/>
            <w:shd w:val="clear" w:color="auto" w:fill="FFFFFF" w:themeFill="background1"/>
            <w:noWrap/>
            <w:hideMark/>
          </w:tcPr>
          <w:p w:rsidR="00A131AD" w:rsidRPr="00FB3114" w:rsidRDefault="00A131AD" w:rsidP="000C0138">
            <w:pPr>
              <w:pStyle w:val="NoSpacing"/>
              <w:spacing w:line="276" w:lineRule="auto"/>
              <w:rPr>
                <w:sz w:val="22"/>
                <w:szCs w:val="22"/>
                <w:lang w:val="hr-HR" w:eastAsia="hr-HR"/>
              </w:rPr>
            </w:pPr>
            <w:r w:rsidRPr="00FB3114">
              <w:rPr>
                <w:sz w:val="22"/>
                <w:szCs w:val="22"/>
                <w:lang w:val="bs-Latn-BA" w:eastAsia="hr-HR"/>
              </w:rPr>
              <w:t>2013</w:t>
            </w:r>
            <w:r w:rsidR="00874E9B">
              <w:rPr>
                <w:sz w:val="22"/>
                <w:szCs w:val="22"/>
                <w:lang w:val="bs-Latn-BA" w:eastAsia="hr-HR"/>
              </w:rPr>
              <w:t>.</w:t>
            </w:r>
          </w:p>
        </w:tc>
        <w:tc>
          <w:tcPr>
            <w:tcW w:w="892"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bs-Latn-BA" w:eastAsia="hr-HR"/>
              </w:rPr>
              <w:t>10237</w:t>
            </w:r>
          </w:p>
        </w:tc>
        <w:tc>
          <w:tcPr>
            <w:tcW w:w="892"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bs-Latn-BA" w:eastAsia="hr-HR"/>
              </w:rPr>
              <w:t>2354</w:t>
            </w:r>
          </w:p>
        </w:tc>
        <w:tc>
          <w:tcPr>
            <w:tcW w:w="893"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bs-Latn-BA" w:eastAsia="hr-HR"/>
              </w:rPr>
              <w:t>23</w:t>
            </w:r>
          </w:p>
        </w:tc>
        <w:tc>
          <w:tcPr>
            <w:tcW w:w="892"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bs-Latn-BA" w:eastAsia="hr-HR"/>
              </w:rPr>
              <w:t>10019</w:t>
            </w:r>
          </w:p>
        </w:tc>
        <w:tc>
          <w:tcPr>
            <w:tcW w:w="893"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bs-Latn-BA" w:eastAsia="hr-HR"/>
              </w:rPr>
              <w:t>1782</w:t>
            </w:r>
          </w:p>
        </w:tc>
        <w:tc>
          <w:tcPr>
            <w:tcW w:w="892"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bs-Latn-BA" w:eastAsia="hr-HR"/>
              </w:rPr>
              <w:t>17,8</w:t>
            </w:r>
          </w:p>
        </w:tc>
        <w:tc>
          <w:tcPr>
            <w:tcW w:w="893"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bs-Latn-BA" w:eastAsia="hr-HR"/>
              </w:rPr>
              <w:t>20246</w:t>
            </w:r>
          </w:p>
        </w:tc>
        <w:tc>
          <w:tcPr>
            <w:tcW w:w="892"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bs-Latn-BA" w:eastAsia="hr-HR"/>
              </w:rPr>
              <w:t>4136</w:t>
            </w:r>
          </w:p>
        </w:tc>
        <w:tc>
          <w:tcPr>
            <w:tcW w:w="893"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bs-Latn-BA" w:eastAsia="hr-HR"/>
              </w:rPr>
              <w:t>20,4</w:t>
            </w:r>
          </w:p>
        </w:tc>
      </w:tr>
      <w:tr w:rsidR="00A131AD" w:rsidRPr="00FB3114" w:rsidTr="001911A6">
        <w:trPr>
          <w:trHeight w:val="367"/>
          <w:jc w:val="center"/>
        </w:trPr>
        <w:tc>
          <w:tcPr>
            <w:tcW w:w="988" w:type="dxa"/>
            <w:shd w:val="clear" w:color="auto" w:fill="FFFFFF" w:themeFill="background1"/>
            <w:noWrap/>
            <w:hideMark/>
          </w:tcPr>
          <w:p w:rsidR="00A131AD" w:rsidRPr="00FB3114" w:rsidRDefault="00A131AD" w:rsidP="000C0138">
            <w:pPr>
              <w:pStyle w:val="NoSpacing"/>
              <w:spacing w:line="276" w:lineRule="auto"/>
              <w:rPr>
                <w:sz w:val="22"/>
                <w:szCs w:val="22"/>
                <w:lang w:val="hr-HR" w:eastAsia="hr-HR"/>
              </w:rPr>
            </w:pPr>
            <w:r w:rsidRPr="00FB3114">
              <w:rPr>
                <w:sz w:val="22"/>
                <w:szCs w:val="22"/>
                <w:lang w:val="bs-Latn-BA" w:eastAsia="hr-HR"/>
              </w:rPr>
              <w:t>2014</w:t>
            </w:r>
            <w:r w:rsidR="00874E9B">
              <w:rPr>
                <w:sz w:val="22"/>
                <w:szCs w:val="22"/>
                <w:lang w:val="bs-Latn-BA" w:eastAsia="hr-HR"/>
              </w:rPr>
              <w:t>.</w:t>
            </w:r>
          </w:p>
        </w:tc>
        <w:tc>
          <w:tcPr>
            <w:tcW w:w="892"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bs-Latn-BA" w:eastAsia="hr-HR"/>
              </w:rPr>
              <w:t>10176</w:t>
            </w:r>
          </w:p>
        </w:tc>
        <w:tc>
          <w:tcPr>
            <w:tcW w:w="892"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bs-Latn-BA" w:eastAsia="hr-HR"/>
              </w:rPr>
              <w:t>2573</w:t>
            </w:r>
          </w:p>
        </w:tc>
        <w:tc>
          <w:tcPr>
            <w:tcW w:w="893"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bs-Latn-BA" w:eastAsia="hr-HR"/>
              </w:rPr>
              <w:t>25,3</w:t>
            </w:r>
          </w:p>
        </w:tc>
        <w:tc>
          <w:tcPr>
            <w:tcW w:w="892"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bs-Latn-BA" w:eastAsia="hr-HR"/>
              </w:rPr>
              <w:t>9840</w:t>
            </w:r>
          </w:p>
        </w:tc>
        <w:tc>
          <w:tcPr>
            <w:tcW w:w="893"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bs-Latn-BA" w:eastAsia="hr-HR"/>
              </w:rPr>
              <w:t>1770</w:t>
            </w:r>
          </w:p>
        </w:tc>
        <w:tc>
          <w:tcPr>
            <w:tcW w:w="892"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bs-Latn-BA" w:eastAsia="hr-HR"/>
              </w:rPr>
              <w:t>18</w:t>
            </w:r>
          </w:p>
        </w:tc>
        <w:tc>
          <w:tcPr>
            <w:tcW w:w="893"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bs-Latn-BA" w:eastAsia="hr-HR"/>
              </w:rPr>
              <w:t>20016</w:t>
            </w:r>
          </w:p>
        </w:tc>
        <w:tc>
          <w:tcPr>
            <w:tcW w:w="892"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bs-Latn-BA" w:eastAsia="hr-HR"/>
              </w:rPr>
              <w:t>4327</w:t>
            </w:r>
          </w:p>
        </w:tc>
        <w:tc>
          <w:tcPr>
            <w:tcW w:w="893"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bs-Latn-BA" w:eastAsia="hr-HR"/>
              </w:rPr>
              <w:t>21,6</w:t>
            </w:r>
          </w:p>
        </w:tc>
      </w:tr>
      <w:tr w:rsidR="00A131AD" w:rsidRPr="00FB3114" w:rsidTr="001911A6">
        <w:trPr>
          <w:trHeight w:val="162"/>
          <w:jc w:val="center"/>
        </w:trPr>
        <w:tc>
          <w:tcPr>
            <w:tcW w:w="988" w:type="dxa"/>
            <w:shd w:val="clear" w:color="auto" w:fill="FFFFFF" w:themeFill="background1"/>
            <w:noWrap/>
            <w:hideMark/>
          </w:tcPr>
          <w:p w:rsidR="00A131AD" w:rsidRPr="00FB3114" w:rsidRDefault="00A131AD" w:rsidP="000C0138">
            <w:pPr>
              <w:pStyle w:val="NoSpacing"/>
              <w:spacing w:line="276" w:lineRule="auto"/>
              <w:rPr>
                <w:sz w:val="22"/>
                <w:szCs w:val="22"/>
                <w:lang w:val="hr-HR" w:eastAsia="hr-HR"/>
              </w:rPr>
            </w:pPr>
            <w:r w:rsidRPr="00FB3114">
              <w:rPr>
                <w:sz w:val="22"/>
                <w:szCs w:val="22"/>
                <w:lang w:val="bs-Latn-BA" w:eastAsia="hr-HR"/>
              </w:rPr>
              <w:t>2010-14</w:t>
            </w:r>
          </w:p>
        </w:tc>
        <w:tc>
          <w:tcPr>
            <w:tcW w:w="892"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bs-Latn-BA" w:eastAsia="hr-HR"/>
              </w:rPr>
              <w:t>51458</w:t>
            </w:r>
          </w:p>
        </w:tc>
        <w:tc>
          <w:tcPr>
            <w:tcW w:w="892"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hr-HR" w:eastAsia="hr-HR"/>
              </w:rPr>
              <w:t>12302</w:t>
            </w:r>
          </w:p>
        </w:tc>
        <w:tc>
          <w:tcPr>
            <w:tcW w:w="893"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hr-HR" w:eastAsia="hr-HR"/>
              </w:rPr>
              <w:t>23,9</w:t>
            </w:r>
          </w:p>
        </w:tc>
        <w:tc>
          <w:tcPr>
            <w:tcW w:w="892"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hr-HR" w:eastAsia="hr-HR"/>
              </w:rPr>
              <w:t>49650</w:t>
            </w:r>
          </w:p>
        </w:tc>
        <w:tc>
          <w:tcPr>
            <w:tcW w:w="893"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hr-HR" w:eastAsia="hr-HR"/>
              </w:rPr>
              <w:t>8816</w:t>
            </w:r>
          </w:p>
        </w:tc>
        <w:tc>
          <w:tcPr>
            <w:tcW w:w="892"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hr-HR" w:eastAsia="hr-HR"/>
              </w:rPr>
              <w:t>17,7</w:t>
            </w:r>
          </w:p>
        </w:tc>
        <w:tc>
          <w:tcPr>
            <w:tcW w:w="893"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hr-HR" w:eastAsia="hr-HR"/>
              </w:rPr>
              <w:t>101098</w:t>
            </w:r>
          </w:p>
        </w:tc>
        <w:tc>
          <w:tcPr>
            <w:tcW w:w="892"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hr-HR" w:eastAsia="hr-HR"/>
              </w:rPr>
              <w:t>21102</w:t>
            </w:r>
          </w:p>
        </w:tc>
        <w:tc>
          <w:tcPr>
            <w:tcW w:w="893" w:type="dxa"/>
            <w:shd w:val="clear" w:color="auto" w:fill="FFFFFF" w:themeFill="background1"/>
            <w:noWrap/>
            <w:hideMark/>
          </w:tcPr>
          <w:p w:rsidR="00A131AD" w:rsidRPr="00FB3114" w:rsidRDefault="00A131AD" w:rsidP="000C0138">
            <w:pPr>
              <w:pStyle w:val="NoSpacing"/>
              <w:spacing w:line="276" w:lineRule="auto"/>
              <w:jc w:val="center"/>
              <w:rPr>
                <w:sz w:val="22"/>
                <w:szCs w:val="22"/>
                <w:lang w:val="hr-HR" w:eastAsia="hr-HR"/>
              </w:rPr>
            </w:pPr>
            <w:r w:rsidRPr="00FB3114">
              <w:rPr>
                <w:sz w:val="22"/>
                <w:szCs w:val="22"/>
                <w:lang w:val="hr-HR" w:eastAsia="hr-HR"/>
              </w:rPr>
              <w:t>20,9</w:t>
            </w:r>
          </w:p>
        </w:tc>
      </w:tr>
    </w:tbl>
    <w:p w:rsidR="00A131AD" w:rsidRPr="00155F80" w:rsidRDefault="00A131AD" w:rsidP="000C0138">
      <w:pPr>
        <w:spacing w:after="200" w:line="276" w:lineRule="auto"/>
        <w:jc w:val="left"/>
        <w:rPr>
          <w:rFonts w:ascii="Times New Roman" w:eastAsia="Calibri" w:hAnsi="Times New Roman"/>
          <w:bCs/>
          <w:lang w:val="hr-HR"/>
        </w:rPr>
      </w:pPr>
      <w:r w:rsidRPr="00155F80">
        <w:rPr>
          <w:rFonts w:ascii="Times New Roman" w:eastAsia="Calibri" w:hAnsi="Times New Roman"/>
          <w:bCs/>
          <w:lang w:val="hr-HR"/>
        </w:rPr>
        <w:t>Izvor: Federalni zavod za statistiku</w:t>
      </w:r>
    </w:p>
    <w:p w:rsidR="00C45324" w:rsidRPr="00155F80" w:rsidRDefault="00C45324" w:rsidP="00C45324">
      <w:pPr>
        <w:spacing w:after="200" w:line="276" w:lineRule="auto"/>
        <w:contextualSpacing/>
        <w:rPr>
          <w:rFonts w:ascii="Times New Roman" w:eastAsia="Calibri" w:hAnsi="Times New Roman"/>
          <w:bCs/>
          <w:lang w:val="hr-HR"/>
        </w:rPr>
      </w:pPr>
      <w:r w:rsidRPr="00155F80">
        <w:rPr>
          <w:rFonts w:ascii="Times New Roman" w:eastAsia="Calibri" w:hAnsi="Times New Roman"/>
          <w:bCs/>
          <w:lang w:val="hr-HR"/>
        </w:rPr>
        <w:t>U 2014.godini je od raka umrlo više muškaraca (57,8%) nego žena (42,2%). Najveća stopa umiranja od karcinoma (za oba spola) je zabilježena u dobnoj skupini iznad 65 godina.</w:t>
      </w:r>
    </w:p>
    <w:p w:rsidR="00A131AD" w:rsidRPr="00155F80" w:rsidRDefault="00A131AD" w:rsidP="00EB7CC7">
      <w:pPr>
        <w:pStyle w:val="refererere"/>
        <w:rPr>
          <w:rFonts w:eastAsia="Calibri"/>
          <w:lang w:val="hr-HR"/>
        </w:rPr>
      </w:pPr>
      <w:r w:rsidRPr="00155F80">
        <w:rPr>
          <w:rFonts w:eastAsia="Calibri"/>
          <w:lang w:val="hr-HR"/>
        </w:rPr>
        <w:t>Grafikon 35: Mortalitet raka u Federaciji BiH, po dobnim skupinama i spolu, 2014. godina, stopa na 100.000 stanovnika</w:t>
      </w:r>
    </w:p>
    <w:p w:rsidR="00A131AD" w:rsidRPr="00155F80" w:rsidRDefault="00A131AD" w:rsidP="000C0138">
      <w:pPr>
        <w:spacing w:after="200" w:line="276" w:lineRule="auto"/>
        <w:jc w:val="left"/>
        <w:rPr>
          <w:rFonts w:ascii="Times New Roman" w:eastAsia="Calibri" w:hAnsi="Times New Roman"/>
          <w:lang w:val="hr-HR"/>
        </w:rPr>
      </w:pPr>
      <w:r w:rsidRPr="00155F80">
        <w:rPr>
          <w:rFonts w:ascii="Times New Roman" w:eastAsia="Calibri" w:hAnsi="Times New Roman"/>
          <w:noProof/>
          <w:lang w:val="bs-Latn-BA" w:eastAsia="bs-Latn-BA"/>
        </w:rPr>
        <w:drawing>
          <wp:inline distT="0" distB="0" distL="0" distR="0" wp14:anchorId="495F2B0F" wp14:editId="6303BDD5">
            <wp:extent cx="5676900" cy="1952625"/>
            <wp:effectExtent l="0" t="0" r="0" b="952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76900" cy="1952625"/>
                    </a:xfrm>
                    <a:prstGeom prst="rect">
                      <a:avLst/>
                    </a:prstGeom>
                    <a:noFill/>
                  </pic:spPr>
                </pic:pic>
              </a:graphicData>
            </a:graphic>
          </wp:inline>
        </w:drawing>
      </w:r>
    </w:p>
    <w:p w:rsidR="00C45324" w:rsidRDefault="00A131AD" w:rsidP="000C0138">
      <w:pPr>
        <w:spacing w:after="200" w:line="276" w:lineRule="auto"/>
        <w:contextualSpacing/>
        <w:rPr>
          <w:rFonts w:ascii="Times New Roman" w:eastAsia="Calibri" w:hAnsi="Times New Roman"/>
          <w:bCs/>
          <w:lang w:val="hr-HR"/>
        </w:rPr>
      </w:pPr>
      <w:r w:rsidRPr="00155F80">
        <w:rPr>
          <w:rFonts w:ascii="Times New Roman" w:eastAsia="Calibri" w:hAnsi="Times New Roman"/>
          <w:bCs/>
          <w:lang w:val="hr-HR"/>
        </w:rPr>
        <w:t>Redoslijed vodećih lokalizacija raka kod muškaraca je znatnije izmjenjen u odnosu na 2013.godinu. Rak jetre (na šestom mjestu) je u 2013.godini imao viši rang (četvrto mjesto). Rak debelog crijeva na četvrtom mjestu sa većim udjelom u odnosu na 2013.godinu. Rak prostate je na drugom mjestu sa većim udjelom u odnosu na 2013.godinu, a rak bubrega u 2014.godini nije među vodećim lokalizacijama raka. Rak pluća,bronha i traheja je vodeći uzrok smrti kod muškaraca od raka u 2014.</w:t>
      </w:r>
    </w:p>
    <w:p w:rsidR="00C45324" w:rsidRDefault="00A131AD" w:rsidP="000C0138">
      <w:pPr>
        <w:spacing w:after="200" w:line="276" w:lineRule="auto"/>
        <w:contextualSpacing/>
        <w:rPr>
          <w:rFonts w:ascii="Times New Roman" w:eastAsia="Calibri" w:hAnsi="Times New Roman"/>
          <w:bCs/>
          <w:lang w:val="hr-HR"/>
        </w:rPr>
      </w:pPr>
      <w:r w:rsidRPr="00155F80">
        <w:rPr>
          <w:rFonts w:ascii="Times New Roman" w:eastAsia="Calibri" w:hAnsi="Times New Roman"/>
          <w:bCs/>
          <w:lang w:val="hr-HR"/>
        </w:rPr>
        <w:t>godini.</w:t>
      </w:r>
    </w:p>
    <w:p w:rsidR="00874E9B" w:rsidRDefault="00874E9B">
      <w:pPr>
        <w:spacing w:after="160" w:line="259" w:lineRule="auto"/>
        <w:jc w:val="left"/>
        <w:rPr>
          <w:rFonts w:ascii="Times New Roman" w:eastAsia="Calibri" w:hAnsi="Times New Roman"/>
          <w:sz w:val="20"/>
          <w:szCs w:val="20"/>
          <w:lang w:val="hr-HR"/>
        </w:rPr>
      </w:pPr>
      <w:r>
        <w:rPr>
          <w:rFonts w:eastAsia="Calibri"/>
          <w:lang w:val="hr-HR"/>
        </w:rPr>
        <w:br w:type="page"/>
      </w:r>
    </w:p>
    <w:p w:rsidR="00A131AD" w:rsidRPr="00155F80" w:rsidRDefault="00A131AD" w:rsidP="00EB7CC7">
      <w:pPr>
        <w:pStyle w:val="refererere"/>
        <w:rPr>
          <w:rFonts w:eastAsia="Calibri"/>
          <w:lang w:val="hr-HR"/>
        </w:rPr>
      </w:pPr>
      <w:r w:rsidRPr="00155F80">
        <w:rPr>
          <w:rFonts w:eastAsia="Calibri"/>
          <w:lang w:val="hr-HR"/>
        </w:rPr>
        <w:lastRenderedPageBreak/>
        <w:t>Tabl</w:t>
      </w:r>
      <w:r w:rsidR="00FE3B0D">
        <w:rPr>
          <w:rFonts w:eastAsia="Calibri"/>
          <w:lang w:val="hr-HR"/>
        </w:rPr>
        <w:t>ic</w:t>
      </w:r>
      <w:r w:rsidRPr="00155F80">
        <w:rPr>
          <w:rFonts w:eastAsia="Calibri"/>
          <w:lang w:val="hr-HR"/>
        </w:rPr>
        <w:t>a 4: Deset vodećih uzroka smrti od raka kod muškaraca u Federaciji BiH, 2014. i 2013.godina</w:t>
      </w:r>
    </w:p>
    <w:tbl>
      <w:tblPr>
        <w:tblW w:w="876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0"/>
        <w:gridCol w:w="733"/>
        <w:gridCol w:w="1598"/>
        <w:gridCol w:w="649"/>
        <w:gridCol w:w="923"/>
        <w:gridCol w:w="1408"/>
        <w:gridCol w:w="649"/>
      </w:tblGrid>
      <w:tr w:rsidR="00A131AD" w:rsidRPr="00284F26" w:rsidTr="00284F26">
        <w:trPr>
          <w:trHeight w:val="288"/>
        </w:trPr>
        <w:tc>
          <w:tcPr>
            <w:tcW w:w="2800" w:type="dxa"/>
            <w:vMerge w:val="restart"/>
            <w:shd w:val="clear" w:color="auto" w:fill="E7E6E6" w:themeFill="background2"/>
            <w:vAlign w:val="center"/>
            <w:hideMark/>
          </w:tcPr>
          <w:p w:rsidR="00A131AD" w:rsidRPr="00284F26" w:rsidRDefault="00A131AD" w:rsidP="000C0138">
            <w:pPr>
              <w:spacing w:line="276" w:lineRule="auto"/>
              <w:jc w:val="center"/>
              <w:rPr>
                <w:rFonts w:ascii="Times New Roman" w:hAnsi="Times New Roman"/>
                <w:b/>
                <w:lang w:val="hr-HR" w:eastAsia="hr-HR"/>
              </w:rPr>
            </w:pPr>
            <w:r w:rsidRPr="00284F26">
              <w:rPr>
                <w:rFonts w:ascii="Times New Roman" w:hAnsi="Times New Roman"/>
                <w:b/>
                <w:lang w:val="hr-HR" w:eastAsia="hr-HR"/>
              </w:rPr>
              <w:t>Lokalizacija</w:t>
            </w:r>
          </w:p>
        </w:tc>
        <w:tc>
          <w:tcPr>
            <w:tcW w:w="2980" w:type="dxa"/>
            <w:gridSpan w:val="3"/>
            <w:shd w:val="clear" w:color="auto" w:fill="E7E6E6" w:themeFill="background2"/>
            <w:vAlign w:val="bottom"/>
            <w:hideMark/>
          </w:tcPr>
          <w:p w:rsidR="00A131AD" w:rsidRPr="00284F26" w:rsidRDefault="00A131AD" w:rsidP="000C0138">
            <w:pPr>
              <w:spacing w:line="276" w:lineRule="auto"/>
              <w:jc w:val="center"/>
              <w:rPr>
                <w:rFonts w:ascii="Times New Roman" w:hAnsi="Times New Roman"/>
                <w:b/>
                <w:lang w:val="hr-HR" w:eastAsia="hr-HR"/>
              </w:rPr>
            </w:pPr>
            <w:r w:rsidRPr="00284F26">
              <w:rPr>
                <w:rFonts w:ascii="Times New Roman" w:hAnsi="Times New Roman"/>
                <w:b/>
                <w:lang w:val="hr-HR" w:eastAsia="hr-HR"/>
              </w:rPr>
              <w:t>2014.</w:t>
            </w:r>
          </w:p>
        </w:tc>
        <w:tc>
          <w:tcPr>
            <w:tcW w:w="2980" w:type="dxa"/>
            <w:gridSpan w:val="3"/>
            <w:shd w:val="clear" w:color="auto" w:fill="E7E6E6" w:themeFill="background2"/>
            <w:vAlign w:val="bottom"/>
            <w:hideMark/>
          </w:tcPr>
          <w:p w:rsidR="00A131AD" w:rsidRPr="00284F26" w:rsidRDefault="00A131AD" w:rsidP="000C0138">
            <w:pPr>
              <w:spacing w:line="276" w:lineRule="auto"/>
              <w:jc w:val="center"/>
              <w:rPr>
                <w:rFonts w:ascii="Times New Roman" w:hAnsi="Times New Roman"/>
                <w:b/>
                <w:lang w:val="hr-HR" w:eastAsia="hr-HR"/>
              </w:rPr>
            </w:pPr>
            <w:r w:rsidRPr="00284F26">
              <w:rPr>
                <w:rFonts w:ascii="Times New Roman" w:hAnsi="Times New Roman"/>
                <w:b/>
                <w:lang w:val="hr-HR" w:eastAsia="hr-HR"/>
              </w:rPr>
              <w:t>2013.</w:t>
            </w:r>
          </w:p>
        </w:tc>
      </w:tr>
      <w:tr w:rsidR="00A131AD" w:rsidRPr="00284F26" w:rsidTr="00284F26">
        <w:trPr>
          <w:trHeight w:val="288"/>
        </w:trPr>
        <w:tc>
          <w:tcPr>
            <w:tcW w:w="2800" w:type="dxa"/>
            <w:vMerge/>
            <w:shd w:val="clear" w:color="auto" w:fill="E7E6E6" w:themeFill="background2"/>
            <w:vAlign w:val="center"/>
            <w:hideMark/>
          </w:tcPr>
          <w:p w:rsidR="00A131AD" w:rsidRPr="00284F26" w:rsidRDefault="00A131AD" w:rsidP="000C0138">
            <w:pPr>
              <w:spacing w:line="276" w:lineRule="auto"/>
              <w:jc w:val="left"/>
              <w:rPr>
                <w:rFonts w:ascii="Times New Roman" w:hAnsi="Times New Roman"/>
                <w:b/>
                <w:lang w:val="hr-HR" w:eastAsia="hr-HR"/>
              </w:rPr>
            </w:pPr>
          </w:p>
        </w:tc>
        <w:tc>
          <w:tcPr>
            <w:tcW w:w="733" w:type="dxa"/>
            <w:shd w:val="clear" w:color="auto" w:fill="E7E6E6" w:themeFill="background2"/>
            <w:noWrap/>
            <w:vAlign w:val="bottom"/>
            <w:hideMark/>
          </w:tcPr>
          <w:p w:rsidR="00A131AD" w:rsidRPr="00284F26" w:rsidRDefault="00A131AD" w:rsidP="000C0138">
            <w:pPr>
              <w:spacing w:line="276" w:lineRule="auto"/>
              <w:jc w:val="center"/>
              <w:rPr>
                <w:rFonts w:ascii="Times New Roman" w:hAnsi="Times New Roman"/>
                <w:b/>
                <w:lang w:val="hr-HR" w:eastAsia="hr-HR"/>
              </w:rPr>
            </w:pPr>
            <w:r w:rsidRPr="00284F26">
              <w:rPr>
                <w:rFonts w:ascii="Times New Roman" w:hAnsi="Times New Roman"/>
                <w:b/>
                <w:lang w:val="hr-HR" w:eastAsia="hr-HR"/>
              </w:rPr>
              <w:t>Rang</w:t>
            </w:r>
          </w:p>
        </w:tc>
        <w:tc>
          <w:tcPr>
            <w:tcW w:w="1598" w:type="dxa"/>
            <w:shd w:val="clear" w:color="auto" w:fill="E7E6E6" w:themeFill="background2"/>
            <w:noWrap/>
            <w:vAlign w:val="bottom"/>
            <w:hideMark/>
          </w:tcPr>
          <w:p w:rsidR="00A131AD" w:rsidRPr="00284F26" w:rsidRDefault="00A131AD" w:rsidP="000C0138">
            <w:pPr>
              <w:spacing w:line="276" w:lineRule="auto"/>
              <w:jc w:val="center"/>
              <w:rPr>
                <w:rFonts w:ascii="Times New Roman" w:hAnsi="Times New Roman"/>
                <w:b/>
                <w:lang w:val="hr-HR" w:eastAsia="hr-HR"/>
              </w:rPr>
            </w:pPr>
            <w:r w:rsidRPr="00284F26">
              <w:rPr>
                <w:rFonts w:ascii="Times New Roman" w:hAnsi="Times New Roman"/>
                <w:b/>
                <w:lang w:val="hr-HR" w:eastAsia="hr-HR"/>
              </w:rPr>
              <w:t>Broj umrlih</w:t>
            </w:r>
          </w:p>
        </w:tc>
        <w:tc>
          <w:tcPr>
            <w:tcW w:w="649" w:type="dxa"/>
            <w:shd w:val="clear" w:color="auto" w:fill="E7E6E6" w:themeFill="background2"/>
            <w:noWrap/>
            <w:vAlign w:val="bottom"/>
            <w:hideMark/>
          </w:tcPr>
          <w:p w:rsidR="00A131AD" w:rsidRPr="00284F26" w:rsidRDefault="00A131AD" w:rsidP="000C0138">
            <w:pPr>
              <w:spacing w:line="276" w:lineRule="auto"/>
              <w:jc w:val="center"/>
              <w:rPr>
                <w:rFonts w:ascii="Times New Roman" w:hAnsi="Times New Roman"/>
                <w:b/>
                <w:lang w:val="hr-HR" w:eastAsia="hr-HR"/>
              </w:rPr>
            </w:pPr>
            <w:r w:rsidRPr="00284F26">
              <w:rPr>
                <w:rFonts w:ascii="Times New Roman" w:hAnsi="Times New Roman"/>
                <w:b/>
                <w:lang w:val="hr-HR" w:eastAsia="hr-HR"/>
              </w:rPr>
              <w:t>%</w:t>
            </w:r>
          </w:p>
        </w:tc>
        <w:tc>
          <w:tcPr>
            <w:tcW w:w="923" w:type="dxa"/>
            <w:shd w:val="clear" w:color="auto" w:fill="E7E6E6" w:themeFill="background2"/>
            <w:noWrap/>
            <w:vAlign w:val="bottom"/>
            <w:hideMark/>
          </w:tcPr>
          <w:p w:rsidR="00A131AD" w:rsidRPr="00284F26" w:rsidRDefault="00A131AD" w:rsidP="000C0138">
            <w:pPr>
              <w:spacing w:line="276" w:lineRule="auto"/>
              <w:jc w:val="center"/>
              <w:rPr>
                <w:rFonts w:ascii="Times New Roman" w:hAnsi="Times New Roman"/>
                <w:b/>
                <w:lang w:val="hr-HR" w:eastAsia="hr-HR"/>
              </w:rPr>
            </w:pPr>
            <w:r w:rsidRPr="00284F26">
              <w:rPr>
                <w:rFonts w:ascii="Times New Roman" w:hAnsi="Times New Roman"/>
                <w:b/>
                <w:lang w:val="hr-HR" w:eastAsia="hr-HR"/>
              </w:rPr>
              <w:t>Rang</w:t>
            </w:r>
          </w:p>
        </w:tc>
        <w:tc>
          <w:tcPr>
            <w:tcW w:w="1408" w:type="dxa"/>
            <w:shd w:val="clear" w:color="auto" w:fill="E7E6E6" w:themeFill="background2"/>
            <w:noWrap/>
            <w:vAlign w:val="bottom"/>
            <w:hideMark/>
          </w:tcPr>
          <w:p w:rsidR="00A131AD" w:rsidRPr="00284F26" w:rsidRDefault="00A131AD" w:rsidP="000C0138">
            <w:pPr>
              <w:spacing w:line="276" w:lineRule="auto"/>
              <w:jc w:val="center"/>
              <w:rPr>
                <w:rFonts w:ascii="Times New Roman" w:hAnsi="Times New Roman"/>
                <w:b/>
                <w:lang w:val="hr-HR" w:eastAsia="hr-HR"/>
              </w:rPr>
            </w:pPr>
            <w:r w:rsidRPr="00284F26">
              <w:rPr>
                <w:rFonts w:ascii="Times New Roman" w:hAnsi="Times New Roman"/>
                <w:b/>
                <w:lang w:val="hr-HR" w:eastAsia="hr-HR"/>
              </w:rPr>
              <w:t>Broj umrlih</w:t>
            </w:r>
          </w:p>
        </w:tc>
        <w:tc>
          <w:tcPr>
            <w:tcW w:w="649" w:type="dxa"/>
            <w:shd w:val="clear" w:color="auto" w:fill="E7E6E6" w:themeFill="background2"/>
            <w:noWrap/>
            <w:vAlign w:val="bottom"/>
            <w:hideMark/>
          </w:tcPr>
          <w:p w:rsidR="00A131AD" w:rsidRPr="00284F26" w:rsidRDefault="00A131AD" w:rsidP="000C0138">
            <w:pPr>
              <w:spacing w:line="276" w:lineRule="auto"/>
              <w:jc w:val="center"/>
              <w:rPr>
                <w:rFonts w:ascii="Times New Roman" w:hAnsi="Times New Roman"/>
                <w:b/>
                <w:lang w:val="hr-HR" w:eastAsia="hr-HR"/>
              </w:rPr>
            </w:pPr>
            <w:r w:rsidRPr="00284F26">
              <w:rPr>
                <w:rFonts w:ascii="Times New Roman" w:hAnsi="Times New Roman"/>
                <w:b/>
                <w:lang w:val="hr-HR" w:eastAsia="hr-HR"/>
              </w:rPr>
              <w:t>%</w:t>
            </w:r>
          </w:p>
        </w:tc>
      </w:tr>
      <w:tr w:rsidR="00A131AD" w:rsidRPr="00284F26" w:rsidTr="00A22138">
        <w:trPr>
          <w:trHeight w:val="288"/>
        </w:trPr>
        <w:tc>
          <w:tcPr>
            <w:tcW w:w="2800" w:type="dxa"/>
            <w:shd w:val="clear" w:color="000000" w:fill="F2F2F2"/>
            <w:noWrap/>
            <w:vAlign w:val="bottom"/>
            <w:hideMark/>
          </w:tcPr>
          <w:p w:rsidR="00A131AD" w:rsidRPr="00284F26" w:rsidRDefault="00A131AD" w:rsidP="000C0138">
            <w:pPr>
              <w:spacing w:line="276" w:lineRule="auto"/>
              <w:jc w:val="left"/>
              <w:rPr>
                <w:rFonts w:ascii="Times New Roman" w:hAnsi="Times New Roman"/>
                <w:color w:val="000000"/>
                <w:lang w:val="hr-HR" w:eastAsia="hr-HR"/>
              </w:rPr>
            </w:pPr>
            <w:r w:rsidRPr="00284F26">
              <w:rPr>
                <w:rFonts w:ascii="Times New Roman" w:hAnsi="Times New Roman"/>
                <w:color w:val="000000"/>
                <w:lang w:val="hr-HR" w:eastAsia="hr-HR"/>
              </w:rPr>
              <w:t>Pluća, bronh i traheja (C33-C34)</w:t>
            </w:r>
          </w:p>
        </w:tc>
        <w:tc>
          <w:tcPr>
            <w:tcW w:w="733" w:type="dxa"/>
            <w:shd w:val="clear" w:color="000000" w:fill="F2F2F2"/>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1</w:t>
            </w:r>
          </w:p>
        </w:tc>
        <w:tc>
          <w:tcPr>
            <w:tcW w:w="1598" w:type="dxa"/>
            <w:shd w:val="clear" w:color="000000" w:fill="F2F2F2"/>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660</w:t>
            </w:r>
          </w:p>
        </w:tc>
        <w:tc>
          <w:tcPr>
            <w:tcW w:w="649" w:type="dxa"/>
            <w:shd w:val="clear" w:color="000000" w:fill="F2F2F2"/>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26,4</w:t>
            </w:r>
          </w:p>
        </w:tc>
        <w:tc>
          <w:tcPr>
            <w:tcW w:w="923" w:type="dxa"/>
            <w:shd w:val="clear" w:color="000000" w:fill="F2F2F2"/>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1</w:t>
            </w:r>
          </w:p>
        </w:tc>
        <w:tc>
          <w:tcPr>
            <w:tcW w:w="1408" w:type="dxa"/>
            <w:shd w:val="clear" w:color="000000" w:fill="F2F2F2"/>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809</w:t>
            </w:r>
          </w:p>
        </w:tc>
        <w:tc>
          <w:tcPr>
            <w:tcW w:w="649" w:type="dxa"/>
            <w:shd w:val="clear" w:color="000000" w:fill="F2F2F2"/>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34,4</w:t>
            </w:r>
          </w:p>
        </w:tc>
      </w:tr>
      <w:tr w:rsidR="00A131AD" w:rsidRPr="00284F26" w:rsidTr="00A22138">
        <w:trPr>
          <w:trHeight w:val="288"/>
        </w:trPr>
        <w:tc>
          <w:tcPr>
            <w:tcW w:w="2800" w:type="dxa"/>
            <w:shd w:val="clear" w:color="000000" w:fill="F2F2F2"/>
            <w:noWrap/>
            <w:vAlign w:val="bottom"/>
            <w:hideMark/>
          </w:tcPr>
          <w:p w:rsidR="00A131AD" w:rsidRPr="00284F26" w:rsidRDefault="00A131AD" w:rsidP="000C0138">
            <w:pPr>
              <w:spacing w:line="276" w:lineRule="auto"/>
              <w:jc w:val="left"/>
              <w:rPr>
                <w:rFonts w:ascii="Times New Roman" w:hAnsi="Times New Roman"/>
                <w:color w:val="000000"/>
                <w:lang w:val="hr-HR" w:eastAsia="hr-HR"/>
              </w:rPr>
            </w:pPr>
            <w:r w:rsidRPr="00284F26">
              <w:rPr>
                <w:rFonts w:ascii="Times New Roman" w:hAnsi="Times New Roman"/>
                <w:color w:val="000000"/>
                <w:lang w:val="hr-HR" w:eastAsia="hr-HR"/>
              </w:rPr>
              <w:t>Prostata (C61)</w:t>
            </w:r>
          </w:p>
        </w:tc>
        <w:tc>
          <w:tcPr>
            <w:tcW w:w="733" w:type="dxa"/>
            <w:shd w:val="clear" w:color="000000" w:fill="FFFFFF"/>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2</w:t>
            </w:r>
          </w:p>
        </w:tc>
        <w:tc>
          <w:tcPr>
            <w:tcW w:w="1598" w:type="dxa"/>
            <w:shd w:val="clear" w:color="000000" w:fill="F2F2F2"/>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191</w:t>
            </w:r>
          </w:p>
        </w:tc>
        <w:tc>
          <w:tcPr>
            <w:tcW w:w="649" w:type="dxa"/>
            <w:shd w:val="clear" w:color="000000" w:fill="FFFFFF"/>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7,6</w:t>
            </w:r>
          </w:p>
        </w:tc>
        <w:tc>
          <w:tcPr>
            <w:tcW w:w="923" w:type="dxa"/>
            <w:shd w:val="clear" w:color="000000" w:fill="F2F2F2"/>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3</w:t>
            </w:r>
          </w:p>
        </w:tc>
        <w:tc>
          <w:tcPr>
            <w:tcW w:w="1408" w:type="dxa"/>
            <w:shd w:val="clear" w:color="000000" w:fill="FFFFFF"/>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169</w:t>
            </w:r>
          </w:p>
        </w:tc>
        <w:tc>
          <w:tcPr>
            <w:tcW w:w="649" w:type="dxa"/>
            <w:shd w:val="clear" w:color="000000" w:fill="F2F2F2"/>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7,2</w:t>
            </w:r>
          </w:p>
        </w:tc>
      </w:tr>
      <w:tr w:rsidR="00A131AD" w:rsidRPr="00284F26" w:rsidTr="00A22138">
        <w:trPr>
          <w:trHeight w:val="288"/>
        </w:trPr>
        <w:tc>
          <w:tcPr>
            <w:tcW w:w="2800" w:type="dxa"/>
            <w:shd w:val="clear" w:color="000000" w:fill="F2F2F2"/>
            <w:noWrap/>
            <w:vAlign w:val="bottom"/>
            <w:hideMark/>
          </w:tcPr>
          <w:p w:rsidR="00A131AD" w:rsidRPr="00284F26" w:rsidRDefault="00A131AD" w:rsidP="000C0138">
            <w:pPr>
              <w:spacing w:line="276" w:lineRule="auto"/>
              <w:jc w:val="left"/>
              <w:rPr>
                <w:rFonts w:ascii="Times New Roman" w:hAnsi="Times New Roman"/>
                <w:color w:val="000000"/>
                <w:lang w:val="hr-HR" w:eastAsia="hr-HR"/>
              </w:rPr>
            </w:pPr>
            <w:r w:rsidRPr="00284F26">
              <w:rPr>
                <w:rFonts w:ascii="Times New Roman" w:hAnsi="Times New Roman"/>
                <w:color w:val="000000"/>
                <w:lang w:val="hr-HR" w:eastAsia="hr-HR"/>
              </w:rPr>
              <w:t>Želudac (C16)</w:t>
            </w:r>
          </w:p>
        </w:tc>
        <w:tc>
          <w:tcPr>
            <w:tcW w:w="733" w:type="dxa"/>
            <w:shd w:val="clear" w:color="000000" w:fill="F2F2F2"/>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3</w:t>
            </w:r>
          </w:p>
        </w:tc>
        <w:tc>
          <w:tcPr>
            <w:tcW w:w="1598" w:type="dxa"/>
            <w:shd w:val="clear" w:color="000000" w:fill="F2F2F2"/>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161</w:t>
            </w:r>
          </w:p>
        </w:tc>
        <w:tc>
          <w:tcPr>
            <w:tcW w:w="649" w:type="dxa"/>
            <w:shd w:val="clear" w:color="000000" w:fill="F2F2F2"/>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6,4</w:t>
            </w:r>
          </w:p>
        </w:tc>
        <w:tc>
          <w:tcPr>
            <w:tcW w:w="923" w:type="dxa"/>
            <w:shd w:val="clear" w:color="000000" w:fill="F2F2F2"/>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2</w:t>
            </w:r>
          </w:p>
        </w:tc>
        <w:tc>
          <w:tcPr>
            <w:tcW w:w="1408" w:type="dxa"/>
            <w:shd w:val="clear" w:color="000000" w:fill="F2F2F2"/>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175</w:t>
            </w:r>
          </w:p>
        </w:tc>
        <w:tc>
          <w:tcPr>
            <w:tcW w:w="649" w:type="dxa"/>
            <w:shd w:val="clear" w:color="000000" w:fill="F2F2F2"/>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7,4</w:t>
            </w:r>
          </w:p>
        </w:tc>
      </w:tr>
      <w:tr w:rsidR="00A131AD" w:rsidRPr="00284F26" w:rsidTr="00A22138">
        <w:trPr>
          <w:trHeight w:val="288"/>
        </w:trPr>
        <w:tc>
          <w:tcPr>
            <w:tcW w:w="2800" w:type="dxa"/>
            <w:shd w:val="clear" w:color="000000" w:fill="F2F2F2"/>
            <w:noWrap/>
            <w:vAlign w:val="bottom"/>
            <w:hideMark/>
          </w:tcPr>
          <w:p w:rsidR="00A131AD" w:rsidRPr="00284F26" w:rsidRDefault="00A131AD" w:rsidP="000C0138">
            <w:pPr>
              <w:spacing w:line="276" w:lineRule="auto"/>
              <w:jc w:val="left"/>
              <w:rPr>
                <w:rFonts w:ascii="Times New Roman" w:hAnsi="Times New Roman"/>
                <w:color w:val="000000"/>
                <w:lang w:val="hr-HR" w:eastAsia="hr-HR"/>
              </w:rPr>
            </w:pPr>
            <w:r w:rsidRPr="00284F26">
              <w:rPr>
                <w:rFonts w:ascii="Times New Roman" w:hAnsi="Times New Roman"/>
                <w:color w:val="000000"/>
                <w:lang w:val="hr-HR" w:eastAsia="hr-HR"/>
              </w:rPr>
              <w:t>Debelo crijevo (C18)</w:t>
            </w:r>
          </w:p>
        </w:tc>
        <w:tc>
          <w:tcPr>
            <w:tcW w:w="733" w:type="dxa"/>
            <w:shd w:val="clear" w:color="000000" w:fill="FFFFFF"/>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4</w:t>
            </w:r>
          </w:p>
        </w:tc>
        <w:tc>
          <w:tcPr>
            <w:tcW w:w="1598" w:type="dxa"/>
            <w:shd w:val="clear" w:color="000000" w:fill="F2F2F2"/>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131</w:t>
            </w:r>
          </w:p>
        </w:tc>
        <w:tc>
          <w:tcPr>
            <w:tcW w:w="649" w:type="dxa"/>
            <w:shd w:val="clear" w:color="000000" w:fill="FFFFFF"/>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5,2</w:t>
            </w:r>
          </w:p>
        </w:tc>
        <w:tc>
          <w:tcPr>
            <w:tcW w:w="923" w:type="dxa"/>
            <w:shd w:val="clear" w:color="000000" w:fill="F2F2F2"/>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5</w:t>
            </w:r>
          </w:p>
        </w:tc>
        <w:tc>
          <w:tcPr>
            <w:tcW w:w="1408" w:type="dxa"/>
            <w:shd w:val="clear" w:color="000000" w:fill="FFFFFF"/>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145</w:t>
            </w:r>
          </w:p>
        </w:tc>
        <w:tc>
          <w:tcPr>
            <w:tcW w:w="649" w:type="dxa"/>
            <w:shd w:val="clear" w:color="000000" w:fill="F2F2F2"/>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6,2</w:t>
            </w:r>
          </w:p>
        </w:tc>
      </w:tr>
      <w:tr w:rsidR="00A131AD" w:rsidRPr="00284F26" w:rsidTr="00A22138">
        <w:trPr>
          <w:trHeight w:val="288"/>
        </w:trPr>
        <w:tc>
          <w:tcPr>
            <w:tcW w:w="2800" w:type="dxa"/>
            <w:shd w:val="clear" w:color="000000" w:fill="F2F2F2"/>
            <w:noWrap/>
            <w:vAlign w:val="bottom"/>
            <w:hideMark/>
          </w:tcPr>
          <w:p w:rsidR="00A131AD" w:rsidRPr="00284F26" w:rsidRDefault="00A131AD" w:rsidP="000C0138">
            <w:pPr>
              <w:spacing w:line="276" w:lineRule="auto"/>
              <w:jc w:val="left"/>
              <w:rPr>
                <w:rFonts w:ascii="Times New Roman" w:hAnsi="Times New Roman"/>
                <w:color w:val="000000"/>
                <w:lang w:val="hr-HR" w:eastAsia="hr-HR"/>
              </w:rPr>
            </w:pPr>
            <w:r w:rsidRPr="00284F26">
              <w:rPr>
                <w:rFonts w:ascii="Times New Roman" w:hAnsi="Times New Roman"/>
                <w:color w:val="000000"/>
                <w:lang w:val="hr-HR" w:eastAsia="hr-HR"/>
              </w:rPr>
              <w:t>Rektum (C19-20)</w:t>
            </w:r>
          </w:p>
        </w:tc>
        <w:tc>
          <w:tcPr>
            <w:tcW w:w="733" w:type="dxa"/>
            <w:shd w:val="clear" w:color="000000" w:fill="F2F2F2"/>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5</w:t>
            </w:r>
          </w:p>
        </w:tc>
        <w:tc>
          <w:tcPr>
            <w:tcW w:w="1598" w:type="dxa"/>
            <w:shd w:val="clear" w:color="000000" w:fill="F2F2F2"/>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123</w:t>
            </w:r>
          </w:p>
        </w:tc>
        <w:tc>
          <w:tcPr>
            <w:tcW w:w="649" w:type="dxa"/>
            <w:shd w:val="clear" w:color="000000" w:fill="F2F2F2"/>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4,9</w:t>
            </w:r>
          </w:p>
        </w:tc>
        <w:tc>
          <w:tcPr>
            <w:tcW w:w="923" w:type="dxa"/>
            <w:shd w:val="clear" w:color="000000" w:fill="F2F2F2"/>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6</w:t>
            </w:r>
          </w:p>
        </w:tc>
        <w:tc>
          <w:tcPr>
            <w:tcW w:w="1408" w:type="dxa"/>
            <w:shd w:val="clear" w:color="000000" w:fill="F2F2F2"/>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138</w:t>
            </w:r>
          </w:p>
        </w:tc>
        <w:tc>
          <w:tcPr>
            <w:tcW w:w="649" w:type="dxa"/>
            <w:shd w:val="clear" w:color="000000" w:fill="F2F2F2"/>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5,9</w:t>
            </w:r>
          </w:p>
        </w:tc>
      </w:tr>
      <w:tr w:rsidR="00A131AD" w:rsidRPr="00284F26" w:rsidTr="00A22138">
        <w:trPr>
          <w:trHeight w:val="288"/>
        </w:trPr>
        <w:tc>
          <w:tcPr>
            <w:tcW w:w="2800" w:type="dxa"/>
            <w:shd w:val="clear" w:color="000000" w:fill="F2F2F2"/>
            <w:noWrap/>
            <w:vAlign w:val="bottom"/>
            <w:hideMark/>
          </w:tcPr>
          <w:p w:rsidR="00A131AD" w:rsidRPr="00284F26" w:rsidRDefault="00A131AD" w:rsidP="000C0138">
            <w:pPr>
              <w:spacing w:line="276" w:lineRule="auto"/>
              <w:jc w:val="left"/>
              <w:rPr>
                <w:rFonts w:ascii="Times New Roman" w:hAnsi="Times New Roman"/>
                <w:color w:val="000000"/>
                <w:lang w:val="hr-HR" w:eastAsia="hr-HR"/>
              </w:rPr>
            </w:pPr>
            <w:r w:rsidRPr="00284F26">
              <w:rPr>
                <w:rFonts w:ascii="Times New Roman" w:hAnsi="Times New Roman"/>
                <w:color w:val="000000"/>
                <w:lang w:val="hr-HR" w:eastAsia="hr-HR"/>
              </w:rPr>
              <w:t>Jetra (C22)</w:t>
            </w:r>
          </w:p>
        </w:tc>
        <w:tc>
          <w:tcPr>
            <w:tcW w:w="733" w:type="dxa"/>
            <w:shd w:val="clear" w:color="000000" w:fill="FFFFFF"/>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6</w:t>
            </w:r>
          </w:p>
        </w:tc>
        <w:tc>
          <w:tcPr>
            <w:tcW w:w="1598" w:type="dxa"/>
            <w:shd w:val="clear" w:color="000000" w:fill="F2F2F2"/>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115</w:t>
            </w:r>
          </w:p>
        </w:tc>
        <w:tc>
          <w:tcPr>
            <w:tcW w:w="649" w:type="dxa"/>
            <w:shd w:val="clear" w:color="000000" w:fill="FFFFFF"/>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4,6</w:t>
            </w:r>
          </w:p>
        </w:tc>
        <w:tc>
          <w:tcPr>
            <w:tcW w:w="923" w:type="dxa"/>
            <w:shd w:val="clear" w:color="000000" w:fill="F2F2F2"/>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4</w:t>
            </w:r>
          </w:p>
        </w:tc>
        <w:tc>
          <w:tcPr>
            <w:tcW w:w="1408" w:type="dxa"/>
            <w:shd w:val="clear" w:color="000000" w:fill="FFFFFF"/>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152</w:t>
            </w:r>
          </w:p>
        </w:tc>
        <w:tc>
          <w:tcPr>
            <w:tcW w:w="649" w:type="dxa"/>
            <w:shd w:val="clear" w:color="000000" w:fill="F2F2F2"/>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6,5</w:t>
            </w:r>
          </w:p>
        </w:tc>
      </w:tr>
      <w:tr w:rsidR="00A131AD" w:rsidRPr="00284F26" w:rsidTr="00A22138">
        <w:trPr>
          <w:trHeight w:val="288"/>
        </w:trPr>
        <w:tc>
          <w:tcPr>
            <w:tcW w:w="2800" w:type="dxa"/>
            <w:shd w:val="clear" w:color="000000" w:fill="F2F2F2"/>
            <w:noWrap/>
            <w:vAlign w:val="bottom"/>
            <w:hideMark/>
          </w:tcPr>
          <w:p w:rsidR="00A131AD" w:rsidRPr="00284F26" w:rsidRDefault="00A131AD" w:rsidP="000C0138">
            <w:pPr>
              <w:spacing w:line="276" w:lineRule="auto"/>
              <w:jc w:val="left"/>
              <w:rPr>
                <w:rFonts w:ascii="Times New Roman" w:hAnsi="Times New Roman"/>
                <w:color w:val="000000"/>
                <w:lang w:val="hr-HR" w:eastAsia="hr-HR"/>
              </w:rPr>
            </w:pPr>
            <w:r w:rsidRPr="00284F26">
              <w:rPr>
                <w:rFonts w:ascii="Times New Roman" w:hAnsi="Times New Roman"/>
                <w:color w:val="000000"/>
                <w:lang w:val="hr-HR" w:eastAsia="hr-HR"/>
              </w:rPr>
              <w:t>Gušterača (C25)</w:t>
            </w:r>
          </w:p>
        </w:tc>
        <w:tc>
          <w:tcPr>
            <w:tcW w:w="733" w:type="dxa"/>
            <w:shd w:val="clear" w:color="000000" w:fill="F2F2F2"/>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7</w:t>
            </w:r>
          </w:p>
        </w:tc>
        <w:tc>
          <w:tcPr>
            <w:tcW w:w="1598" w:type="dxa"/>
            <w:shd w:val="clear" w:color="000000" w:fill="F2F2F2"/>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95</w:t>
            </w:r>
          </w:p>
        </w:tc>
        <w:tc>
          <w:tcPr>
            <w:tcW w:w="649" w:type="dxa"/>
            <w:shd w:val="clear" w:color="000000" w:fill="F2F2F2"/>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3,8</w:t>
            </w:r>
          </w:p>
        </w:tc>
        <w:tc>
          <w:tcPr>
            <w:tcW w:w="923" w:type="dxa"/>
            <w:shd w:val="clear" w:color="000000" w:fill="F2F2F2"/>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8</w:t>
            </w:r>
          </w:p>
        </w:tc>
        <w:tc>
          <w:tcPr>
            <w:tcW w:w="1408" w:type="dxa"/>
            <w:shd w:val="clear" w:color="000000" w:fill="F2F2F2"/>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100</w:t>
            </w:r>
          </w:p>
        </w:tc>
        <w:tc>
          <w:tcPr>
            <w:tcW w:w="649" w:type="dxa"/>
            <w:shd w:val="clear" w:color="000000" w:fill="F2F2F2"/>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4,2</w:t>
            </w:r>
          </w:p>
        </w:tc>
      </w:tr>
      <w:tr w:rsidR="00A131AD" w:rsidRPr="00284F26" w:rsidTr="00A22138">
        <w:trPr>
          <w:trHeight w:val="288"/>
        </w:trPr>
        <w:tc>
          <w:tcPr>
            <w:tcW w:w="2800" w:type="dxa"/>
            <w:shd w:val="clear" w:color="000000" w:fill="F2F2F2"/>
            <w:noWrap/>
            <w:vAlign w:val="bottom"/>
            <w:hideMark/>
          </w:tcPr>
          <w:p w:rsidR="00A131AD" w:rsidRPr="00284F26" w:rsidRDefault="00A131AD" w:rsidP="000C0138">
            <w:pPr>
              <w:spacing w:line="276" w:lineRule="auto"/>
              <w:jc w:val="left"/>
              <w:rPr>
                <w:rFonts w:ascii="Times New Roman" w:hAnsi="Times New Roman"/>
                <w:color w:val="000000"/>
                <w:lang w:val="hr-HR" w:eastAsia="hr-HR"/>
              </w:rPr>
            </w:pPr>
            <w:r w:rsidRPr="00284F26">
              <w:rPr>
                <w:rFonts w:ascii="Times New Roman" w:hAnsi="Times New Roman"/>
                <w:color w:val="000000"/>
                <w:lang w:val="hr-HR" w:eastAsia="hr-HR"/>
              </w:rPr>
              <w:t>Mozak, živčani sustav (C70-72)</w:t>
            </w:r>
          </w:p>
        </w:tc>
        <w:tc>
          <w:tcPr>
            <w:tcW w:w="733" w:type="dxa"/>
            <w:shd w:val="clear" w:color="000000" w:fill="FFFFFF"/>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8</w:t>
            </w:r>
          </w:p>
        </w:tc>
        <w:tc>
          <w:tcPr>
            <w:tcW w:w="1598" w:type="dxa"/>
            <w:shd w:val="clear" w:color="000000" w:fill="F2F2F2"/>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86</w:t>
            </w:r>
          </w:p>
        </w:tc>
        <w:tc>
          <w:tcPr>
            <w:tcW w:w="649" w:type="dxa"/>
            <w:shd w:val="clear" w:color="000000" w:fill="FFFFFF"/>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3,4</w:t>
            </w:r>
          </w:p>
        </w:tc>
        <w:tc>
          <w:tcPr>
            <w:tcW w:w="923" w:type="dxa"/>
            <w:shd w:val="clear" w:color="000000" w:fill="F2F2F2"/>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7</w:t>
            </w:r>
          </w:p>
        </w:tc>
        <w:tc>
          <w:tcPr>
            <w:tcW w:w="1408" w:type="dxa"/>
            <w:shd w:val="clear" w:color="000000" w:fill="FFFFFF"/>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112</w:t>
            </w:r>
          </w:p>
        </w:tc>
        <w:tc>
          <w:tcPr>
            <w:tcW w:w="649" w:type="dxa"/>
            <w:shd w:val="clear" w:color="000000" w:fill="F2F2F2"/>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4,8</w:t>
            </w:r>
          </w:p>
        </w:tc>
      </w:tr>
      <w:tr w:rsidR="00A131AD" w:rsidRPr="00284F26" w:rsidTr="00A22138">
        <w:trPr>
          <w:trHeight w:val="288"/>
        </w:trPr>
        <w:tc>
          <w:tcPr>
            <w:tcW w:w="2800" w:type="dxa"/>
            <w:shd w:val="clear" w:color="000000" w:fill="F2F2F2"/>
            <w:noWrap/>
            <w:vAlign w:val="bottom"/>
            <w:hideMark/>
          </w:tcPr>
          <w:p w:rsidR="00A131AD" w:rsidRPr="00284F26" w:rsidRDefault="00A131AD" w:rsidP="000C0138">
            <w:pPr>
              <w:spacing w:line="276" w:lineRule="auto"/>
              <w:jc w:val="left"/>
              <w:rPr>
                <w:rFonts w:ascii="Times New Roman" w:hAnsi="Times New Roman"/>
                <w:color w:val="000000"/>
                <w:lang w:val="hr-HR" w:eastAsia="hr-HR"/>
              </w:rPr>
            </w:pPr>
            <w:r w:rsidRPr="00284F26">
              <w:rPr>
                <w:rFonts w:ascii="Times New Roman" w:hAnsi="Times New Roman"/>
                <w:color w:val="000000"/>
                <w:lang w:val="hr-HR" w:eastAsia="hr-HR"/>
              </w:rPr>
              <w:t>Dušnik (C 32)</w:t>
            </w:r>
          </w:p>
        </w:tc>
        <w:tc>
          <w:tcPr>
            <w:tcW w:w="733" w:type="dxa"/>
            <w:shd w:val="clear" w:color="000000" w:fill="F2F2F2"/>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9</w:t>
            </w:r>
          </w:p>
        </w:tc>
        <w:tc>
          <w:tcPr>
            <w:tcW w:w="1598" w:type="dxa"/>
            <w:shd w:val="clear" w:color="000000" w:fill="F2F2F2"/>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69</w:t>
            </w:r>
          </w:p>
        </w:tc>
        <w:tc>
          <w:tcPr>
            <w:tcW w:w="649" w:type="dxa"/>
            <w:shd w:val="clear" w:color="000000" w:fill="F2F2F2"/>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2,7</w:t>
            </w:r>
          </w:p>
        </w:tc>
        <w:tc>
          <w:tcPr>
            <w:tcW w:w="923" w:type="dxa"/>
            <w:shd w:val="clear" w:color="000000" w:fill="F2F2F2"/>
            <w:noWrap/>
            <w:vAlign w:val="bottom"/>
            <w:hideMark/>
          </w:tcPr>
          <w:p w:rsidR="00A131AD" w:rsidRPr="00284F26" w:rsidRDefault="00A131AD" w:rsidP="000C0138">
            <w:pPr>
              <w:spacing w:line="276" w:lineRule="auto"/>
              <w:jc w:val="left"/>
              <w:rPr>
                <w:rFonts w:ascii="Times New Roman" w:hAnsi="Times New Roman"/>
                <w:color w:val="000000"/>
                <w:lang w:val="hr-HR" w:eastAsia="hr-HR"/>
              </w:rPr>
            </w:pPr>
            <w:r w:rsidRPr="00284F26">
              <w:rPr>
                <w:rFonts w:ascii="Times New Roman" w:hAnsi="Times New Roman"/>
                <w:color w:val="000000"/>
                <w:lang w:val="hr-HR" w:eastAsia="hr-HR"/>
              </w:rPr>
              <w:t> </w:t>
            </w:r>
          </w:p>
        </w:tc>
        <w:tc>
          <w:tcPr>
            <w:tcW w:w="1408" w:type="dxa"/>
            <w:shd w:val="clear" w:color="000000" w:fill="F2F2F2"/>
            <w:noWrap/>
            <w:vAlign w:val="bottom"/>
            <w:hideMark/>
          </w:tcPr>
          <w:p w:rsidR="00A131AD" w:rsidRPr="00284F26" w:rsidRDefault="00A131AD" w:rsidP="000C0138">
            <w:pPr>
              <w:spacing w:line="276" w:lineRule="auto"/>
              <w:jc w:val="left"/>
              <w:rPr>
                <w:rFonts w:ascii="Times New Roman" w:hAnsi="Times New Roman"/>
                <w:color w:val="000000"/>
                <w:lang w:val="hr-HR" w:eastAsia="hr-HR"/>
              </w:rPr>
            </w:pPr>
            <w:r w:rsidRPr="00284F26">
              <w:rPr>
                <w:rFonts w:ascii="Times New Roman" w:hAnsi="Times New Roman"/>
                <w:color w:val="000000"/>
                <w:lang w:val="hr-HR" w:eastAsia="hr-HR"/>
              </w:rPr>
              <w:t> </w:t>
            </w:r>
          </w:p>
        </w:tc>
        <w:tc>
          <w:tcPr>
            <w:tcW w:w="649" w:type="dxa"/>
            <w:shd w:val="clear" w:color="000000" w:fill="F2F2F2"/>
            <w:noWrap/>
            <w:vAlign w:val="bottom"/>
            <w:hideMark/>
          </w:tcPr>
          <w:p w:rsidR="00A131AD" w:rsidRPr="00284F26" w:rsidRDefault="00A131AD" w:rsidP="000C0138">
            <w:pPr>
              <w:spacing w:line="276" w:lineRule="auto"/>
              <w:jc w:val="left"/>
              <w:rPr>
                <w:rFonts w:ascii="Times New Roman" w:hAnsi="Times New Roman"/>
                <w:color w:val="000000"/>
                <w:lang w:val="hr-HR" w:eastAsia="hr-HR"/>
              </w:rPr>
            </w:pPr>
            <w:r w:rsidRPr="00284F26">
              <w:rPr>
                <w:rFonts w:ascii="Times New Roman" w:hAnsi="Times New Roman"/>
                <w:color w:val="000000"/>
                <w:lang w:val="hr-HR" w:eastAsia="hr-HR"/>
              </w:rPr>
              <w:t> </w:t>
            </w:r>
          </w:p>
        </w:tc>
      </w:tr>
      <w:tr w:rsidR="00A131AD" w:rsidRPr="00284F26" w:rsidTr="00A22138">
        <w:trPr>
          <w:trHeight w:val="288"/>
        </w:trPr>
        <w:tc>
          <w:tcPr>
            <w:tcW w:w="2800" w:type="dxa"/>
            <w:shd w:val="clear" w:color="000000" w:fill="F2F2F2"/>
            <w:noWrap/>
            <w:vAlign w:val="bottom"/>
            <w:hideMark/>
          </w:tcPr>
          <w:p w:rsidR="00A131AD" w:rsidRPr="00284F26" w:rsidRDefault="00A131AD" w:rsidP="000C0138">
            <w:pPr>
              <w:spacing w:line="276" w:lineRule="auto"/>
              <w:jc w:val="left"/>
              <w:rPr>
                <w:rFonts w:ascii="Times New Roman" w:hAnsi="Times New Roman"/>
                <w:color w:val="000000"/>
                <w:lang w:val="hr-HR" w:eastAsia="hr-HR"/>
              </w:rPr>
            </w:pPr>
            <w:r w:rsidRPr="00284F26">
              <w:rPr>
                <w:rFonts w:ascii="Times New Roman" w:hAnsi="Times New Roman"/>
                <w:color w:val="000000"/>
                <w:lang w:val="hr-HR" w:eastAsia="hr-HR"/>
              </w:rPr>
              <w:t>Mokraćni mjehur (C67)</w:t>
            </w:r>
          </w:p>
        </w:tc>
        <w:tc>
          <w:tcPr>
            <w:tcW w:w="733" w:type="dxa"/>
            <w:shd w:val="clear" w:color="000000" w:fill="FFFFFF"/>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10</w:t>
            </w:r>
          </w:p>
        </w:tc>
        <w:tc>
          <w:tcPr>
            <w:tcW w:w="1598" w:type="dxa"/>
            <w:shd w:val="clear" w:color="000000" w:fill="F2F2F2"/>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65</w:t>
            </w:r>
          </w:p>
        </w:tc>
        <w:tc>
          <w:tcPr>
            <w:tcW w:w="649" w:type="dxa"/>
            <w:shd w:val="clear" w:color="000000" w:fill="FFFFFF"/>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2,6</w:t>
            </w:r>
          </w:p>
        </w:tc>
        <w:tc>
          <w:tcPr>
            <w:tcW w:w="923" w:type="dxa"/>
            <w:shd w:val="clear" w:color="000000" w:fill="F2F2F2"/>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9</w:t>
            </w:r>
          </w:p>
        </w:tc>
        <w:tc>
          <w:tcPr>
            <w:tcW w:w="1408" w:type="dxa"/>
            <w:shd w:val="clear" w:color="000000" w:fill="FFFFFF"/>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78</w:t>
            </w:r>
          </w:p>
        </w:tc>
        <w:tc>
          <w:tcPr>
            <w:tcW w:w="649" w:type="dxa"/>
            <w:shd w:val="clear" w:color="000000" w:fill="F2F2F2"/>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3,3</w:t>
            </w:r>
          </w:p>
        </w:tc>
      </w:tr>
      <w:tr w:rsidR="00A131AD" w:rsidRPr="00284F26" w:rsidTr="00A22138">
        <w:trPr>
          <w:trHeight w:val="288"/>
        </w:trPr>
        <w:tc>
          <w:tcPr>
            <w:tcW w:w="2800" w:type="dxa"/>
            <w:shd w:val="clear" w:color="000000" w:fill="F2F2F2"/>
            <w:noWrap/>
            <w:vAlign w:val="bottom"/>
            <w:hideMark/>
          </w:tcPr>
          <w:p w:rsidR="00A131AD" w:rsidRPr="00284F26" w:rsidRDefault="00A131AD" w:rsidP="000C0138">
            <w:pPr>
              <w:spacing w:line="276" w:lineRule="auto"/>
              <w:jc w:val="left"/>
              <w:rPr>
                <w:rFonts w:ascii="Times New Roman" w:hAnsi="Times New Roman"/>
                <w:color w:val="000000"/>
                <w:lang w:val="hr-HR" w:eastAsia="hr-HR"/>
              </w:rPr>
            </w:pPr>
            <w:r w:rsidRPr="00284F26">
              <w:rPr>
                <w:rFonts w:ascii="Times New Roman" w:hAnsi="Times New Roman"/>
                <w:color w:val="000000"/>
                <w:lang w:val="hr-HR" w:eastAsia="hr-HR"/>
              </w:rPr>
              <w:t>Bubreg (C64)</w:t>
            </w:r>
          </w:p>
        </w:tc>
        <w:tc>
          <w:tcPr>
            <w:tcW w:w="733" w:type="dxa"/>
            <w:shd w:val="clear" w:color="000000" w:fill="F2F2F2"/>
            <w:noWrap/>
            <w:vAlign w:val="bottom"/>
            <w:hideMark/>
          </w:tcPr>
          <w:p w:rsidR="00A131AD" w:rsidRPr="00284F26" w:rsidRDefault="00A131AD" w:rsidP="000C0138">
            <w:pPr>
              <w:spacing w:line="276" w:lineRule="auto"/>
              <w:jc w:val="left"/>
              <w:rPr>
                <w:rFonts w:ascii="Times New Roman" w:hAnsi="Times New Roman"/>
                <w:color w:val="000000"/>
                <w:lang w:val="hr-HR" w:eastAsia="hr-HR"/>
              </w:rPr>
            </w:pPr>
            <w:r w:rsidRPr="00284F26">
              <w:rPr>
                <w:rFonts w:ascii="Times New Roman" w:hAnsi="Times New Roman"/>
                <w:color w:val="000000"/>
                <w:lang w:val="hr-HR" w:eastAsia="hr-HR"/>
              </w:rPr>
              <w:t> </w:t>
            </w:r>
          </w:p>
        </w:tc>
        <w:tc>
          <w:tcPr>
            <w:tcW w:w="1598" w:type="dxa"/>
            <w:shd w:val="clear" w:color="000000" w:fill="F2F2F2"/>
            <w:noWrap/>
            <w:vAlign w:val="bottom"/>
            <w:hideMark/>
          </w:tcPr>
          <w:p w:rsidR="00A131AD" w:rsidRPr="00284F26" w:rsidRDefault="00A131AD" w:rsidP="000C0138">
            <w:pPr>
              <w:spacing w:line="276" w:lineRule="auto"/>
              <w:jc w:val="left"/>
              <w:rPr>
                <w:rFonts w:ascii="Times New Roman" w:hAnsi="Times New Roman"/>
                <w:color w:val="000000"/>
                <w:lang w:val="hr-HR" w:eastAsia="hr-HR"/>
              </w:rPr>
            </w:pPr>
            <w:r w:rsidRPr="00284F26">
              <w:rPr>
                <w:rFonts w:ascii="Times New Roman" w:hAnsi="Times New Roman"/>
                <w:color w:val="000000"/>
                <w:lang w:val="hr-HR" w:eastAsia="hr-HR"/>
              </w:rPr>
              <w:t> </w:t>
            </w:r>
          </w:p>
        </w:tc>
        <w:tc>
          <w:tcPr>
            <w:tcW w:w="649" w:type="dxa"/>
            <w:shd w:val="clear" w:color="000000" w:fill="F2F2F2"/>
            <w:noWrap/>
            <w:vAlign w:val="bottom"/>
            <w:hideMark/>
          </w:tcPr>
          <w:p w:rsidR="00A131AD" w:rsidRPr="00284F26" w:rsidRDefault="00A131AD" w:rsidP="000C0138">
            <w:pPr>
              <w:spacing w:line="276" w:lineRule="auto"/>
              <w:jc w:val="left"/>
              <w:rPr>
                <w:rFonts w:ascii="Times New Roman" w:hAnsi="Times New Roman"/>
                <w:color w:val="000000"/>
                <w:lang w:val="hr-HR" w:eastAsia="hr-HR"/>
              </w:rPr>
            </w:pPr>
            <w:r w:rsidRPr="00284F26">
              <w:rPr>
                <w:rFonts w:ascii="Times New Roman" w:hAnsi="Times New Roman"/>
                <w:color w:val="000000"/>
                <w:lang w:val="hr-HR" w:eastAsia="hr-HR"/>
              </w:rPr>
              <w:t> </w:t>
            </w:r>
          </w:p>
        </w:tc>
        <w:tc>
          <w:tcPr>
            <w:tcW w:w="923" w:type="dxa"/>
            <w:shd w:val="clear" w:color="000000" w:fill="F2F2F2"/>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10</w:t>
            </w:r>
          </w:p>
        </w:tc>
        <w:tc>
          <w:tcPr>
            <w:tcW w:w="1408" w:type="dxa"/>
            <w:shd w:val="clear" w:color="000000" w:fill="F2F2F2"/>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53</w:t>
            </w:r>
          </w:p>
        </w:tc>
        <w:tc>
          <w:tcPr>
            <w:tcW w:w="649" w:type="dxa"/>
            <w:shd w:val="clear" w:color="000000" w:fill="F2F2F2"/>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2,3</w:t>
            </w:r>
          </w:p>
        </w:tc>
      </w:tr>
      <w:tr w:rsidR="00A131AD" w:rsidRPr="00284F26" w:rsidTr="00A22138">
        <w:trPr>
          <w:trHeight w:val="288"/>
        </w:trPr>
        <w:tc>
          <w:tcPr>
            <w:tcW w:w="2800" w:type="dxa"/>
            <w:shd w:val="clear" w:color="000000" w:fill="F2F2F2"/>
            <w:noWrap/>
            <w:vAlign w:val="bottom"/>
            <w:hideMark/>
          </w:tcPr>
          <w:p w:rsidR="00A131AD" w:rsidRPr="00284F26" w:rsidRDefault="00A131AD" w:rsidP="000C0138">
            <w:pPr>
              <w:spacing w:line="276" w:lineRule="auto"/>
              <w:jc w:val="left"/>
              <w:rPr>
                <w:rFonts w:ascii="Times New Roman" w:hAnsi="Times New Roman"/>
                <w:color w:val="000000"/>
                <w:lang w:val="hr-HR" w:eastAsia="hr-HR"/>
              </w:rPr>
            </w:pPr>
            <w:r w:rsidRPr="00284F26">
              <w:rPr>
                <w:rFonts w:ascii="Times New Roman" w:hAnsi="Times New Roman"/>
                <w:color w:val="000000"/>
                <w:lang w:val="hr-HR" w:eastAsia="hr-HR"/>
              </w:rPr>
              <w:t>Ostali</w:t>
            </w:r>
          </w:p>
        </w:tc>
        <w:tc>
          <w:tcPr>
            <w:tcW w:w="733" w:type="dxa"/>
            <w:shd w:val="clear" w:color="000000" w:fill="FFFFFF"/>
            <w:noWrap/>
            <w:vAlign w:val="bottom"/>
            <w:hideMark/>
          </w:tcPr>
          <w:p w:rsidR="00A131AD" w:rsidRPr="00284F26" w:rsidRDefault="00A131AD" w:rsidP="000C0138">
            <w:pPr>
              <w:spacing w:line="276" w:lineRule="auto"/>
              <w:jc w:val="left"/>
              <w:rPr>
                <w:rFonts w:ascii="Times New Roman" w:hAnsi="Times New Roman"/>
                <w:color w:val="000000"/>
                <w:lang w:val="hr-HR" w:eastAsia="hr-HR"/>
              </w:rPr>
            </w:pPr>
            <w:r w:rsidRPr="00284F26">
              <w:rPr>
                <w:rFonts w:ascii="Times New Roman" w:hAnsi="Times New Roman"/>
                <w:color w:val="000000"/>
                <w:lang w:val="hr-HR" w:eastAsia="hr-HR"/>
              </w:rPr>
              <w:t> </w:t>
            </w:r>
          </w:p>
        </w:tc>
        <w:tc>
          <w:tcPr>
            <w:tcW w:w="1598" w:type="dxa"/>
            <w:shd w:val="clear" w:color="000000" w:fill="F2F2F2"/>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806</w:t>
            </w:r>
          </w:p>
        </w:tc>
        <w:tc>
          <w:tcPr>
            <w:tcW w:w="649" w:type="dxa"/>
            <w:shd w:val="clear" w:color="000000" w:fill="FFFFFF"/>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32,4</w:t>
            </w:r>
          </w:p>
        </w:tc>
        <w:tc>
          <w:tcPr>
            <w:tcW w:w="923" w:type="dxa"/>
            <w:shd w:val="clear" w:color="000000" w:fill="F2F2F2"/>
            <w:noWrap/>
            <w:vAlign w:val="bottom"/>
            <w:hideMark/>
          </w:tcPr>
          <w:p w:rsidR="00A131AD" w:rsidRPr="00284F26" w:rsidRDefault="00A131AD" w:rsidP="000C0138">
            <w:pPr>
              <w:spacing w:line="276" w:lineRule="auto"/>
              <w:jc w:val="left"/>
              <w:rPr>
                <w:rFonts w:ascii="Times New Roman" w:hAnsi="Times New Roman"/>
                <w:color w:val="000000"/>
                <w:lang w:val="hr-HR" w:eastAsia="hr-HR"/>
              </w:rPr>
            </w:pPr>
            <w:r w:rsidRPr="00284F26">
              <w:rPr>
                <w:rFonts w:ascii="Times New Roman" w:hAnsi="Times New Roman"/>
                <w:color w:val="000000"/>
                <w:lang w:val="hr-HR" w:eastAsia="hr-HR"/>
              </w:rPr>
              <w:t> </w:t>
            </w:r>
          </w:p>
        </w:tc>
        <w:tc>
          <w:tcPr>
            <w:tcW w:w="1408" w:type="dxa"/>
            <w:shd w:val="clear" w:color="000000" w:fill="FFFFFF"/>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423</w:t>
            </w:r>
          </w:p>
        </w:tc>
        <w:tc>
          <w:tcPr>
            <w:tcW w:w="649" w:type="dxa"/>
            <w:shd w:val="clear" w:color="000000" w:fill="F2F2F2"/>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18</w:t>
            </w:r>
          </w:p>
        </w:tc>
      </w:tr>
      <w:tr w:rsidR="00A131AD" w:rsidRPr="00284F26" w:rsidTr="00A22138">
        <w:trPr>
          <w:trHeight w:val="288"/>
        </w:trPr>
        <w:tc>
          <w:tcPr>
            <w:tcW w:w="2800" w:type="dxa"/>
            <w:shd w:val="clear" w:color="000000" w:fill="F2F2F2"/>
            <w:noWrap/>
            <w:vAlign w:val="bottom"/>
            <w:hideMark/>
          </w:tcPr>
          <w:p w:rsidR="00A131AD" w:rsidRPr="00284F26" w:rsidRDefault="00A131AD" w:rsidP="000C0138">
            <w:pPr>
              <w:spacing w:line="276" w:lineRule="auto"/>
              <w:jc w:val="left"/>
              <w:rPr>
                <w:rFonts w:ascii="Times New Roman" w:hAnsi="Times New Roman"/>
                <w:color w:val="000000"/>
                <w:lang w:val="hr-HR" w:eastAsia="hr-HR"/>
              </w:rPr>
            </w:pPr>
            <w:r w:rsidRPr="00284F26">
              <w:rPr>
                <w:rFonts w:ascii="Times New Roman" w:hAnsi="Times New Roman"/>
                <w:color w:val="000000"/>
                <w:lang w:val="hr-HR" w:eastAsia="hr-HR"/>
              </w:rPr>
              <w:t>UKUPNO (bez kože)</w:t>
            </w:r>
          </w:p>
        </w:tc>
        <w:tc>
          <w:tcPr>
            <w:tcW w:w="733" w:type="dxa"/>
            <w:shd w:val="clear" w:color="000000" w:fill="F2F2F2"/>
            <w:noWrap/>
            <w:vAlign w:val="bottom"/>
            <w:hideMark/>
          </w:tcPr>
          <w:p w:rsidR="00A131AD" w:rsidRPr="00284F26" w:rsidRDefault="00A131AD" w:rsidP="000C0138">
            <w:pPr>
              <w:spacing w:line="276" w:lineRule="auto"/>
              <w:jc w:val="left"/>
              <w:rPr>
                <w:rFonts w:ascii="Times New Roman" w:hAnsi="Times New Roman"/>
                <w:color w:val="000000"/>
                <w:lang w:val="hr-HR" w:eastAsia="hr-HR"/>
              </w:rPr>
            </w:pPr>
            <w:r w:rsidRPr="00284F26">
              <w:rPr>
                <w:rFonts w:ascii="Times New Roman" w:hAnsi="Times New Roman"/>
                <w:color w:val="000000"/>
                <w:lang w:val="hr-HR" w:eastAsia="hr-HR"/>
              </w:rPr>
              <w:t> </w:t>
            </w:r>
          </w:p>
        </w:tc>
        <w:tc>
          <w:tcPr>
            <w:tcW w:w="1598" w:type="dxa"/>
            <w:shd w:val="clear" w:color="000000" w:fill="F2F2F2"/>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2502</w:t>
            </w:r>
          </w:p>
        </w:tc>
        <w:tc>
          <w:tcPr>
            <w:tcW w:w="649" w:type="dxa"/>
            <w:shd w:val="clear" w:color="000000" w:fill="F2F2F2"/>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100</w:t>
            </w:r>
          </w:p>
        </w:tc>
        <w:tc>
          <w:tcPr>
            <w:tcW w:w="923" w:type="dxa"/>
            <w:shd w:val="clear" w:color="000000" w:fill="F2F2F2"/>
            <w:noWrap/>
            <w:vAlign w:val="bottom"/>
            <w:hideMark/>
          </w:tcPr>
          <w:p w:rsidR="00A131AD" w:rsidRPr="00284F26" w:rsidRDefault="00A131AD" w:rsidP="000C0138">
            <w:pPr>
              <w:spacing w:line="276" w:lineRule="auto"/>
              <w:jc w:val="left"/>
              <w:rPr>
                <w:rFonts w:ascii="Times New Roman" w:hAnsi="Times New Roman"/>
                <w:color w:val="000000"/>
                <w:lang w:val="hr-HR" w:eastAsia="hr-HR"/>
              </w:rPr>
            </w:pPr>
            <w:r w:rsidRPr="00284F26">
              <w:rPr>
                <w:rFonts w:ascii="Times New Roman" w:hAnsi="Times New Roman"/>
                <w:color w:val="000000"/>
                <w:lang w:val="hr-HR" w:eastAsia="hr-HR"/>
              </w:rPr>
              <w:t> </w:t>
            </w:r>
          </w:p>
        </w:tc>
        <w:tc>
          <w:tcPr>
            <w:tcW w:w="1408" w:type="dxa"/>
            <w:shd w:val="clear" w:color="000000" w:fill="F2F2F2"/>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2354</w:t>
            </w:r>
          </w:p>
        </w:tc>
        <w:tc>
          <w:tcPr>
            <w:tcW w:w="649" w:type="dxa"/>
            <w:shd w:val="clear" w:color="000000" w:fill="F2F2F2"/>
            <w:noWrap/>
            <w:vAlign w:val="bottom"/>
            <w:hideMark/>
          </w:tcPr>
          <w:p w:rsidR="00A131AD" w:rsidRPr="00284F26" w:rsidRDefault="00A131AD" w:rsidP="000C0138">
            <w:pPr>
              <w:spacing w:line="276" w:lineRule="auto"/>
              <w:jc w:val="right"/>
              <w:rPr>
                <w:rFonts w:ascii="Times New Roman" w:hAnsi="Times New Roman"/>
                <w:color w:val="000000"/>
                <w:lang w:val="hr-HR" w:eastAsia="hr-HR"/>
              </w:rPr>
            </w:pPr>
            <w:r w:rsidRPr="00284F26">
              <w:rPr>
                <w:rFonts w:ascii="Times New Roman" w:hAnsi="Times New Roman"/>
                <w:color w:val="000000"/>
                <w:lang w:val="hr-HR" w:eastAsia="hr-HR"/>
              </w:rPr>
              <w:t>100</w:t>
            </w:r>
          </w:p>
        </w:tc>
      </w:tr>
    </w:tbl>
    <w:p w:rsidR="00A131AD" w:rsidRPr="00155F80" w:rsidRDefault="00A131AD" w:rsidP="000C0138">
      <w:pPr>
        <w:spacing w:after="200" w:line="276" w:lineRule="auto"/>
        <w:jc w:val="left"/>
        <w:rPr>
          <w:rFonts w:ascii="Times New Roman" w:eastAsia="Calibri" w:hAnsi="Times New Roman"/>
          <w:lang w:val="hr-HR"/>
        </w:rPr>
      </w:pPr>
    </w:p>
    <w:p w:rsidR="00A131AD" w:rsidRPr="00155F80" w:rsidRDefault="00A131AD" w:rsidP="00EB7CC7">
      <w:pPr>
        <w:pStyle w:val="refererere"/>
        <w:rPr>
          <w:rFonts w:eastAsia="Calibri"/>
          <w:lang w:val="hr-HR"/>
        </w:rPr>
      </w:pPr>
      <w:r w:rsidRPr="00155F80">
        <w:rPr>
          <w:rFonts w:eastAsia="Calibri"/>
          <w:lang w:val="hr-HR"/>
        </w:rPr>
        <w:t>Grafikon 36: Dese</w:t>
      </w:r>
      <w:r w:rsidR="00590EC7">
        <w:rPr>
          <w:rFonts w:eastAsia="Calibri"/>
          <w:lang w:val="hr-HR"/>
        </w:rPr>
        <w:t>t vodećih uzroka smrti od raka kod</w:t>
      </w:r>
      <w:r w:rsidRPr="00155F80">
        <w:rPr>
          <w:rFonts w:eastAsia="Calibri"/>
          <w:lang w:val="hr-HR"/>
        </w:rPr>
        <w:t xml:space="preserve"> muškaraca u Federaciji BiH, 2014. i 2013.godina, indeks strukture</w:t>
      </w:r>
    </w:p>
    <w:p w:rsidR="00A131AD" w:rsidRPr="00155F80" w:rsidRDefault="00A131AD" w:rsidP="000C0138">
      <w:pPr>
        <w:spacing w:after="200" w:line="276" w:lineRule="auto"/>
        <w:jc w:val="left"/>
        <w:rPr>
          <w:rFonts w:ascii="Times New Roman" w:eastAsia="Calibri" w:hAnsi="Times New Roman"/>
          <w:lang w:val="hr-HR"/>
        </w:rPr>
      </w:pPr>
      <w:r w:rsidRPr="00155F80">
        <w:rPr>
          <w:rFonts w:ascii="Times New Roman" w:eastAsia="Calibri" w:hAnsi="Times New Roman"/>
          <w:noProof/>
          <w:lang w:val="bs-Latn-BA" w:eastAsia="bs-Latn-BA"/>
        </w:rPr>
        <w:drawing>
          <wp:inline distT="0" distB="0" distL="0" distR="0" wp14:anchorId="219676FD" wp14:editId="245F7CE3">
            <wp:extent cx="5695315" cy="3342640"/>
            <wp:effectExtent l="0" t="0" r="63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695315" cy="3342640"/>
                    </a:xfrm>
                    <a:prstGeom prst="rect">
                      <a:avLst/>
                    </a:prstGeom>
                    <a:noFill/>
                  </pic:spPr>
                </pic:pic>
              </a:graphicData>
            </a:graphic>
          </wp:inline>
        </w:drawing>
      </w:r>
    </w:p>
    <w:p w:rsidR="00874E9B" w:rsidRDefault="00874E9B">
      <w:pPr>
        <w:spacing w:after="160" w:line="259" w:lineRule="auto"/>
        <w:jc w:val="left"/>
        <w:rPr>
          <w:rFonts w:ascii="Times New Roman" w:eastAsia="Calibri" w:hAnsi="Times New Roman"/>
          <w:sz w:val="20"/>
          <w:szCs w:val="20"/>
          <w:lang w:val="hr-HR"/>
        </w:rPr>
      </w:pPr>
      <w:r>
        <w:rPr>
          <w:rFonts w:eastAsia="Calibri"/>
          <w:lang w:val="hr-HR"/>
        </w:rPr>
        <w:br w:type="page"/>
      </w:r>
    </w:p>
    <w:p w:rsidR="00A131AD" w:rsidRPr="00155F80" w:rsidRDefault="00A131AD" w:rsidP="00EB7CC7">
      <w:pPr>
        <w:pStyle w:val="refererere"/>
        <w:rPr>
          <w:rFonts w:eastAsia="Calibri"/>
          <w:lang w:val="hr-HR"/>
        </w:rPr>
      </w:pPr>
      <w:r w:rsidRPr="00155F80">
        <w:rPr>
          <w:rFonts w:eastAsia="Calibri"/>
          <w:lang w:val="hr-HR"/>
        </w:rPr>
        <w:lastRenderedPageBreak/>
        <w:t>Tabl</w:t>
      </w:r>
      <w:r w:rsidR="00FE3B0D">
        <w:rPr>
          <w:rFonts w:eastAsia="Calibri"/>
          <w:lang w:val="hr-HR"/>
        </w:rPr>
        <w:t>ic</w:t>
      </w:r>
      <w:r w:rsidRPr="00155F80">
        <w:rPr>
          <w:rFonts w:eastAsia="Calibri"/>
          <w:lang w:val="hr-HR"/>
        </w:rPr>
        <w:t>a 5: Deset vodećih uzroka smrti od raka kod žena u FederacijiBiH, 2014. i 2013.godina</w:t>
      </w:r>
    </w:p>
    <w:tbl>
      <w:tblPr>
        <w:tblW w:w="876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0"/>
        <w:gridCol w:w="733"/>
        <w:gridCol w:w="1598"/>
        <w:gridCol w:w="649"/>
        <w:gridCol w:w="733"/>
        <w:gridCol w:w="1598"/>
        <w:gridCol w:w="649"/>
      </w:tblGrid>
      <w:tr w:rsidR="00A131AD" w:rsidRPr="00155F80" w:rsidTr="001911A6">
        <w:trPr>
          <w:trHeight w:val="288"/>
        </w:trPr>
        <w:tc>
          <w:tcPr>
            <w:tcW w:w="2800" w:type="dxa"/>
            <w:vMerge w:val="restart"/>
            <w:shd w:val="clear" w:color="000000" w:fill="F2F2F2"/>
            <w:vAlign w:val="center"/>
            <w:hideMark/>
          </w:tcPr>
          <w:p w:rsidR="00A131AD" w:rsidRPr="00155F80" w:rsidRDefault="00A131AD" w:rsidP="000C0138">
            <w:pPr>
              <w:spacing w:line="276" w:lineRule="auto"/>
              <w:jc w:val="center"/>
              <w:rPr>
                <w:rFonts w:ascii="Times New Roman" w:hAnsi="Times New Roman"/>
                <w:lang w:val="hr-HR" w:eastAsia="hr-HR"/>
              </w:rPr>
            </w:pPr>
            <w:r w:rsidRPr="00155F80">
              <w:rPr>
                <w:rFonts w:ascii="Times New Roman" w:hAnsi="Times New Roman"/>
                <w:lang w:val="hr-HR" w:eastAsia="hr-HR"/>
              </w:rPr>
              <w:t>Lokalizacija</w:t>
            </w:r>
          </w:p>
        </w:tc>
        <w:tc>
          <w:tcPr>
            <w:tcW w:w="2980" w:type="dxa"/>
            <w:gridSpan w:val="3"/>
            <w:shd w:val="clear" w:color="000000" w:fill="F2F2F2"/>
            <w:vAlign w:val="bottom"/>
            <w:hideMark/>
          </w:tcPr>
          <w:p w:rsidR="00A131AD" w:rsidRPr="00155F80" w:rsidRDefault="00A131AD" w:rsidP="000C0138">
            <w:pPr>
              <w:spacing w:line="276" w:lineRule="auto"/>
              <w:jc w:val="center"/>
              <w:rPr>
                <w:rFonts w:ascii="Times New Roman" w:hAnsi="Times New Roman"/>
                <w:lang w:val="hr-HR" w:eastAsia="hr-HR"/>
              </w:rPr>
            </w:pPr>
            <w:r w:rsidRPr="00155F80">
              <w:rPr>
                <w:rFonts w:ascii="Times New Roman" w:hAnsi="Times New Roman"/>
                <w:lang w:val="hr-HR" w:eastAsia="hr-HR"/>
              </w:rPr>
              <w:t>2014.</w:t>
            </w:r>
          </w:p>
        </w:tc>
        <w:tc>
          <w:tcPr>
            <w:tcW w:w="2980" w:type="dxa"/>
            <w:gridSpan w:val="3"/>
            <w:shd w:val="clear" w:color="000000" w:fill="F2F2F2"/>
            <w:vAlign w:val="bottom"/>
            <w:hideMark/>
          </w:tcPr>
          <w:p w:rsidR="00A131AD" w:rsidRPr="00155F80" w:rsidRDefault="00A131AD" w:rsidP="000C0138">
            <w:pPr>
              <w:spacing w:line="276" w:lineRule="auto"/>
              <w:jc w:val="center"/>
              <w:rPr>
                <w:rFonts w:ascii="Times New Roman" w:hAnsi="Times New Roman"/>
                <w:lang w:val="hr-HR" w:eastAsia="hr-HR"/>
              </w:rPr>
            </w:pPr>
            <w:r w:rsidRPr="00155F80">
              <w:rPr>
                <w:rFonts w:ascii="Times New Roman" w:hAnsi="Times New Roman"/>
                <w:lang w:val="hr-HR" w:eastAsia="hr-HR"/>
              </w:rPr>
              <w:t>2013.</w:t>
            </w:r>
          </w:p>
        </w:tc>
      </w:tr>
      <w:tr w:rsidR="00A131AD" w:rsidRPr="00155F80" w:rsidTr="001911A6">
        <w:trPr>
          <w:trHeight w:val="288"/>
        </w:trPr>
        <w:tc>
          <w:tcPr>
            <w:tcW w:w="2800" w:type="dxa"/>
            <w:vMerge/>
            <w:vAlign w:val="center"/>
            <w:hideMark/>
          </w:tcPr>
          <w:p w:rsidR="00A131AD" w:rsidRPr="00155F80" w:rsidRDefault="00A131AD" w:rsidP="000C0138">
            <w:pPr>
              <w:spacing w:line="276" w:lineRule="auto"/>
              <w:jc w:val="left"/>
              <w:rPr>
                <w:rFonts w:ascii="Times New Roman" w:hAnsi="Times New Roman"/>
                <w:lang w:val="hr-HR" w:eastAsia="hr-HR"/>
              </w:rPr>
            </w:pPr>
          </w:p>
        </w:tc>
        <w:tc>
          <w:tcPr>
            <w:tcW w:w="733" w:type="dxa"/>
            <w:shd w:val="clear" w:color="000000" w:fill="F2F2F2"/>
            <w:noWrap/>
            <w:vAlign w:val="bottom"/>
            <w:hideMark/>
          </w:tcPr>
          <w:p w:rsidR="00A131AD" w:rsidRPr="00155F80" w:rsidRDefault="00A131AD" w:rsidP="000C0138">
            <w:pPr>
              <w:spacing w:line="276" w:lineRule="auto"/>
              <w:jc w:val="center"/>
              <w:rPr>
                <w:rFonts w:ascii="Times New Roman" w:hAnsi="Times New Roman"/>
                <w:lang w:val="hr-HR" w:eastAsia="hr-HR"/>
              </w:rPr>
            </w:pPr>
            <w:r w:rsidRPr="00155F80">
              <w:rPr>
                <w:rFonts w:ascii="Times New Roman" w:hAnsi="Times New Roman"/>
                <w:lang w:val="hr-HR" w:eastAsia="hr-HR"/>
              </w:rPr>
              <w:t>Rang</w:t>
            </w:r>
          </w:p>
        </w:tc>
        <w:tc>
          <w:tcPr>
            <w:tcW w:w="1598" w:type="dxa"/>
            <w:shd w:val="clear" w:color="000000" w:fill="F2F2F2"/>
            <w:noWrap/>
            <w:vAlign w:val="bottom"/>
            <w:hideMark/>
          </w:tcPr>
          <w:p w:rsidR="00A131AD" w:rsidRPr="00155F80" w:rsidRDefault="00A131AD" w:rsidP="000C0138">
            <w:pPr>
              <w:spacing w:line="276" w:lineRule="auto"/>
              <w:jc w:val="center"/>
              <w:rPr>
                <w:rFonts w:ascii="Times New Roman" w:hAnsi="Times New Roman"/>
                <w:lang w:val="hr-HR" w:eastAsia="hr-HR"/>
              </w:rPr>
            </w:pPr>
            <w:r w:rsidRPr="00155F80">
              <w:rPr>
                <w:rFonts w:ascii="Times New Roman" w:hAnsi="Times New Roman"/>
                <w:lang w:val="hr-HR" w:eastAsia="hr-HR"/>
              </w:rPr>
              <w:t>Broj umrlih</w:t>
            </w:r>
          </w:p>
        </w:tc>
        <w:tc>
          <w:tcPr>
            <w:tcW w:w="649" w:type="dxa"/>
            <w:shd w:val="clear" w:color="000000" w:fill="FFFFFF"/>
            <w:noWrap/>
            <w:vAlign w:val="bottom"/>
            <w:hideMark/>
          </w:tcPr>
          <w:p w:rsidR="00A131AD" w:rsidRPr="00155F80" w:rsidRDefault="00A131AD" w:rsidP="000C0138">
            <w:pPr>
              <w:spacing w:line="276" w:lineRule="auto"/>
              <w:jc w:val="center"/>
              <w:rPr>
                <w:rFonts w:ascii="Times New Roman" w:hAnsi="Times New Roman"/>
                <w:lang w:val="hr-HR" w:eastAsia="hr-HR"/>
              </w:rPr>
            </w:pPr>
            <w:r w:rsidRPr="00155F80">
              <w:rPr>
                <w:rFonts w:ascii="Times New Roman" w:hAnsi="Times New Roman"/>
                <w:lang w:val="hr-HR" w:eastAsia="hr-HR"/>
              </w:rPr>
              <w:t>%</w:t>
            </w:r>
          </w:p>
        </w:tc>
        <w:tc>
          <w:tcPr>
            <w:tcW w:w="733" w:type="dxa"/>
            <w:shd w:val="clear" w:color="000000" w:fill="F2F2F2"/>
            <w:noWrap/>
            <w:vAlign w:val="bottom"/>
            <w:hideMark/>
          </w:tcPr>
          <w:p w:rsidR="00A131AD" w:rsidRPr="00155F80" w:rsidRDefault="00A131AD" w:rsidP="000C0138">
            <w:pPr>
              <w:spacing w:line="276" w:lineRule="auto"/>
              <w:jc w:val="center"/>
              <w:rPr>
                <w:rFonts w:ascii="Times New Roman" w:hAnsi="Times New Roman"/>
                <w:lang w:val="hr-HR" w:eastAsia="hr-HR"/>
              </w:rPr>
            </w:pPr>
            <w:r w:rsidRPr="00155F80">
              <w:rPr>
                <w:rFonts w:ascii="Times New Roman" w:hAnsi="Times New Roman"/>
                <w:lang w:val="hr-HR" w:eastAsia="hr-HR"/>
              </w:rPr>
              <w:t>Rang</w:t>
            </w:r>
          </w:p>
        </w:tc>
        <w:tc>
          <w:tcPr>
            <w:tcW w:w="1598" w:type="dxa"/>
            <w:shd w:val="clear" w:color="000000" w:fill="FFFFFF"/>
            <w:noWrap/>
            <w:vAlign w:val="bottom"/>
            <w:hideMark/>
          </w:tcPr>
          <w:p w:rsidR="00A131AD" w:rsidRPr="00155F80" w:rsidRDefault="00A131AD" w:rsidP="000C0138">
            <w:pPr>
              <w:spacing w:line="276" w:lineRule="auto"/>
              <w:jc w:val="center"/>
              <w:rPr>
                <w:rFonts w:ascii="Times New Roman" w:hAnsi="Times New Roman"/>
                <w:lang w:val="hr-HR" w:eastAsia="hr-HR"/>
              </w:rPr>
            </w:pPr>
            <w:r w:rsidRPr="00155F80">
              <w:rPr>
                <w:rFonts w:ascii="Times New Roman" w:hAnsi="Times New Roman"/>
                <w:lang w:val="hr-HR" w:eastAsia="hr-HR"/>
              </w:rPr>
              <w:t>Broj umrlih</w:t>
            </w:r>
          </w:p>
        </w:tc>
        <w:tc>
          <w:tcPr>
            <w:tcW w:w="649" w:type="dxa"/>
            <w:shd w:val="clear" w:color="000000" w:fill="F2F2F2"/>
            <w:noWrap/>
            <w:vAlign w:val="bottom"/>
            <w:hideMark/>
          </w:tcPr>
          <w:p w:rsidR="00A131AD" w:rsidRPr="00155F80" w:rsidRDefault="00A131AD" w:rsidP="000C0138">
            <w:pPr>
              <w:spacing w:line="276" w:lineRule="auto"/>
              <w:jc w:val="center"/>
              <w:rPr>
                <w:rFonts w:ascii="Times New Roman" w:hAnsi="Times New Roman"/>
                <w:lang w:val="hr-HR" w:eastAsia="hr-HR"/>
              </w:rPr>
            </w:pPr>
            <w:r w:rsidRPr="00155F80">
              <w:rPr>
                <w:rFonts w:ascii="Times New Roman" w:hAnsi="Times New Roman"/>
                <w:lang w:val="hr-HR" w:eastAsia="hr-HR"/>
              </w:rPr>
              <w:t>%</w:t>
            </w:r>
          </w:p>
        </w:tc>
      </w:tr>
      <w:tr w:rsidR="00A131AD" w:rsidRPr="00155F80" w:rsidTr="001911A6">
        <w:trPr>
          <w:trHeight w:val="288"/>
        </w:trPr>
        <w:tc>
          <w:tcPr>
            <w:tcW w:w="2800" w:type="dxa"/>
            <w:shd w:val="clear" w:color="000000" w:fill="F2F2F2"/>
            <w:vAlign w:val="center"/>
            <w:hideMark/>
          </w:tcPr>
          <w:p w:rsidR="00A131AD" w:rsidRPr="00155F80" w:rsidRDefault="00A131AD" w:rsidP="000C0138">
            <w:pPr>
              <w:spacing w:line="276" w:lineRule="auto"/>
              <w:jc w:val="left"/>
              <w:rPr>
                <w:rFonts w:ascii="Times New Roman" w:hAnsi="Times New Roman"/>
                <w:lang w:val="hr-HR" w:eastAsia="hr-HR"/>
              </w:rPr>
            </w:pPr>
            <w:r w:rsidRPr="00155F80">
              <w:rPr>
                <w:rFonts w:ascii="Times New Roman" w:hAnsi="Times New Roman"/>
                <w:lang w:val="hr-HR" w:eastAsia="hr-HR"/>
              </w:rPr>
              <w:t>Dojka (C50)</w:t>
            </w:r>
          </w:p>
        </w:tc>
        <w:tc>
          <w:tcPr>
            <w:tcW w:w="733" w:type="dxa"/>
            <w:shd w:val="clear" w:color="000000" w:fill="F2F2F2"/>
            <w:noWrap/>
            <w:vAlign w:val="bottom"/>
            <w:hideMark/>
          </w:tcPr>
          <w:p w:rsidR="00A131AD" w:rsidRPr="00155F80" w:rsidRDefault="00A131AD" w:rsidP="000C0138">
            <w:pPr>
              <w:spacing w:line="276" w:lineRule="auto"/>
              <w:jc w:val="center"/>
              <w:rPr>
                <w:rFonts w:ascii="Times New Roman" w:hAnsi="Times New Roman"/>
                <w:lang w:val="hr-HR" w:eastAsia="hr-HR"/>
              </w:rPr>
            </w:pPr>
            <w:r w:rsidRPr="00155F80">
              <w:rPr>
                <w:rFonts w:ascii="Times New Roman" w:hAnsi="Times New Roman"/>
                <w:lang w:val="hr-HR" w:eastAsia="hr-HR"/>
              </w:rPr>
              <w:t>1</w:t>
            </w:r>
          </w:p>
        </w:tc>
        <w:tc>
          <w:tcPr>
            <w:tcW w:w="1598" w:type="dxa"/>
            <w:shd w:val="clear" w:color="000000" w:fill="F2F2F2"/>
            <w:noWrap/>
            <w:vAlign w:val="bottom"/>
            <w:hideMark/>
          </w:tcPr>
          <w:p w:rsidR="00A131AD" w:rsidRPr="00155F80" w:rsidRDefault="00A131AD" w:rsidP="000C0138">
            <w:pPr>
              <w:spacing w:line="276" w:lineRule="auto"/>
              <w:jc w:val="center"/>
              <w:rPr>
                <w:rFonts w:ascii="Times New Roman" w:hAnsi="Times New Roman"/>
                <w:lang w:val="hr-HR" w:eastAsia="hr-HR"/>
              </w:rPr>
            </w:pPr>
            <w:r w:rsidRPr="00155F80">
              <w:rPr>
                <w:rFonts w:ascii="Times New Roman" w:hAnsi="Times New Roman"/>
                <w:lang w:val="hr-HR" w:eastAsia="hr-HR"/>
              </w:rPr>
              <w:t>254</w:t>
            </w:r>
          </w:p>
        </w:tc>
        <w:tc>
          <w:tcPr>
            <w:tcW w:w="649" w:type="dxa"/>
            <w:shd w:val="clear" w:color="000000" w:fill="F2F2F2"/>
            <w:noWrap/>
            <w:vAlign w:val="bottom"/>
            <w:hideMark/>
          </w:tcPr>
          <w:p w:rsidR="00A131AD" w:rsidRPr="00155F80" w:rsidRDefault="00A131AD" w:rsidP="000C0138">
            <w:pPr>
              <w:spacing w:line="276" w:lineRule="auto"/>
              <w:jc w:val="center"/>
              <w:rPr>
                <w:rFonts w:ascii="Times New Roman" w:hAnsi="Times New Roman"/>
                <w:lang w:val="hr-HR" w:eastAsia="hr-HR"/>
              </w:rPr>
            </w:pPr>
            <w:r w:rsidRPr="00155F80">
              <w:rPr>
                <w:rFonts w:ascii="Times New Roman" w:hAnsi="Times New Roman"/>
                <w:lang w:val="hr-HR" w:eastAsia="hr-HR"/>
              </w:rPr>
              <w:t>13,9</w:t>
            </w:r>
          </w:p>
        </w:tc>
        <w:tc>
          <w:tcPr>
            <w:tcW w:w="733" w:type="dxa"/>
            <w:shd w:val="clear" w:color="000000" w:fill="F2F2F2"/>
            <w:noWrap/>
            <w:vAlign w:val="bottom"/>
            <w:hideMark/>
          </w:tcPr>
          <w:p w:rsidR="00A131AD" w:rsidRPr="00155F80" w:rsidRDefault="00A131AD" w:rsidP="000C0138">
            <w:pPr>
              <w:spacing w:line="276" w:lineRule="auto"/>
              <w:jc w:val="center"/>
              <w:rPr>
                <w:rFonts w:ascii="Times New Roman" w:hAnsi="Times New Roman"/>
                <w:lang w:val="hr-HR" w:eastAsia="hr-HR"/>
              </w:rPr>
            </w:pPr>
            <w:r w:rsidRPr="00155F80">
              <w:rPr>
                <w:rFonts w:ascii="Times New Roman" w:hAnsi="Times New Roman"/>
                <w:lang w:val="hr-HR" w:eastAsia="hr-HR"/>
              </w:rPr>
              <w:t>1</w:t>
            </w:r>
          </w:p>
        </w:tc>
        <w:tc>
          <w:tcPr>
            <w:tcW w:w="1598" w:type="dxa"/>
            <w:shd w:val="clear" w:color="000000" w:fill="F2F2F2"/>
            <w:noWrap/>
            <w:vAlign w:val="bottom"/>
            <w:hideMark/>
          </w:tcPr>
          <w:p w:rsidR="00A131AD" w:rsidRPr="00155F80" w:rsidRDefault="00A131AD" w:rsidP="000C0138">
            <w:pPr>
              <w:spacing w:line="276" w:lineRule="auto"/>
              <w:jc w:val="center"/>
              <w:rPr>
                <w:rFonts w:ascii="Times New Roman" w:hAnsi="Times New Roman"/>
                <w:lang w:val="hr-HR" w:eastAsia="hr-HR"/>
              </w:rPr>
            </w:pPr>
            <w:r w:rsidRPr="00155F80">
              <w:rPr>
                <w:rFonts w:ascii="Times New Roman" w:hAnsi="Times New Roman"/>
                <w:lang w:val="hr-HR" w:eastAsia="hr-HR"/>
              </w:rPr>
              <w:t>265</w:t>
            </w:r>
          </w:p>
        </w:tc>
        <w:tc>
          <w:tcPr>
            <w:tcW w:w="649" w:type="dxa"/>
            <w:shd w:val="clear" w:color="000000" w:fill="F2F2F2"/>
            <w:noWrap/>
            <w:vAlign w:val="bottom"/>
            <w:hideMark/>
          </w:tcPr>
          <w:p w:rsidR="00A131AD" w:rsidRPr="00155F80" w:rsidRDefault="00A131AD" w:rsidP="000C0138">
            <w:pPr>
              <w:spacing w:line="276" w:lineRule="auto"/>
              <w:jc w:val="center"/>
              <w:rPr>
                <w:rFonts w:ascii="Times New Roman" w:hAnsi="Times New Roman"/>
                <w:lang w:val="hr-HR" w:eastAsia="hr-HR"/>
              </w:rPr>
            </w:pPr>
            <w:r w:rsidRPr="00155F80">
              <w:rPr>
                <w:rFonts w:ascii="Times New Roman" w:hAnsi="Times New Roman"/>
                <w:lang w:val="hr-HR" w:eastAsia="hr-HR"/>
              </w:rPr>
              <w:t>14,9</w:t>
            </w:r>
          </w:p>
        </w:tc>
      </w:tr>
      <w:tr w:rsidR="00A131AD" w:rsidRPr="00155F80" w:rsidTr="001911A6">
        <w:trPr>
          <w:trHeight w:val="288"/>
        </w:trPr>
        <w:tc>
          <w:tcPr>
            <w:tcW w:w="2800" w:type="dxa"/>
            <w:shd w:val="clear" w:color="000000" w:fill="F2F2F2"/>
            <w:noWrap/>
            <w:vAlign w:val="bottom"/>
            <w:hideMark/>
          </w:tcPr>
          <w:p w:rsidR="00A131AD" w:rsidRPr="00155F80" w:rsidRDefault="00A131AD" w:rsidP="000C0138">
            <w:pPr>
              <w:spacing w:line="276" w:lineRule="auto"/>
              <w:jc w:val="left"/>
              <w:rPr>
                <w:rFonts w:ascii="Times New Roman" w:hAnsi="Times New Roman"/>
                <w:color w:val="000000"/>
                <w:lang w:val="hr-HR" w:eastAsia="hr-HR"/>
              </w:rPr>
            </w:pPr>
            <w:r w:rsidRPr="00155F80">
              <w:rPr>
                <w:rFonts w:ascii="Times New Roman" w:hAnsi="Times New Roman"/>
                <w:color w:val="000000"/>
                <w:lang w:val="hr-HR" w:eastAsia="hr-HR"/>
              </w:rPr>
              <w:t>Pluća, bronh i traheja (C33-C34)</w:t>
            </w:r>
          </w:p>
        </w:tc>
        <w:tc>
          <w:tcPr>
            <w:tcW w:w="733" w:type="dxa"/>
            <w:shd w:val="clear" w:color="000000" w:fill="FFFFFF"/>
            <w:noWrap/>
            <w:vAlign w:val="bottom"/>
            <w:hideMark/>
          </w:tcPr>
          <w:p w:rsidR="00A131AD" w:rsidRPr="00155F80" w:rsidRDefault="00A131AD" w:rsidP="000C0138">
            <w:pPr>
              <w:spacing w:line="276" w:lineRule="auto"/>
              <w:jc w:val="center"/>
              <w:rPr>
                <w:rFonts w:ascii="Times New Roman" w:hAnsi="Times New Roman"/>
                <w:lang w:val="hr-HR" w:eastAsia="hr-HR"/>
              </w:rPr>
            </w:pPr>
            <w:r w:rsidRPr="00155F80">
              <w:rPr>
                <w:rFonts w:ascii="Times New Roman" w:hAnsi="Times New Roman"/>
                <w:lang w:val="hr-HR" w:eastAsia="hr-HR"/>
              </w:rPr>
              <w:t>2</w:t>
            </w:r>
          </w:p>
        </w:tc>
        <w:tc>
          <w:tcPr>
            <w:tcW w:w="1598" w:type="dxa"/>
            <w:shd w:val="clear" w:color="000000" w:fill="F2F2F2"/>
            <w:noWrap/>
            <w:vAlign w:val="bottom"/>
            <w:hideMark/>
          </w:tcPr>
          <w:p w:rsidR="00A131AD" w:rsidRPr="00155F80" w:rsidRDefault="00A131AD" w:rsidP="000C0138">
            <w:pPr>
              <w:spacing w:line="276" w:lineRule="auto"/>
              <w:jc w:val="center"/>
              <w:rPr>
                <w:rFonts w:ascii="Times New Roman" w:hAnsi="Times New Roman"/>
                <w:lang w:val="hr-HR" w:eastAsia="hr-HR"/>
              </w:rPr>
            </w:pPr>
            <w:r w:rsidRPr="00155F80">
              <w:rPr>
                <w:rFonts w:ascii="Times New Roman" w:hAnsi="Times New Roman"/>
                <w:lang w:val="hr-HR" w:eastAsia="hr-HR"/>
              </w:rPr>
              <w:t>171</w:t>
            </w:r>
          </w:p>
        </w:tc>
        <w:tc>
          <w:tcPr>
            <w:tcW w:w="649" w:type="dxa"/>
            <w:shd w:val="clear" w:color="000000" w:fill="FFFFFF"/>
            <w:noWrap/>
            <w:vAlign w:val="bottom"/>
            <w:hideMark/>
          </w:tcPr>
          <w:p w:rsidR="00A131AD" w:rsidRPr="00155F80" w:rsidRDefault="00A131AD" w:rsidP="000C0138">
            <w:pPr>
              <w:spacing w:line="276" w:lineRule="auto"/>
              <w:jc w:val="center"/>
              <w:rPr>
                <w:rFonts w:ascii="Times New Roman" w:hAnsi="Times New Roman"/>
                <w:lang w:val="hr-HR" w:eastAsia="hr-HR"/>
              </w:rPr>
            </w:pPr>
            <w:r w:rsidRPr="00155F80">
              <w:rPr>
                <w:rFonts w:ascii="Times New Roman" w:hAnsi="Times New Roman"/>
                <w:lang w:val="hr-HR" w:eastAsia="hr-HR"/>
              </w:rPr>
              <w:t>9,36</w:t>
            </w:r>
          </w:p>
        </w:tc>
        <w:tc>
          <w:tcPr>
            <w:tcW w:w="733" w:type="dxa"/>
            <w:shd w:val="clear" w:color="000000" w:fill="F2F2F2"/>
            <w:noWrap/>
            <w:vAlign w:val="bottom"/>
            <w:hideMark/>
          </w:tcPr>
          <w:p w:rsidR="00A131AD" w:rsidRPr="00155F80" w:rsidRDefault="00A131AD" w:rsidP="000C0138">
            <w:pPr>
              <w:spacing w:line="276" w:lineRule="auto"/>
              <w:jc w:val="center"/>
              <w:rPr>
                <w:rFonts w:ascii="Times New Roman" w:hAnsi="Times New Roman"/>
                <w:lang w:val="hr-HR" w:eastAsia="hr-HR"/>
              </w:rPr>
            </w:pPr>
            <w:r w:rsidRPr="00155F80">
              <w:rPr>
                <w:rFonts w:ascii="Times New Roman" w:hAnsi="Times New Roman"/>
                <w:lang w:val="hr-HR" w:eastAsia="hr-HR"/>
              </w:rPr>
              <w:t>2</w:t>
            </w:r>
          </w:p>
        </w:tc>
        <w:tc>
          <w:tcPr>
            <w:tcW w:w="1598" w:type="dxa"/>
            <w:shd w:val="clear" w:color="000000" w:fill="FFFFFF"/>
            <w:noWrap/>
            <w:vAlign w:val="bottom"/>
            <w:hideMark/>
          </w:tcPr>
          <w:p w:rsidR="00A131AD" w:rsidRPr="00155F80" w:rsidRDefault="00A131AD" w:rsidP="000C0138">
            <w:pPr>
              <w:spacing w:line="276" w:lineRule="auto"/>
              <w:jc w:val="center"/>
              <w:rPr>
                <w:rFonts w:ascii="Times New Roman" w:hAnsi="Times New Roman"/>
                <w:lang w:val="hr-HR" w:eastAsia="hr-HR"/>
              </w:rPr>
            </w:pPr>
            <w:r w:rsidRPr="00155F80">
              <w:rPr>
                <w:rFonts w:ascii="Times New Roman" w:hAnsi="Times New Roman"/>
                <w:lang w:val="hr-HR" w:eastAsia="hr-HR"/>
              </w:rPr>
              <w:t>237</w:t>
            </w:r>
          </w:p>
        </w:tc>
        <w:tc>
          <w:tcPr>
            <w:tcW w:w="649" w:type="dxa"/>
            <w:shd w:val="clear" w:color="000000" w:fill="F2F2F2"/>
            <w:noWrap/>
            <w:vAlign w:val="bottom"/>
            <w:hideMark/>
          </w:tcPr>
          <w:p w:rsidR="00A131AD" w:rsidRPr="00155F80" w:rsidRDefault="00A131AD" w:rsidP="000C0138">
            <w:pPr>
              <w:spacing w:line="276" w:lineRule="auto"/>
              <w:jc w:val="center"/>
              <w:rPr>
                <w:rFonts w:ascii="Times New Roman" w:hAnsi="Times New Roman"/>
                <w:lang w:val="hr-HR" w:eastAsia="hr-HR"/>
              </w:rPr>
            </w:pPr>
            <w:r w:rsidRPr="00155F80">
              <w:rPr>
                <w:rFonts w:ascii="Times New Roman" w:hAnsi="Times New Roman"/>
                <w:lang w:val="hr-HR" w:eastAsia="hr-HR"/>
              </w:rPr>
              <w:t>13,3</w:t>
            </w:r>
          </w:p>
        </w:tc>
      </w:tr>
      <w:tr w:rsidR="00A131AD" w:rsidRPr="00155F80" w:rsidTr="001911A6">
        <w:trPr>
          <w:trHeight w:val="288"/>
        </w:trPr>
        <w:tc>
          <w:tcPr>
            <w:tcW w:w="2800" w:type="dxa"/>
            <w:shd w:val="clear" w:color="000000" w:fill="F2F2F2"/>
            <w:noWrap/>
            <w:vAlign w:val="bottom"/>
            <w:hideMark/>
          </w:tcPr>
          <w:p w:rsidR="00A131AD" w:rsidRPr="00155F80" w:rsidRDefault="00A131AD" w:rsidP="000C0138">
            <w:pPr>
              <w:spacing w:line="276" w:lineRule="auto"/>
              <w:jc w:val="left"/>
              <w:rPr>
                <w:rFonts w:ascii="Times New Roman" w:hAnsi="Times New Roman"/>
                <w:color w:val="000000"/>
                <w:lang w:val="hr-HR" w:eastAsia="hr-HR"/>
              </w:rPr>
            </w:pPr>
            <w:r w:rsidRPr="00155F80">
              <w:rPr>
                <w:rFonts w:ascii="Times New Roman" w:hAnsi="Times New Roman"/>
                <w:color w:val="000000"/>
                <w:lang w:val="hr-HR" w:eastAsia="hr-HR"/>
              </w:rPr>
              <w:t>Jajnik (C56)</w:t>
            </w:r>
          </w:p>
        </w:tc>
        <w:tc>
          <w:tcPr>
            <w:tcW w:w="733" w:type="dxa"/>
            <w:shd w:val="clear" w:color="000000" w:fill="F2F2F2"/>
            <w:noWrap/>
            <w:vAlign w:val="bottom"/>
            <w:hideMark/>
          </w:tcPr>
          <w:p w:rsidR="00A131AD" w:rsidRPr="00155F80" w:rsidRDefault="00A131AD" w:rsidP="000C0138">
            <w:pPr>
              <w:spacing w:line="276" w:lineRule="auto"/>
              <w:jc w:val="center"/>
              <w:rPr>
                <w:rFonts w:ascii="Times New Roman" w:hAnsi="Times New Roman"/>
                <w:lang w:val="hr-HR" w:eastAsia="hr-HR"/>
              </w:rPr>
            </w:pPr>
            <w:r w:rsidRPr="00155F80">
              <w:rPr>
                <w:rFonts w:ascii="Times New Roman" w:hAnsi="Times New Roman"/>
                <w:lang w:val="hr-HR" w:eastAsia="hr-HR"/>
              </w:rPr>
              <w:t>3</w:t>
            </w:r>
          </w:p>
        </w:tc>
        <w:tc>
          <w:tcPr>
            <w:tcW w:w="1598" w:type="dxa"/>
            <w:shd w:val="clear" w:color="000000" w:fill="F2F2F2"/>
            <w:noWrap/>
            <w:vAlign w:val="bottom"/>
            <w:hideMark/>
          </w:tcPr>
          <w:p w:rsidR="00A131AD" w:rsidRPr="00155F80" w:rsidRDefault="00A131AD" w:rsidP="000C0138">
            <w:pPr>
              <w:spacing w:line="276" w:lineRule="auto"/>
              <w:jc w:val="center"/>
              <w:rPr>
                <w:rFonts w:ascii="Times New Roman" w:hAnsi="Times New Roman"/>
                <w:color w:val="000000"/>
                <w:lang w:val="hr-HR" w:eastAsia="hr-HR"/>
              </w:rPr>
            </w:pPr>
            <w:r w:rsidRPr="00155F80">
              <w:rPr>
                <w:rFonts w:ascii="Times New Roman" w:hAnsi="Times New Roman"/>
                <w:color w:val="000000"/>
                <w:lang w:val="hr-HR" w:eastAsia="hr-HR"/>
              </w:rPr>
              <w:t>113</w:t>
            </w:r>
          </w:p>
        </w:tc>
        <w:tc>
          <w:tcPr>
            <w:tcW w:w="649" w:type="dxa"/>
            <w:shd w:val="clear" w:color="000000" w:fill="F2F2F2"/>
            <w:noWrap/>
            <w:vAlign w:val="bottom"/>
            <w:hideMark/>
          </w:tcPr>
          <w:p w:rsidR="00A131AD" w:rsidRPr="00155F80" w:rsidRDefault="00A131AD" w:rsidP="000C0138">
            <w:pPr>
              <w:spacing w:line="276" w:lineRule="auto"/>
              <w:jc w:val="center"/>
              <w:rPr>
                <w:rFonts w:ascii="Times New Roman" w:hAnsi="Times New Roman"/>
                <w:color w:val="000000"/>
                <w:lang w:val="hr-HR" w:eastAsia="hr-HR"/>
              </w:rPr>
            </w:pPr>
            <w:r w:rsidRPr="00155F80">
              <w:rPr>
                <w:rFonts w:ascii="Times New Roman" w:hAnsi="Times New Roman"/>
                <w:color w:val="000000"/>
                <w:lang w:val="hr-HR" w:eastAsia="hr-HR"/>
              </w:rPr>
              <w:t>6,2</w:t>
            </w:r>
          </w:p>
        </w:tc>
        <w:tc>
          <w:tcPr>
            <w:tcW w:w="733" w:type="dxa"/>
            <w:shd w:val="clear" w:color="000000" w:fill="F2F2F2"/>
            <w:noWrap/>
            <w:vAlign w:val="bottom"/>
            <w:hideMark/>
          </w:tcPr>
          <w:p w:rsidR="00A131AD" w:rsidRPr="00155F80" w:rsidRDefault="00A131AD" w:rsidP="000C0138">
            <w:pPr>
              <w:spacing w:line="276" w:lineRule="auto"/>
              <w:jc w:val="center"/>
              <w:rPr>
                <w:rFonts w:ascii="Times New Roman" w:hAnsi="Times New Roman"/>
                <w:color w:val="000000"/>
                <w:lang w:val="hr-HR" w:eastAsia="hr-HR"/>
              </w:rPr>
            </w:pPr>
            <w:r w:rsidRPr="00155F80">
              <w:rPr>
                <w:rFonts w:ascii="Times New Roman" w:hAnsi="Times New Roman"/>
                <w:color w:val="000000"/>
                <w:lang w:val="hr-HR" w:eastAsia="hr-HR"/>
              </w:rPr>
              <w:t>7</w:t>
            </w:r>
          </w:p>
        </w:tc>
        <w:tc>
          <w:tcPr>
            <w:tcW w:w="1598" w:type="dxa"/>
            <w:shd w:val="clear" w:color="000000" w:fill="F2F2F2"/>
            <w:noWrap/>
            <w:vAlign w:val="bottom"/>
            <w:hideMark/>
          </w:tcPr>
          <w:p w:rsidR="00A131AD" w:rsidRPr="00155F80" w:rsidRDefault="00A131AD" w:rsidP="000C0138">
            <w:pPr>
              <w:spacing w:line="276" w:lineRule="auto"/>
              <w:jc w:val="center"/>
              <w:rPr>
                <w:rFonts w:ascii="Times New Roman" w:hAnsi="Times New Roman"/>
                <w:color w:val="000000"/>
                <w:lang w:val="hr-HR" w:eastAsia="hr-HR"/>
              </w:rPr>
            </w:pPr>
            <w:r w:rsidRPr="00155F80">
              <w:rPr>
                <w:rFonts w:ascii="Times New Roman" w:hAnsi="Times New Roman"/>
                <w:color w:val="000000"/>
                <w:lang w:val="hr-HR" w:eastAsia="hr-HR"/>
              </w:rPr>
              <w:t>103</w:t>
            </w:r>
          </w:p>
        </w:tc>
        <w:tc>
          <w:tcPr>
            <w:tcW w:w="649" w:type="dxa"/>
            <w:shd w:val="clear" w:color="000000" w:fill="F2F2F2"/>
            <w:noWrap/>
            <w:vAlign w:val="bottom"/>
            <w:hideMark/>
          </w:tcPr>
          <w:p w:rsidR="00A131AD" w:rsidRPr="00155F80" w:rsidRDefault="00A131AD" w:rsidP="000C0138">
            <w:pPr>
              <w:spacing w:line="276" w:lineRule="auto"/>
              <w:jc w:val="center"/>
              <w:rPr>
                <w:rFonts w:ascii="Times New Roman" w:hAnsi="Times New Roman"/>
                <w:color w:val="000000"/>
                <w:lang w:val="hr-HR" w:eastAsia="hr-HR"/>
              </w:rPr>
            </w:pPr>
            <w:r w:rsidRPr="00155F80">
              <w:rPr>
                <w:rFonts w:ascii="Times New Roman" w:hAnsi="Times New Roman"/>
                <w:color w:val="000000"/>
                <w:lang w:val="hr-HR" w:eastAsia="hr-HR"/>
              </w:rPr>
              <w:t>5,8</w:t>
            </w:r>
          </w:p>
        </w:tc>
      </w:tr>
      <w:tr w:rsidR="00A131AD" w:rsidRPr="00155F80" w:rsidTr="001911A6">
        <w:trPr>
          <w:trHeight w:val="288"/>
        </w:trPr>
        <w:tc>
          <w:tcPr>
            <w:tcW w:w="2800" w:type="dxa"/>
            <w:shd w:val="clear" w:color="000000" w:fill="F2F2F2"/>
            <w:noWrap/>
            <w:vAlign w:val="bottom"/>
            <w:hideMark/>
          </w:tcPr>
          <w:p w:rsidR="00A131AD" w:rsidRPr="00155F80" w:rsidRDefault="00A131AD" w:rsidP="000C0138">
            <w:pPr>
              <w:spacing w:line="276" w:lineRule="auto"/>
              <w:jc w:val="left"/>
              <w:rPr>
                <w:rFonts w:ascii="Times New Roman" w:hAnsi="Times New Roman"/>
                <w:color w:val="000000"/>
                <w:lang w:val="hr-HR" w:eastAsia="hr-HR"/>
              </w:rPr>
            </w:pPr>
            <w:r w:rsidRPr="00155F80">
              <w:rPr>
                <w:rFonts w:ascii="Times New Roman" w:hAnsi="Times New Roman"/>
                <w:color w:val="000000"/>
                <w:lang w:val="hr-HR" w:eastAsia="hr-HR"/>
              </w:rPr>
              <w:t>Želudac (C16)</w:t>
            </w:r>
          </w:p>
        </w:tc>
        <w:tc>
          <w:tcPr>
            <w:tcW w:w="733" w:type="dxa"/>
            <w:shd w:val="clear" w:color="000000" w:fill="FFFFFF"/>
            <w:noWrap/>
            <w:vAlign w:val="bottom"/>
            <w:hideMark/>
          </w:tcPr>
          <w:p w:rsidR="00A131AD" w:rsidRPr="00155F80" w:rsidRDefault="00A131AD" w:rsidP="000C0138">
            <w:pPr>
              <w:spacing w:line="276" w:lineRule="auto"/>
              <w:jc w:val="center"/>
              <w:rPr>
                <w:rFonts w:ascii="Times New Roman" w:hAnsi="Times New Roman"/>
                <w:lang w:val="hr-HR" w:eastAsia="hr-HR"/>
              </w:rPr>
            </w:pPr>
            <w:r w:rsidRPr="00155F80">
              <w:rPr>
                <w:rFonts w:ascii="Times New Roman" w:hAnsi="Times New Roman"/>
                <w:lang w:val="hr-HR" w:eastAsia="hr-HR"/>
              </w:rPr>
              <w:t>4</w:t>
            </w:r>
          </w:p>
        </w:tc>
        <w:tc>
          <w:tcPr>
            <w:tcW w:w="1598" w:type="dxa"/>
            <w:shd w:val="clear" w:color="000000" w:fill="F2F2F2"/>
            <w:noWrap/>
            <w:vAlign w:val="bottom"/>
            <w:hideMark/>
          </w:tcPr>
          <w:p w:rsidR="00A131AD" w:rsidRPr="00155F80" w:rsidRDefault="00A131AD" w:rsidP="000C0138">
            <w:pPr>
              <w:spacing w:line="276" w:lineRule="auto"/>
              <w:jc w:val="center"/>
              <w:rPr>
                <w:rFonts w:ascii="Times New Roman" w:hAnsi="Times New Roman"/>
                <w:lang w:val="hr-HR" w:eastAsia="hr-HR"/>
              </w:rPr>
            </w:pPr>
            <w:r w:rsidRPr="00155F80">
              <w:rPr>
                <w:rFonts w:ascii="Times New Roman" w:hAnsi="Times New Roman"/>
                <w:lang w:val="hr-HR" w:eastAsia="hr-HR"/>
              </w:rPr>
              <w:t>106</w:t>
            </w:r>
          </w:p>
        </w:tc>
        <w:tc>
          <w:tcPr>
            <w:tcW w:w="649" w:type="dxa"/>
            <w:shd w:val="clear" w:color="000000" w:fill="FFFFFF"/>
            <w:noWrap/>
            <w:vAlign w:val="bottom"/>
            <w:hideMark/>
          </w:tcPr>
          <w:p w:rsidR="00A131AD" w:rsidRPr="00155F80" w:rsidRDefault="00A131AD" w:rsidP="000C0138">
            <w:pPr>
              <w:spacing w:line="276" w:lineRule="auto"/>
              <w:jc w:val="center"/>
              <w:rPr>
                <w:rFonts w:ascii="Times New Roman" w:hAnsi="Times New Roman"/>
                <w:lang w:val="hr-HR" w:eastAsia="hr-HR"/>
              </w:rPr>
            </w:pPr>
            <w:r w:rsidRPr="00155F80">
              <w:rPr>
                <w:rFonts w:ascii="Times New Roman" w:hAnsi="Times New Roman"/>
                <w:lang w:val="hr-HR" w:eastAsia="hr-HR"/>
              </w:rPr>
              <w:t>5,8</w:t>
            </w:r>
          </w:p>
        </w:tc>
        <w:tc>
          <w:tcPr>
            <w:tcW w:w="733" w:type="dxa"/>
            <w:shd w:val="clear" w:color="000000" w:fill="F2F2F2"/>
            <w:noWrap/>
            <w:vAlign w:val="bottom"/>
            <w:hideMark/>
          </w:tcPr>
          <w:p w:rsidR="00A131AD" w:rsidRPr="00155F80" w:rsidRDefault="00A131AD" w:rsidP="000C0138">
            <w:pPr>
              <w:spacing w:line="276" w:lineRule="auto"/>
              <w:jc w:val="center"/>
              <w:rPr>
                <w:rFonts w:ascii="Times New Roman" w:hAnsi="Times New Roman"/>
                <w:lang w:val="hr-HR" w:eastAsia="hr-HR"/>
              </w:rPr>
            </w:pPr>
            <w:r w:rsidRPr="00155F80">
              <w:rPr>
                <w:rFonts w:ascii="Times New Roman" w:hAnsi="Times New Roman"/>
                <w:lang w:val="hr-HR" w:eastAsia="hr-HR"/>
              </w:rPr>
              <w:t>3</w:t>
            </w:r>
          </w:p>
        </w:tc>
        <w:tc>
          <w:tcPr>
            <w:tcW w:w="1598" w:type="dxa"/>
            <w:shd w:val="clear" w:color="000000" w:fill="FFFFFF"/>
            <w:noWrap/>
            <w:vAlign w:val="bottom"/>
            <w:hideMark/>
          </w:tcPr>
          <w:p w:rsidR="00A131AD" w:rsidRPr="00155F80" w:rsidRDefault="00A131AD" w:rsidP="000C0138">
            <w:pPr>
              <w:spacing w:line="276" w:lineRule="auto"/>
              <w:jc w:val="center"/>
              <w:rPr>
                <w:rFonts w:ascii="Times New Roman" w:hAnsi="Times New Roman"/>
                <w:lang w:val="hr-HR" w:eastAsia="hr-HR"/>
              </w:rPr>
            </w:pPr>
            <w:r w:rsidRPr="00155F80">
              <w:rPr>
                <w:rFonts w:ascii="Times New Roman" w:hAnsi="Times New Roman"/>
                <w:lang w:val="hr-HR" w:eastAsia="hr-HR"/>
              </w:rPr>
              <w:t>115</w:t>
            </w:r>
          </w:p>
        </w:tc>
        <w:tc>
          <w:tcPr>
            <w:tcW w:w="649" w:type="dxa"/>
            <w:shd w:val="clear" w:color="000000" w:fill="F2F2F2"/>
            <w:noWrap/>
            <w:vAlign w:val="bottom"/>
            <w:hideMark/>
          </w:tcPr>
          <w:p w:rsidR="00A131AD" w:rsidRPr="00155F80" w:rsidRDefault="00A131AD" w:rsidP="000C0138">
            <w:pPr>
              <w:spacing w:line="276" w:lineRule="auto"/>
              <w:jc w:val="center"/>
              <w:rPr>
                <w:rFonts w:ascii="Times New Roman" w:hAnsi="Times New Roman"/>
                <w:lang w:val="hr-HR" w:eastAsia="hr-HR"/>
              </w:rPr>
            </w:pPr>
            <w:r w:rsidRPr="00155F80">
              <w:rPr>
                <w:rFonts w:ascii="Times New Roman" w:hAnsi="Times New Roman"/>
                <w:lang w:val="hr-HR" w:eastAsia="hr-HR"/>
              </w:rPr>
              <w:t>6,5</w:t>
            </w:r>
          </w:p>
        </w:tc>
      </w:tr>
      <w:tr w:rsidR="00A131AD" w:rsidRPr="00155F80" w:rsidTr="001911A6">
        <w:trPr>
          <w:trHeight w:val="288"/>
        </w:trPr>
        <w:tc>
          <w:tcPr>
            <w:tcW w:w="2800" w:type="dxa"/>
            <w:shd w:val="clear" w:color="000000" w:fill="F2F2F2"/>
            <w:noWrap/>
            <w:vAlign w:val="bottom"/>
            <w:hideMark/>
          </w:tcPr>
          <w:p w:rsidR="00A131AD" w:rsidRPr="00155F80" w:rsidRDefault="00A131AD" w:rsidP="000C0138">
            <w:pPr>
              <w:spacing w:line="276" w:lineRule="auto"/>
              <w:jc w:val="left"/>
              <w:rPr>
                <w:rFonts w:ascii="Times New Roman" w:hAnsi="Times New Roman"/>
                <w:color w:val="000000"/>
                <w:lang w:val="hr-HR" w:eastAsia="hr-HR"/>
              </w:rPr>
            </w:pPr>
            <w:r w:rsidRPr="00155F80">
              <w:rPr>
                <w:rFonts w:ascii="Times New Roman" w:hAnsi="Times New Roman"/>
                <w:color w:val="000000"/>
                <w:lang w:val="hr-HR" w:eastAsia="hr-HR"/>
              </w:rPr>
              <w:t>Jetra (C22)</w:t>
            </w:r>
          </w:p>
        </w:tc>
        <w:tc>
          <w:tcPr>
            <w:tcW w:w="733" w:type="dxa"/>
            <w:shd w:val="clear" w:color="000000" w:fill="F2F2F2"/>
            <w:noWrap/>
            <w:vAlign w:val="bottom"/>
            <w:hideMark/>
          </w:tcPr>
          <w:p w:rsidR="00A131AD" w:rsidRPr="00155F80" w:rsidRDefault="00A131AD" w:rsidP="000C0138">
            <w:pPr>
              <w:spacing w:line="276" w:lineRule="auto"/>
              <w:jc w:val="center"/>
              <w:rPr>
                <w:rFonts w:ascii="Times New Roman" w:hAnsi="Times New Roman"/>
                <w:lang w:val="hr-HR" w:eastAsia="hr-HR"/>
              </w:rPr>
            </w:pPr>
            <w:r w:rsidRPr="00155F80">
              <w:rPr>
                <w:rFonts w:ascii="Times New Roman" w:hAnsi="Times New Roman"/>
                <w:lang w:val="hr-HR" w:eastAsia="hr-HR"/>
              </w:rPr>
              <w:t>5</w:t>
            </w:r>
          </w:p>
        </w:tc>
        <w:tc>
          <w:tcPr>
            <w:tcW w:w="1598" w:type="dxa"/>
            <w:shd w:val="clear" w:color="000000" w:fill="F2F2F2"/>
            <w:noWrap/>
            <w:vAlign w:val="bottom"/>
            <w:hideMark/>
          </w:tcPr>
          <w:p w:rsidR="00A131AD" w:rsidRPr="00155F80" w:rsidRDefault="00A131AD" w:rsidP="000C0138">
            <w:pPr>
              <w:spacing w:line="276" w:lineRule="auto"/>
              <w:jc w:val="center"/>
              <w:rPr>
                <w:rFonts w:ascii="Times New Roman" w:hAnsi="Times New Roman"/>
                <w:color w:val="000000"/>
                <w:lang w:val="hr-HR" w:eastAsia="hr-HR"/>
              </w:rPr>
            </w:pPr>
            <w:r w:rsidRPr="00155F80">
              <w:rPr>
                <w:rFonts w:ascii="Times New Roman" w:hAnsi="Times New Roman"/>
                <w:color w:val="000000"/>
                <w:lang w:val="hr-HR" w:eastAsia="hr-HR"/>
              </w:rPr>
              <w:t>106</w:t>
            </w:r>
          </w:p>
        </w:tc>
        <w:tc>
          <w:tcPr>
            <w:tcW w:w="649" w:type="dxa"/>
            <w:shd w:val="clear" w:color="000000" w:fill="F2F2F2"/>
            <w:noWrap/>
            <w:vAlign w:val="bottom"/>
            <w:hideMark/>
          </w:tcPr>
          <w:p w:rsidR="00A131AD" w:rsidRPr="00155F80" w:rsidRDefault="00A131AD" w:rsidP="000C0138">
            <w:pPr>
              <w:spacing w:line="276" w:lineRule="auto"/>
              <w:jc w:val="center"/>
              <w:rPr>
                <w:rFonts w:ascii="Times New Roman" w:hAnsi="Times New Roman"/>
                <w:lang w:val="hr-HR" w:eastAsia="hr-HR"/>
              </w:rPr>
            </w:pPr>
            <w:r w:rsidRPr="00155F80">
              <w:rPr>
                <w:rFonts w:ascii="Times New Roman" w:hAnsi="Times New Roman"/>
                <w:lang w:val="hr-HR" w:eastAsia="hr-HR"/>
              </w:rPr>
              <w:t>5,8</w:t>
            </w:r>
          </w:p>
        </w:tc>
        <w:tc>
          <w:tcPr>
            <w:tcW w:w="733" w:type="dxa"/>
            <w:shd w:val="clear" w:color="000000" w:fill="F2F2F2"/>
            <w:noWrap/>
            <w:vAlign w:val="bottom"/>
            <w:hideMark/>
          </w:tcPr>
          <w:p w:rsidR="00A131AD" w:rsidRPr="00155F80" w:rsidRDefault="00A131AD" w:rsidP="000C0138">
            <w:pPr>
              <w:spacing w:line="276" w:lineRule="auto"/>
              <w:jc w:val="center"/>
              <w:rPr>
                <w:rFonts w:ascii="Times New Roman" w:hAnsi="Times New Roman"/>
                <w:color w:val="000000"/>
                <w:lang w:val="hr-HR" w:eastAsia="hr-HR"/>
              </w:rPr>
            </w:pPr>
            <w:r w:rsidRPr="00155F80">
              <w:rPr>
                <w:rFonts w:ascii="Times New Roman" w:hAnsi="Times New Roman"/>
                <w:color w:val="000000"/>
                <w:lang w:val="hr-HR" w:eastAsia="hr-HR"/>
              </w:rPr>
              <w:t>4</w:t>
            </w:r>
          </w:p>
        </w:tc>
        <w:tc>
          <w:tcPr>
            <w:tcW w:w="1598" w:type="dxa"/>
            <w:shd w:val="clear" w:color="000000" w:fill="F2F2F2"/>
            <w:noWrap/>
            <w:vAlign w:val="bottom"/>
            <w:hideMark/>
          </w:tcPr>
          <w:p w:rsidR="00A131AD" w:rsidRPr="00155F80" w:rsidRDefault="00A131AD" w:rsidP="000C0138">
            <w:pPr>
              <w:spacing w:line="276" w:lineRule="auto"/>
              <w:jc w:val="center"/>
              <w:rPr>
                <w:rFonts w:ascii="Times New Roman" w:hAnsi="Times New Roman"/>
                <w:color w:val="000000"/>
                <w:lang w:val="hr-HR" w:eastAsia="hr-HR"/>
              </w:rPr>
            </w:pPr>
            <w:r w:rsidRPr="00155F80">
              <w:rPr>
                <w:rFonts w:ascii="Times New Roman" w:hAnsi="Times New Roman"/>
                <w:color w:val="000000"/>
                <w:lang w:val="hr-HR" w:eastAsia="hr-HR"/>
              </w:rPr>
              <w:t>109</w:t>
            </w:r>
          </w:p>
        </w:tc>
        <w:tc>
          <w:tcPr>
            <w:tcW w:w="649" w:type="dxa"/>
            <w:shd w:val="clear" w:color="000000" w:fill="F2F2F2"/>
            <w:noWrap/>
            <w:vAlign w:val="bottom"/>
            <w:hideMark/>
          </w:tcPr>
          <w:p w:rsidR="00A131AD" w:rsidRPr="00155F80" w:rsidRDefault="00A131AD" w:rsidP="000C0138">
            <w:pPr>
              <w:spacing w:line="276" w:lineRule="auto"/>
              <w:jc w:val="center"/>
              <w:rPr>
                <w:rFonts w:ascii="Times New Roman" w:hAnsi="Times New Roman"/>
                <w:color w:val="000000"/>
                <w:lang w:val="hr-HR" w:eastAsia="hr-HR"/>
              </w:rPr>
            </w:pPr>
            <w:r w:rsidRPr="00155F80">
              <w:rPr>
                <w:rFonts w:ascii="Times New Roman" w:hAnsi="Times New Roman"/>
                <w:color w:val="000000"/>
                <w:lang w:val="hr-HR" w:eastAsia="hr-HR"/>
              </w:rPr>
              <w:t>6,1</w:t>
            </w:r>
          </w:p>
        </w:tc>
      </w:tr>
      <w:tr w:rsidR="00A131AD" w:rsidRPr="00155F80" w:rsidTr="001911A6">
        <w:trPr>
          <w:trHeight w:val="288"/>
        </w:trPr>
        <w:tc>
          <w:tcPr>
            <w:tcW w:w="2800" w:type="dxa"/>
            <w:shd w:val="clear" w:color="000000" w:fill="F2F2F2"/>
            <w:noWrap/>
            <w:vAlign w:val="bottom"/>
            <w:hideMark/>
          </w:tcPr>
          <w:p w:rsidR="00A131AD" w:rsidRPr="00155F80" w:rsidRDefault="00A131AD" w:rsidP="000C0138">
            <w:pPr>
              <w:spacing w:line="276" w:lineRule="auto"/>
              <w:jc w:val="left"/>
              <w:rPr>
                <w:rFonts w:ascii="Times New Roman" w:hAnsi="Times New Roman"/>
                <w:color w:val="000000"/>
                <w:lang w:val="hr-HR" w:eastAsia="hr-HR"/>
              </w:rPr>
            </w:pPr>
            <w:r w:rsidRPr="00155F80">
              <w:rPr>
                <w:rFonts w:ascii="Times New Roman" w:hAnsi="Times New Roman"/>
                <w:color w:val="000000"/>
                <w:lang w:val="hr-HR" w:eastAsia="hr-HR"/>
              </w:rPr>
              <w:t>Debelo crijevo (C18)</w:t>
            </w:r>
          </w:p>
        </w:tc>
        <w:tc>
          <w:tcPr>
            <w:tcW w:w="733" w:type="dxa"/>
            <w:shd w:val="clear" w:color="000000" w:fill="FFFFFF"/>
            <w:noWrap/>
            <w:vAlign w:val="bottom"/>
            <w:hideMark/>
          </w:tcPr>
          <w:p w:rsidR="00A131AD" w:rsidRPr="00155F80" w:rsidRDefault="00A131AD" w:rsidP="000C0138">
            <w:pPr>
              <w:spacing w:line="276" w:lineRule="auto"/>
              <w:jc w:val="center"/>
              <w:rPr>
                <w:rFonts w:ascii="Times New Roman" w:hAnsi="Times New Roman"/>
                <w:lang w:val="hr-HR" w:eastAsia="hr-HR"/>
              </w:rPr>
            </w:pPr>
            <w:r w:rsidRPr="00155F80">
              <w:rPr>
                <w:rFonts w:ascii="Times New Roman" w:hAnsi="Times New Roman"/>
                <w:lang w:val="hr-HR" w:eastAsia="hr-HR"/>
              </w:rPr>
              <w:t>6</w:t>
            </w:r>
          </w:p>
        </w:tc>
        <w:tc>
          <w:tcPr>
            <w:tcW w:w="1598" w:type="dxa"/>
            <w:shd w:val="clear" w:color="000000" w:fill="F2F2F2"/>
            <w:noWrap/>
            <w:vAlign w:val="bottom"/>
            <w:hideMark/>
          </w:tcPr>
          <w:p w:rsidR="00A131AD" w:rsidRPr="00155F80" w:rsidRDefault="00A131AD" w:rsidP="000C0138">
            <w:pPr>
              <w:spacing w:line="276" w:lineRule="auto"/>
              <w:jc w:val="center"/>
              <w:rPr>
                <w:rFonts w:ascii="Times New Roman" w:hAnsi="Times New Roman"/>
                <w:lang w:val="hr-HR" w:eastAsia="hr-HR"/>
              </w:rPr>
            </w:pPr>
            <w:r w:rsidRPr="00155F80">
              <w:rPr>
                <w:rFonts w:ascii="Times New Roman" w:hAnsi="Times New Roman"/>
                <w:lang w:val="hr-HR" w:eastAsia="hr-HR"/>
              </w:rPr>
              <w:t>106</w:t>
            </w:r>
          </w:p>
        </w:tc>
        <w:tc>
          <w:tcPr>
            <w:tcW w:w="649" w:type="dxa"/>
            <w:shd w:val="clear" w:color="000000" w:fill="FFFFFF"/>
            <w:noWrap/>
            <w:vAlign w:val="bottom"/>
            <w:hideMark/>
          </w:tcPr>
          <w:p w:rsidR="00A131AD" w:rsidRPr="00155F80" w:rsidRDefault="00A131AD" w:rsidP="000C0138">
            <w:pPr>
              <w:spacing w:line="276" w:lineRule="auto"/>
              <w:jc w:val="center"/>
              <w:rPr>
                <w:rFonts w:ascii="Times New Roman" w:hAnsi="Times New Roman"/>
                <w:lang w:val="hr-HR" w:eastAsia="hr-HR"/>
              </w:rPr>
            </w:pPr>
            <w:r w:rsidRPr="00155F80">
              <w:rPr>
                <w:rFonts w:ascii="Times New Roman" w:hAnsi="Times New Roman"/>
                <w:lang w:val="hr-HR" w:eastAsia="hr-HR"/>
              </w:rPr>
              <w:t>5,8</w:t>
            </w:r>
          </w:p>
        </w:tc>
        <w:tc>
          <w:tcPr>
            <w:tcW w:w="733" w:type="dxa"/>
            <w:shd w:val="clear" w:color="000000" w:fill="F2F2F2"/>
            <w:noWrap/>
            <w:vAlign w:val="bottom"/>
            <w:hideMark/>
          </w:tcPr>
          <w:p w:rsidR="00A131AD" w:rsidRPr="00155F80" w:rsidRDefault="00A131AD" w:rsidP="000C0138">
            <w:pPr>
              <w:spacing w:line="276" w:lineRule="auto"/>
              <w:jc w:val="center"/>
              <w:rPr>
                <w:rFonts w:ascii="Times New Roman" w:hAnsi="Times New Roman"/>
                <w:color w:val="000000"/>
                <w:lang w:val="hr-HR" w:eastAsia="hr-HR"/>
              </w:rPr>
            </w:pPr>
            <w:r w:rsidRPr="00155F80">
              <w:rPr>
                <w:rFonts w:ascii="Times New Roman" w:hAnsi="Times New Roman"/>
                <w:color w:val="000000"/>
                <w:lang w:val="hr-HR" w:eastAsia="hr-HR"/>
              </w:rPr>
              <w:t>5</w:t>
            </w:r>
          </w:p>
        </w:tc>
        <w:tc>
          <w:tcPr>
            <w:tcW w:w="1598" w:type="dxa"/>
            <w:shd w:val="clear" w:color="000000" w:fill="FFFFFF"/>
            <w:noWrap/>
            <w:vAlign w:val="bottom"/>
            <w:hideMark/>
          </w:tcPr>
          <w:p w:rsidR="00A131AD" w:rsidRPr="00155F80" w:rsidRDefault="00A131AD" w:rsidP="000C0138">
            <w:pPr>
              <w:spacing w:line="276" w:lineRule="auto"/>
              <w:jc w:val="center"/>
              <w:rPr>
                <w:rFonts w:ascii="Times New Roman" w:hAnsi="Times New Roman"/>
                <w:color w:val="000000"/>
                <w:lang w:val="hr-HR" w:eastAsia="hr-HR"/>
              </w:rPr>
            </w:pPr>
            <w:r w:rsidRPr="00155F80">
              <w:rPr>
                <w:rFonts w:ascii="Times New Roman" w:hAnsi="Times New Roman"/>
                <w:color w:val="000000"/>
                <w:lang w:val="hr-HR" w:eastAsia="hr-HR"/>
              </w:rPr>
              <w:t>107</w:t>
            </w:r>
          </w:p>
        </w:tc>
        <w:tc>
          <w:tcPr>
            <w:tcW w:w="649" w:type="dxa"/>
            <w:shd w:val="clear" w:color="000000" w:fill="F2F2F2"/>
            <w:noWrap/>
            <w:vAlign w:val="bottom"/>
            <w:hideMark/>
          </w:tcPr>
          <w:p w:rsidR="00A131AD" w:rsidRPr="00155F80" w:rsidRDefault="00A131AD" w:rsidP="000C0138">
            <w:pPr>
              <w:spacing w:line="276" w:lineRule="auto"/>
              <w:jc w:val="center"/>
              <w:rPr>
                <w:rFonts w:ascii="Times New Roman" w:hAnsi="Times New Roman"/>
                <w:color w:val="000000"/>
                <w:lang w:val="hr-HR" w:eastAsia="hr-HR"/>
              </w:rPr>
            </w:pPr>
            <w:r w:rsidRPr="00155F80">
              <w:rPr>
                <w:rFonts w:ascii="Times New Roman" w:hAnsi="Times New Roman"/>
                <w:color w:val="000000"/>
                <w:lang w:val="hr-HR" w:eastAsia="hr-HR"/>
              </w:rPr>
              <w:t>6</w:t>
            </w:r>
          </w:p>
        </w:tc>
      </w:tr>
      <w:tr w:rsidR="00A131AD" w:rsidRPr="00155F80" w:rsidTr="001911A6">
        <w:trPr>
          <w:trHeight w:val="288"/>
        </w:trPr>
        <w:tc>
          <w:tcPr>
            <w:tcW w:w="2800" w:type="dxa"/>
            <w:shd w:val="clear" w:color="000000" w:fill="F2F2F2"/>
            <w:noWrap/>
            <w:vAlign w:val="bottom"/>
            <w:hideMark/>
          </w:tcPr>
          <w:p w:rsidR="00A131AD" w:rsidRPr="00155F80" w:rsidRDefault="00A131AD" w:rsidP="000C0138">
            <w:pPr>
              <w:spacing w:line="276" w:lineRule="auto"/>
              <w:jc w:val="left"/>
              <w:rPr>
                <w:rFonts w:ascii="Times New Roman" w:hAnsi="Times New Roman"/>
                <w:color w:val="000000"/>
                <w:lang w:val="hr-HR" w:eastAsia="hr-HR"/>
              </w:rPr>
            </w:pPr>
            <w:r w:rsidRPr="00155F80">
              <w:rPr>
                <w:rFonts w:ascii="Times New Roman" w:hAnsi="Times New Roman"/>
                <w:color w:val="000000"/>
                <w:lang w:val="hr-HR" w:eastAsia="hr-HR"/>
              </w:rPr>
              <w:t>Rektum (C19-20)</w:t>
            </w:r>
          </w:p>
        </w:tc>
        <w:tc>
          <w:tcPr>
            <w:tcW w:w="733" w:type="dxa"/>
            <w:shd w:val="clear" w:color="000000" w:fill="F2F2F2"/>
            <w:noWrap/>
            <w:vAlign w:val="bottom"/>
            <w:hideMark/>
          </w:tcPr>
          <w:p w:rsidR="00A131AD" w:rsidRPr="00155F80" w:rsidRDefault="00A131AD" w:rsidP="000C0138">
            <w:pPr>
              <w:spacing w:line="276" w:lineRule="auto"/>
              <w:jc w:val="center"/>
              <w:rPr>
                <w:rFonts w:ascii="Times New Roman" w:hAnsi="Times New Roman"/>
                <w:lang w:val="hr-HR" w:eastAsia="hr-HR"/>
              </w:rPr>
            </w:pPr>
            <w:r w:rsidRPr="00155F80">
              <w:rPr>
                <w:rFonts w:ascii="Times New Roman" w:hAnsi="Times New Roman"/>
                <w:lang w:val="hr-HR" w:eastAsia="hr-HR"/>
              </w:rPr>
              <w:t>7</w:t>
            </w:r>
          </w:p>
        </w:tc>
        <w:tc>
          <w:tcPr>
            <w:tcW w:w="1598" w:type="dxa"/>
            <w:shd w:val="clear" w:color="000000" w:fill="F2F2F2"/>
            <w:noWrap/>
            <w:vAlign w:val="bottom"/>
            <w:hideMark/>
          </w:tcPr>
          <w:p w:rsidR="00A131AD" w:rsidRPr="00155F80" w:rsidRDefault="00A131AD" w:rsidP="000C0138">
            <w:pPr>
              <w:spacing w:line="276" w:lineRule="auto"/>
              <w:jc w:val="center"/>
              <w:rPr>
                <w:rFonts w:ascii="Times New Roman" w:hAnsi="Times New Roman"/>
                <w:color w:val="000000"/>
                <w:lang w:val="hr-HR" w:eastAsia="hr-HR"/>
              </w:rPr>
            </w:pPr>
            <w:r w:rsidRPr="00155F80">
              <w:rPr>
                <w:rFonts w:ascii="Times New Roman" w:hAnsi="Times New Roman"/>
                <w:color w:val="000000"/>
                <w:lang w:val="hr-HR" w:eastAsia="hr-HR"/>
              </w:rPr>
              <w:t>93</w:t>
            </w:r>
          </w:p>
        </w:tc>
        <w:tc>
          <w:tcPr>
            <w:tcW w:w="649" w:type="dxa"/>
            <w:shd w:val="clear" w:color="000000" w:fill="F2F2F2"/>
            <w:noWrap/>
            <w:vAlign w:val="bottom"/>
            <w:hideMark/>
          </w:tcPr>
          <w:p w:rsidR="00A131AD" w:rsidRPr="00155F80" w:rsidRDefault="00A131AD" w:rsidP="000C0138">
            <w:pPr>
              <w:spacing w:line="276" w:lineRule="auto"/>
              <w:jc w:val="center"/>
              <w:rPr>
                <w:rFonts w:ascii="Times New Roman" w:hAnsi="Times New Roman"/>
                <w:color w:val="000000"/>
                <w:lang w:val="hr-HR" w:eastAsia="hr-HR"/>
              </w:rPr>
            </w:pPr>
            <w:r w:rsidRPr="00155F80">
              <w:rPr>
                <w:rFonts w:ascii="Times New Roman" w:hAnsi="Times New Roman"/>
                <w:color w:val="000000"/>
                <w:lang w:val="hr-HR" w:eastAsia="hr-HR"/>
              </w:rPr>
              <w:t>5,1</w:t>
            </w:r>
          </w:p>
        </w:tc>
        <w:tc>
          <w:tcPr>
            <w:tcW w:w="733" w:type="dxa"/>
            <w:shd w:val="clear" w:color="000000" w:fill="F2F2F2"/>
            <w:noWrap/>
            <w:vAlign w:val="bottom"/>
            <w:hideMark/>
          </w:tcPr>
          <w:p w:rsidR="00A131AD" w:rsidRPr="00155F80" w:rsidRDefault="00A131AD" w:rsidP="000C0138">
            <w:pPr>
              <w:spacing w:line="276" w:lineRule="auto"/>
              <w:jc w:val="center"/>
              <w:rPr>
                <w:rFonts w:ascii="Times New Roman" w:hAnsi="Times New Roman"/>
                <w:color w:val="000000"/>
                <w:lang w:val="hr-HR" w:eastAsia="hr-HR"/>
              </w:rPr>
            </w:pPr>
            <w:r w:rsidRPr="00155F80">
              <w:rPr>
                <w:rFonts w:ascii="Times New Roman" w:hAnsi="Times New Roman"/>
                <w:color w:val="000000"/>
                <w:lang w:val="hr-HR" w:eastAsia="hr-HR"/>
              </w:rPr>
              <w:t>6</w:t>
            </w:r>
          </w:p>
        </w:tc>
        <w:tc>
          <w:tcPr>
            <w:tcW w:w="1598" w:type="dxa"/>
            <w:shd w:val="clear" w:color="000000" w:fill="F2F2F2"/>
            <w:noWrap/>
            <w:vAlign w:val="bottom"/>
            <w:hideMark/>
          </w:tcPr>
          <w:p w:rsidR="00A131AD" w:rsidRPr="00155F80" w:rsidRDefault="00A131AD" w:rsidP="000C0138">
            <w:pPr>
              <w:spacing w:line="276" w:lineRule="auto"/>
              <w:jc w:val="center"/>
              <w:rPr>
                <w:rFonts w:ascii="Times New Roman" w:hAnsi="Times New Roman"/>
                <w:color w:val="000000"/>
                <w:lang w:val="hr-HR" w:eastAsia="hr-HR"/>
              </w:rPr>
            </w:pPr>
            <w:r w:rsidRPr="00155F80">
              <w:rPr>
                <w:rFonts w:ascii="Times New Roman" w:hAnsi="Times New Roman"/>
                <w:color w:val="000000"/>
                <w:lang w:val="hr-HR" w:eastAsia="hr-HR"/>
              </w:rPr>
              <w:t>105</w:t>
            </w:r>
          </w:p>
        </w:tc>
        <w:tc>
          <w:tcPr>
            <w:tcW w:w="649" w:type="dxa"/>
            <w:shd w:val="clear" w:color="000000" w:fill="F2F2F2"/>
            <w:noWrap/>
            <w:vAlign w:val="bottom"/>
            <w:hideMark/>
          </w:tcPr>
          <w:p w:rsidR="00A131AD" w:rsidRPr="00155F80" w:rsidRDefault="00A131AD" w:rsidP="000C0138">
            <w:pPr>
              <w:spacing w:line="276" w:lineRule="auto"/>
              <w:jc w:val="center"/>
              <w:rPr>
                <w:rFonts w:ascii="Times New Roman" w:hAnsi="Times New Roman"/>
                <w:color w:val="000000"/>
                <w:lang w:val="hr-HR" w:eastAsia="hr-HR"/>
              </w:rPr>
            </w:pPr>
            <w:r w:rsidRPr="00155F80">
              <w:rPr>
                <w:rFonts w:ascii="Times New Roman" w:hAnsi="Times New Roman"/>
                <w:color w:val="000000"/>
                <w:lang w:val="hr-HR" w:eastAsia="hr-HR"/>
              </w:rPr>
              <w:t>5,9</w:t>
            </w:r>
          </w:p>
        </w:tc>
      </w:tr>
      <w:tr w:rsidR="00A131AD" w:rsidRPr="00155F80" w:rsidTr="001911A6">
        <w:trPr>
          <w:trHeight w:val="288"/>
        </w:trPr>
        <w:tc>
          <w:tcPr>
            <w:tcW w:w="2800" w:type="dxa"/>
            <w:shd w:val="clear" w:color="000000" w:fill="F2F2F2"/>
            <w:noWrap/>
            <w:vAlign w:val="bottom"/>
            <w:hideMark/>
          </w:tcPr>
          <w:p w:rsidR="00A131AD" w:rsidRPr="00155F80" w:rsidRDefault="00A131AD" w:rsidP="000C0138">
            <w:pPr>
              <w:spacing w:line="276" w:lineRule="auto"/>
              <w:jc w:val="left"/>
              <w:rPr>
                <w:rFonts w:ascii="Times New Roman" w:hAnsi="Times New Roman"/>
                <w:color w:val="000000"/>
                <w:lang w:val="hr-HR" w:eastAsia="hr-HR"/>
              </w:rPr>
            </w:pPr>
            <w:r w:rsidRPr="00155F80">
              <w:rPr>
                <w:rFonts w:ascii="Times New Roman" w:hAnsi="Times New Roman"/>
                <w:color w:val="000000"/>
                <w:lang w:val="hr-HR" w:eastAsia="hr-HR"/>
              </w:rPr>
              <w:t>Gušterača (C25)</w:t>
            </w:r>
          </w:p>
        </w:tc>
        <w:tc>
          <w:tcPr>
            <w:tcW w:w="733" w:type="dxa"/>
            <w:shd w:val="clear" w:color="000000" w:fill="FFFFFF"/>
            <w:noWrap/>
            <w:vAlign w:val="bottom"/>
            <w:hideMark/>
          </w:tcPr>
          <w:p w:rsidR="00A131AD" w:rsidRPr="00155F80" w:rsidRDefault="00A131AD" w:rsidP="000C0138">
            <w:pPr>
              <w:spacing w:line="276" w:lineRule="auto"/>
              <w:jc w:val="center"/>
              <w:rPr>
                <w:rFonts w:ascii="Times New Roman" w:hAnsi="Times New Roman"/>
                <w:lang w:val="hr-HR" w:eastAsia="hr-HR"/>
              </w:rPr>
            </w:pPr>
            <w:r w:rsidRPr="00155F80">
              <w:rPr>
                <w:rFonts w:ascii="Times New Roman" w:hAnsi="Times New Roman"/>
                <w:lang w:val="hr-HR" w:eastAsia="hr-HR"/>
              </w:rPr>
              <w:t>8</w:t>
            </w:r>
          </w:p>
        </w:tc>
        <w:tc>
          <w:tcPr>
            <w:tcW w:w="1598" w:type="dxa"/>
            <w:shd w:val="clear" w:color="000000" w:fill="F2F2F2"/>
            <w:noWrap/>
            <w:vAlign w:val="bottom"/>
            <w:hideMark/>
          </w:tcPr>
          <w:p w:rsidR="00A131AD" w:rsidRPr="00155F80" w:rsidRDefault="00A131AD" w:rsidP="000C0138">
            <w:pPr>
              <w:spacing w:line="276" w:lineRule="auto"/>
              <w:jc w:val="center"/>
              <w:rPr>
                <w:rFonts w:ascii="Times New Roman" w:hAnsi="Times New Roman"/>
                <w:color w:val="000000"/>
                <w:lang w:val="hr-HR" w:eastAsia="hr-HR"/>
              </w:rPr>
            </w:pPr>
            <w:r w:rsidRPr="00155F80">
              <w:rPr>
                <w:rFonts w:ascii="Times New Roman" w:hAnsi="Times New Roman"/>
                <w:color w:val="000000"/>
                <w:lang w:val="hr-HR" w:eastAsia="hr-HR"/>
              </w:rPr>
              <w:t>84</w:t>
            </w:r>
          </w:p>
        </w:tc>
        <w:tc>
          <w:tcPr>
            <w:tcW w:w="649" w:type="dxa"/>
            <w:shd w:val="clear" w:color="000000" w:fill="FFFFFF"/>
            <w:noWrap/>
            <w:vAlign w:val="bottom"/>
            <w:hideMark/>
          </w:tcPr>
          <w:p w:rsidR="00A131AD" w:rsidRPr="00155F80" w:rsidRDefault="00A131AD" w:rsidP="000C0138">
            <w:pPr>
              <w:spacing w:line="276" w:lineRule="auto"/>
              <w:jc w:val="center"/>
              <w:rPr>
                <w:rFonts w:ascii="Times New Roman" w:hAnsi="Times New Roman"/>
                <w:color w:val="000000"/>
                <w:lang w:val="hr-HR" w:eastAsia="hr-HR"/>
              </w:rPr>
            </w:pPr>
            <w:r w:rsidRPr="00155F80">
              <w:rPr>
                <w:rFonts w:ascii="Times New Roman" w:hAnsi="Times New Roman"/>
                <w:color w:val="000000"/>
                <w:lang w:val="hr-HR" w:eastAsia="hr-HR"/>
              </w:rPr>
              <w:t>4,6</w:t>
            </w:r>
          </w:p>
        </w:tc>
        <w:tc>
          <w:tcPr>
            <w:tcW w:w="733" w:type="dxa"/>
            <w:shd w:val="clear" w:color="000000" w:fill="F2F2F2"/>
            <w:noWrap/>
            <w:vAlign w:val="bottom"/>
            <w:hideMark/>
          </w:tcPr>
          <w:p w:rsidR="00A131AD" w:rsidRPr="00155F80" w:rsidRDefault="00A131AD" w:rsidP="000C0138">
            <w:pPr>
              <w:spacing w:line="276" w:lineRule="auto"/>
              <w:jc w:val="center"/>
              <w:rPr>
                <w:rFonts w:ascii="Times New Roman" w:hAnsi="Times New Roman"/>
                <w:color w:val="000000"/>
                <w:lang w:val="hr-HR" w:eastAsia="hr-HR"/>
              </w:rPr>
            </w:pPr>
            <w:r w:rsidRPr="00155F80">
              <w:rPr>
                <w:rFonts w:ascii="Times New Roman" w:hAnsi="Times New Roman"/>
                <w:color w:val="000000"/>
                <w:lang w:val="hr-HR" w:eastAsia="hr-HR"/>
              </w:rPr>
              <w:t>8</w:t>
            </w:r>
          </w:p>
        </w:tc>
        <w:tc>
          <w:tcPr>
            <w:tcW w:w="1598" w:type="dxa"/>
            <w:shd w:val="clear" w:color="000000" w:fill="FFFFFF"/>
            <w:noWrap/>
            <w:vAlign w:val="bottom"/>
            <w:hideMark/>
          </w:tcPr>
          <w:p w:rsidR="00A131AD" w:rsidRPr="00155F80" w:rsidRDefault="00A131AD" w:rsidP="000C0138">
            <w:pPr>
              <w:spacing w:line="276" w:lineRule="auto"/>
              <w:jc w:val="center"/>
              <w:rPr>
                <w:rFonts w:ascii="Times New Roman" w:hAnsi="Times New Roman"/>
                <w:color w:val="000000"/>
                <w:lang w:val="hr-HR" w:eastAsia="hr-HR"/>
              </w:rPr>
            </w:pPr>
            <w:r w:rsidRPr="00155F80">
              <w:rPr>
                <w:rFonts w:ascii="Times New Roman" w:hAnsi="Times New Roman"/>
                <w:color w:val="000000"/>
                <w:lang w:val="hr-HR" w:eastAsia="hr-HR"/>
              </w:rPr>
              <w:t>94</w:t>
            </w:r>
          </w:p>
        </w:tc>
        <w:tc>
          <w:tcPr>
            <w:tcW w:w="649" w:type="dxa"/>
            <w:shd w:val="clear" w:color="000000" w:fill="F2F2F2"/>
            <w:noWrap/>
            <w:vAlign w:val="bottom"/>
            <w:hideMark/>
          </w:tcPr>
          <w:p w:rsidR="00A131AD" w:rsidRPr="00155F80" w:rsidRDefault="00A131AD" w:rsidP="000C0138">
            <w:pPr>
              <w:spacing w:line="276" w:lineRule="auto"/>
              <w:jc w:val="center"/>
              <w:rPr>
                <w:rFonts w:ascii="Times New Roman" w:hAnsi="Times New Roman"/>
                <w:color w:val="000000"/>
                <w:lang w:val="hr-HR" w:eastAsia="hr-HR"/>
              </w:rPr>
            </w:pPr>
            <w:r w:rsidRPr="00155F80">
              <w:rPr>
                <w:rFonts w:ascii="Times New Roman" w:hAnsi="Times New Roman"/>
                <w:color w:val="000000"/>
                <w:lang w:val="hr-HR" w:eastAsia="hr-HR"/>
              </w:rPr>
              <w:t>5,3</w:t>
            </w:r>
          </w:p>
        </w:tc>
      </w:tr>
      <w:tr w:rsidR="00A131AD" w:rsidRPr="00155F80" w:rsidTr="001911A6">
        <w:trPr>
          <w:trHeight w:val="288"/>
        </w:trPr>
        <w:tc>
          <w:tcPr>
            <w:tcW w:w="2800" w:type="dxa"/>
            <w:shd w:val="clear" w:color="000000" w:fill="F2F2F2"/>
            <w:noWrap/>
            <w:vAlign w:val="bottom"/>
            <w:hideMark/>
          </w:tcPr>
          <w:p w:rsidR="00A131AD" w:rsidRPr="00155F80" w:rsidRDefault="00A131AD" w:rsidP="000C0138">
            <w:pPr>
              <w:spacing w:line="276" w:lineRule="auto"/>
              <w:jc w:val="left"/>
              <w:rPr>
                <w:rFonts w:ascii="Times New Roman" w:hAnsi="Times New Roman"/>
                <w:color w:val="000000"/>
                <w:lang w:val="hr-HR" w:eastAsia="hr-HR"/>
              </w:rPr>
            </w:pPr>
            <w:r w:rsidRPr="00155F80">
              <w:rPr>
                <w:rFonts w:ascii="Times New Roman" w:hAnsi="Times New Roman"/>
                <w:color w:val="000000"/>
                <w:lang w:val="hr-HR" w:eastAsia="hr-HR"/>
              </w:rPr>
              <w:t>Mozak, živčani sustav (C70-72)</w:t>
            </w:r>
          </w:p>
        </w:tc>
        <w:tc>
          <w:tcPr>
            <w:tcW w:w="733" w:type="dxa"/>
            <w:shd w:val="clear" w:color="000000" w:fill="F2F2F2"/>
            <w:noWrap/>
            <w:vAlign w:val="bottom"/>
            <w:hideMark/>
          </w:tcPr>
          <w:p w:rsidR="00A131AD" w:rsidRPr="00155F80" w:rsidRDefault="00A131AD" w:rsidP="000C0138">
            <w:pPr>
              <w:spacing w:line="276" w:lineRule="auto"/>
              <w:jc w:val="center"/>
              <w:rPr>
                <w:rFonts w:ascii="Times New Roman" w:hAnsi="Times New Roman"/>
                <w:lang w:val="hr-HR" w:eastAsia="hr-HR"/>
              </w:rPr>
            </w:pPr>
            <w:r w:rsidRPr="00155F80">
              <w:rPr>
                <w:rFonts w:ascii="Times New Roman" w:hAnsi="Times New Roman"/>
                <w:lang w:val="hr-HR" w:eastAsia="hr-HR"/>
              </w:rPr>
              <w:t>9</w:t>
            </w:r>
          </w:p>
        </w:tc>
        <w:tc>
          <w:tcPr>
            <w:tcW w:w="1598" w:type="dxa"/>
            <w:shd w:val="clear" w:color="000000" w:fill="F2F2F2"/>
            <w:noWrap/>
            <w:vAlign w:val="bottom"/>
            <w:hideMark/>
          </w:tcPr>
          <w:p w:rsidR="00A131AD" w:rsidRPr="00155F80" w:rsidRDefault="00A131AD" w:rsidP="000C0138">
            <w:pPr>
              <w:spacing w:line="276" w:lineRule="auto"/>
              <w:jc w:val="center"/>
              <w:rPr>
                <w:rFonts w:ascii="Times New Roman" w:hAnsi="Times New Roman"/>
                <w:color w:val="000000"/>
                <w:lang w:val="hr-HR" w:eastAsia="hr-HR"/>
              </w:rPr>
            </w:pPr>
            <w:r w:rsidRPr="00155F80">
              <w:rPr>
                <w:rFonts w:ascii="Times New Roman" w:hAnsi="Times New Roman"/>
                <w:color w:val="000000"/>
                <w:lang w:val="hr-HR" w:eastAsia="hr-HR"/>
              </w:rPr>
              <w:t>64</w:t>
            </w:r>
          </w:p>
        </w:tc>
        <w:tc>
          <w:tcPr>
            <w:tcW w:w="649" w:type="dxa"/>
            <w:shd w:val="clear" w:color="000000" w:fill="F2F2F2"/>
            <w:noWrap/>
            <w:vAlign w:val="bottom"/>
            <w:hideMark/>
          </w:tcPr>
          <w:p w:rsidR="00A131AD" w:rsidRPr="00155F80" w:rsidRDefault="00A131AD" w:rsidP="000C0138">
            <w:pPr>
              <w:spacing w:line="276" w:lineRule="auto"/>
              <w:jc w:val="center"/>
              <w:rPr>
                <w:rFonts w:ascii="Times New Roman" w:hAnsi="Times New Roman"/>
                <w:color w:val="000000"/>
                <w:lang w:val="hr-HR" w:eastAsia="hr-HR"/>
              </w:rPr>
            </w:pPr>
            <w:r w:rsidRPr="00155F80">
              <w:rPr>
                <w:rFonts w:ascii="Times New Roman" w:hAnsi="Times New Roman"/>
                <w:color w:val="000000"/>
                <w:lang w:val="hr-HR" w:eastAsia="hr-HR"/>
              </w:rPr>
              <w:t>3,5</w:t>
            </w:r>
          </w:p>
        </w:tc>
        <w:tc>
          <w:tcPr>
            <w:tcW w:w="733" w:type="dxa"/>
            <w:shd w:val="clear" w:color="000000" w:fill="F2F2F2"/>
            <w:noWrap/>
            <w:vAlign w:val="bottom"/>
            <w:hideMark/>
          </w:tcPr>
          <w:p w:rsidR="00A131AD" w:rsidRPr="00155F80" w:rsidRDefault="00A131AD" w:rsidP="000C0138">
            <w:pPr>
              <w:spacing w:line="276" w:lineRule="auto"/>
              <w:jc w:val="center"/>
              <w:rPr>
                <w:rFonts w:ascii="Times New Roman" w:hAnsi="Times New Roman"/>
                <w:color w:val="000000"/>
                <w:lang w:val="hr-HR" w:eastAsia="hr-HR"/>
              </w:rPr>
            </w:pPr>
            <w:r w:rsidRPr="00155F80">
              <w:rPr>
                <w:rFonts w:ascii="Times New Roman" w:hAnsi="Times New Roman"/>
                <w:color w:val="000000"/>
                <w:lang w:val="hr-HR" w:eastAsia="hr-HR"/>
              </w:rPr>
              <w:t>9</w:t>
            </w:r>
          </w:p>
        </w:tc>
        <w:tc>
          <w:tcPr>
            <w:tcW w:w="1598" w:type="dxa"/>
            <w:shd w:val="clear" w:color="000000" w:fill="F2F2F2"/>
            <w:noWrap/>
            <w:vAlign w:val="bottom"/>
            <w:hideMark/>
          </w:tcPr>
          <w:p w:rsidR="00A131AD" w:rsidRPr="00155F80" w:rsidRDefault="00A131AD" w:rsidP="000C0138">
            <w:pPr>
              <w:spacing w:line="276" w:lineRule="auto"/>
              <w:jc w:val="center"/>
              <w:rPr>
                <w:rFonts w:ascii="Times New Roman" w:hAnsi="Times New Roman"/>
                <w:color w:val="000000"/>
                <w:lang w:val="hr-HR" w:eastAsia="hr-HR"/>
              </w:rPr>
            </w:pPr>
            <w:r w:rsidRPr="00155F80">
              <w:rPr>
                <w:rFonts w:ascii="Times New Roman" w:hAnsi="Times New Roman"/>
                <w:color w:val="000000"/>
                <w:lang w:val="hr-HR" w:eastAsia="hr-HR"/>
              </w:rPr>
              <w:t>86</w:t>
            </w:r>
          </w:p>
        </w:tc>
        <w:tc>
          <w:tcPr>
            <w:tcW w:w="649" w:type="dxa"/>
            <w:shd w:val="clear" w:color="000000" w:fill="F2F2F2"/>
            <w:noWrap/>
            <w:vAlign w:val="bottom"/>
            <w:hideMark/>
          </w:tcPr>
          <w:p w:rsidR="00A131AD" w:rsidRPr="00155F80" w:rsidRDefault="00A131AD" w:rsidP="000C0138">
            <w:pPr>
              <w:spacing w:line="276" w:lineRule="auto"/>
              <w:jc w:val="center"/>
              <w:rPr>
                <w:rFonts w:ascii="Times New Roman" w:hAnsi="Times New Roman"/>
                <w:color w:val="000000"/>
                <w:lang w:val="hr-HR" w:eastAsia="hr-HR"/>
              </w:rPr>
            </w:pPr>
            <w:r w:rsidRPr="00155F80">
              <w:rPr>
                <w:rFonts w:ascii="Times New Roman" w:hAnsi="Times New Roman"/>
                <w:color w:val="000000"/>
                <w:lang w:val="hr-HR" w:eastAsia="hr-HR"/>
              </w:rPr>
              <w:t>4,8</w:t>
            </w:r>
          </w:p>
        </w:tc>
      </w:tr>
      <w:tr w:rsidR="00A131AD" w:rsidRPr="00155F80" w:rsidTr="001911A6">
        <w:trPr>
          <w:trHeight w:val="288"/>
        </w:trPr>
        <w:tc>
          <w:tcPr>
            <w:tcW w:w="2800" w:type="dxa"/>
            <w:shd w:val="clear" w:color="000000" w:fill="F2F2F2"/>
            <w:noWrap/>
            <w:vAlign w:val="bottom"/>
            <w:hideMark/>
          </w:tcPr>
          <w:p w:rsidR="00A131AD" w:rsidRPr="00155F80" w:rsidRDefault="00A131AD" w:rsidP="000C0138">
            <w:pPr>
              <w:spacing w:line="276" w:lineRule="auto"/>
              <w:jc w:val="left"/>
              <w:rPr>
                <w:rFonts w:ascii="Times New Roman" w:hAnsi="Times New Roman"/>
                <w:color w:val="000000"/>
                <w:lang w:val="hr-HR" w:eastAsia="hr-HR"/>
              </w:rPr>
            </w:pPr>
            <w:r w:rsidRPr="00155F80">
              <w:rPr>
                <w:rFonts w:ascii="Times New Roman" w:hAnsi="Times New Roman"/>
                <w:color w:val="000000"/>
                <w:lang w:val="hr-HR" w:eastAsia="hr-HR"/>
              </w:rPr>
              <w:t>Bilijarni trakt (C23-C24)</w:t>
            </w:r>
          </w:p>
        </w:tc>
        <w:tc>
          <w:tcPr>
            <w:tcW w:w="733" w:type="dxa"/>
            <w:shd w:val="clear" w:color="000000" w:fill="FFFFFF"/>
            <w:noWrap/>
            <w:vAlign w:val="bottom"/>
            <w:hideMark/>
          </w:tcPr>
          <w:p w:rsidR="00A131AD" w:rsidRPr="00155F80" w:rsidRDefault="00A131AD" w:rsidP="000C0138">
            <w:pPr>
              <w:spacing w:line="276" w:lineRule="auto"/>
              <w:jc w:val="center"/>
              <w:rPr>
                <w:rFonts w:ascii="Times New Roman" w:hAnsi="Times New Roman"/>
                <w:lang w:val="hr-HR" w:eastAsia="hr-HR"/>
              </w:rPr>
            </w:pPr>
            <w:r w:rsidRPr="00155F80">
              <w:rPr>
                <w:rFonts w:ascii="Times New Roman" w:hAnsi="Times New Roman"/>
                <w:lang w:val="hr-HR" w:eastAsia="hr-HR"/>
              </w:rPr>
              <w:t>10</w:t>
            </w:r>
          </w:p>
        </w:tc>
        <w:tc>
          <w:tcPr>
            <w:tcW w:w="1598" w:type="dxa"/>
            <w:shd w:val="clear" w:color="000000" w:fill="F2F2F2"/>
            <w:noWrap/>
            <w:vAlign w:val="bottom"/>
            <w:hideMark/>
          </w:tcPr>
          <w:p w:rsidR="00A131AD" w:rsidRPr="00155F80" w:rsidRDefault="00A131AD" w:rsidP="000C0138">
            <w:pPr>
              <w:spacing w:line="276" w:lineRule="auto"/>
              <w:jc w:val="center"/>
              <w:rPr>
                <w:rFonts w:ascii="Times New Roman" w:hAnsi="Times New Roman"/>
                <w:color w:val="000000"/>
                <w:lang w:val="hr-HR" w:eastAsia="hr-HR"/>
              </w:rPr>
            </w:pPr>
            <w:r w:rsidRPr="00155F80">
              <w:rPr>
                <w:rFonts w:ascii="Times New Roman" w:hAnsi="Times New Roman"/>
                <w:color w:val="000000"/>
                <w:lang w:val="hr-HR" w:eastAsia="hr-HR"/>
              </w:rPr>
              <w:t>50</w:t>
            </w:r>
          </w:p>
        </w:tc>
        <w:tc>
          <w:tcPr>
            <w:tcW w:w="649" w:type="dxa"/>
            <w:shd w:val="clear" w:color="000000" w:fill="FFFFFF"/>
            <w:noWrap/>
            <w:vAlign w:val="bottom"/>
            <w:hideMark/>
          </w:tcPr>
          <w:p w:rsidR="00A131AD" w:rsidRPr="00155F80" w:rsidRDefault="00A131AD" w:rsidP="000C0138">
            <w:pPr>
              <w:spacing w:line="276" w:lineRule="auto"/>
              <w:jc w:val="center"/>
              <w:rPr>
                <w:rFonts w:ascii="Times New Roman" w:hAnsi="Times New Roman"/>
                <w:color w:val="000000"/>
                <w:lang w:val="hr-HR" w:eastAsia="hr-HR"/>
              </w:rPr>
            </w:pPr>
            <w:r w:rsidRPr="00155F80">
              <w:rPr>
                <w:rFonts w:ascii="Times New Roman" w:hAnsi="Times New Roman"/>
                <w:color w:val="000000"/>
                <w:lang w:val="hr-HR" w:eastAsia="hr-HR"/>
              </w:rPr>
              <w:t>2,8</w:t>
            </w:r>
          </w:p>
        </w:tc>
        <w:tc>
          <w:tcPr>
            <w:tcW w:w="733" w:type="dxa"/>
            <w:shd w:val="clear" w:color="000000" w:fill="F2F2F2"/>
            <w:noWrap/>
            <w:vAlign w:val="bottom"/>
            <w:hideMark/>
          </w:tcPr>
          <w:p w:rsidR="00A131AD" w:rsidRPr="00155F80" w:rsidRDefault="00A131AD" w:rsidP="000C0138">
            <w:pPr>
              <w:spacing w:line="276" w:lineRule="auto"/>
              <w:jc w:val="center"/>
              <w:rPr>
                <w:rFonts w:ascii="Times New Roman" w:hAnsi="Times New Roman"/>
                <w:color w:val="000000"/>
                <w:lang w:val="hr-HR" w:eastAsia="hr-HR"/>
              </w:rPr>
            </w:pPr>
            <w:r w:rsidRPr="00155F80">
              <w:rPr>
                <w:rFonts w:ascii="Times New Roman" w:hAnsi="Times New Roman"/>
                <w:color w:val="000000"/>
                <w:lang w:val="hr-HR" w:eastAsia="hr-HR"/>
              </w:rPr>
              <w:t>10</w:t>
            </w:r>
          </w:p>
        </w:tc>
        <w:tc>
          <w:tcPr>
            <w:tcW w:w="1598" w:type="dxa"/>
            <w:shd w:val="clear" w:color="000000" w:fill="FFFFFF"/>
            <w:noWrap/>
            <w:vAlign w:val="bottom"/>
            <w:hideMark/>
          </w:tcPr>
          <w:p w:rsidR="00A131AD" w:rsidRPr="00155F80" w:rsidRDefault="00A131AD" w:rsidP="000C0138">
            <w:pPr>
              <w:spacing w:line="276" w:lineRule="auto"/>
              <w:jc w:val="center"/>
              <w:rPr>
                <w:rFonts w:ascii="Times New Roman" w:hAnsi="Times New Roman"/>
                <w:color w:val="000000"/>
                <w:lang w:val="hr-HR" w:eastAsia="hr-HR"/>
              </w:rPr>
            </w:pPr>
            <w:r w:rsidRPr="00155F80">
              <w:rPr>
                <w:rFonts w:ascii="Times New Roman" w:hAnsi="Times New Roman"/>
                <w:color w:val="000000"/>
                <w:lang w:val="hr-HR" w:eastAsia="hr-HR"/>
              </w:rPr>
              <w:t>65</w:t>
            </w:r>
          </w:p>
        </w:tc>
        <w:tc>
          <w:tcPr>
            <w:tcW w:w="649" w:type="dxa"/>
            <w:shd w:val="clear" w:color="000000" w:fill="F2F2F2"/>
            <w:noWrap/>
            <w:vAlign w:val="bottom"/>
            <w:hideMark/>
          </w:tcPr>
          <w:p w:rsidR="00A131AD" w:rsidRPr="00155F80" w:rsidRDefault="00A131AD" w:rsidP="000C0138">
            <w:pPr>
              <w:spacing w:line="276" w:lineRule="auto"/>
              <w:jc w:val="center"/>
              <w:rPr>
                <w:rFonts w:ascii="Times New Roman" w:hAnsi="Times New Roman"/>
                <w:color w:val="000000"/>
                <w:lang w:val="hr-HR" w:eastAsia="hr-HR"/>
              </w:rPr>
            </w:pPr>
            <w:r w:rsidRPr="00155F80">
              <w:rPr>
                <w:rFonts w:ascii="Times New Roman" w:hAnsi="Times New Roman"/>
                <w:color w:val="000000"/>
                <w:lang w:val="hr-HR" w:eastAsia="hr-HR"/>
              </w:rPr>
              <w:t>3,6</w:t>
            </w:r>
          </w:p>
        </w:tc>
      </w:tr>
      <w:tr w:rsidR="00A131AD" w:rsidRPr="00155F80" w:rsidTr="001911A6">
        <w:trPr>
          <w:trHeight w:val="288"/>
        </w:trPr>
        <w:tc>
          <w:tcPr>
            <w:tcW w:w="2800" w:type="dxa"/>
            <w:shd w:val="clear" w:color="000000" w:fill="F2F2F2"/>
            <w:noWrap/>
            <w:vAlign w:val="bottom"/>
            <w:hideMark/>
          </w:tcPr>
          <w:p w:rsidR="00A131AD" w:rsidRPr="00155F80" w:rsidRDefault="00A131AD" w:rsidP="000C0138">
            <w:pPr>
              <w:spacing w:line="276" w:lineRule="auto"/>
              <w:jc w:val="left"/>
              <w:rPr>
                <w:rFonts w:ascii="Times New Roman" w:hAnsi="Times New Roman"/>
                <w:color w:val="000000"/>
                <w:lang w:val="hr-HR" w:eastAsia="hr-HR"/>
              </w:rPr>
            </w:pPr>
            <w:r w:rsidRPr="00155F80">
              <w:rPr>
                <w:rFonts w:ascii="Times New Roman" w:hAnsi="Times New Roman"/>
                <w:color w:val="000000"/>
                <w:lang w:val="hr-HR" w:eastAsia="hr-HR"/>
              </w:rPr>
              <w:t>Ostali</w:t>
            </w:r>
          </w:p>
        </w:tc>
        <w:tc>
          <w:tcPr>
            <w:tcW w:w="733" w:type="dxa"/>
            <w:shd w:val="clear" w:color="000000" w:fill="F2F2F2"/>
            <w:noWrap/>
            <w:vAlign w:val="bottom"/>
            <w:hideMark/>
          </w:tcPr>
          <w:p w:rsidR="00A131AD" w:rsidRPr="00155F80" w:rsidRDefault="00A131AD" w:rsidP="000C0138">
            <w:pPr>
              <w:spacing w:line="276" w:lineRule="auto"/>
              <w:jc w:val="left"/>
              <w:rPr>
                <w:rFonts w:ascii="Times New Roman" w:hAnsi="Times New Roman"/>
                <w:color w:val="000000"/>
                <w:lang w:val="hr-HR" w:eastAsia="hr-HR"/>
              </w:rPr>
            </w:pPr>
            <w:r w:rsidRPr="00155F80">
              <w:rPr>
                <w:rFonts w:ascii="Times New Roman" w:hAnsi="Times New Roman"/>
                <w:color w:val="000000"/>
                <w:lang w:val="hr-HR" w:eastAsia="hr-HR"/>
              </w:rPr>
              <w:t> </w:t>
            </w:r>
          </w:p>
        </w:tc>
        <w:tc>
          <w:tcPr>
            <w:tcW w:w="1598" w:type="dxa"/>
            <w:shd w:val="clear" w:color="000000" w:fill="F2F2F2"/>
            <w:noWrap/>
            <w:vAlign w:val="bottom"/>
            <w:hideMark/>
          </w:tcPr>
          <w:p w:rsidR="00A131AD" w:rsidRPr="00155F80" w:rsidRDefault="00A131AD" w:rsidP="000C0138">
            <w:pPr>
              <w:spacing w:line="276" w:lineRule="auto"/>
              <w:jc w:val="center"/>
              <w:rPr>
                <w:rFonts w:ascii="Times New Roman" w:hAnsi="Times New Roman"/>
                <w:color w:val="000000"/>
                <w:lang w:val="hr-HR" w:eastAsia="hr-HR"/>
              </w:rPr>
            </w:pPr>
            <w:r w:rsidRPr="00155F80">
              <w:rPr>
                <w:rFonts w:ascii="Times New Roman" w:hAnsi="Times New Roman"/>
                <w:color w:val="000000"/>
                <w:lang w:val="hr-HR" w:eastAsia="hr-HR"/>
              </w:rPr>
              <w:t>678</w:t>
            </w:r>
          </w:p>
        </w:tc>
        <w:tc>
          <w:tcPr>
            <w:tcW w:w="649" w:type="dxa"/>
            <w:shd w:val="clear" w:color="000000" w:fill="F2F2F2"/>
            <w:noWrap/>
            <w:vAlign w:val="bottom"/>
            <w:hideMark/>
          </w:tcPr>
          <w:p w:rsidR="00A131AD" w:rsidRPr="00155F80" w:rsidRDefault="00A131AD" w:rsidP="000C0138">
            <w:pPr>
              <w:spacing w:line="276" w:lineRule="auto"/>
              <w:jc w:val="center"/>
              <w:rPr>
                <w:rFonts w:ascii="Times New Roman" w:hAnsi="Times New Roman"/>
                <w:color w:val="000000"/>
                <w:lang w:val="hr-HR" w:eastAsia="hr-HR"/>
              </w:rPr>
            </w:pPr>
            <w:r w:rsidRPr="00155F80">
              <w:rPr>
                <w:rFonts w:ascii="Times New Roman" w:hAnsi="Times New Roman"/>
                <w:color w:val="000000"/>
                <w:lang w:val="hr-HR" w:eastAsia="hr-HR"/>
              </w:rPr>
              <w:t>37,2</w:t>
            </w:r>
          </w:p>
        </w:tc>
        <w:tc>
          <w:tcPr>
            <w:tcW w:w="733" w:type="dxa"/>
            <w:shd w:val="clear" w:color="000000" w:fill="F2F2F2"/>
            <w:noWrap/>
            <w:vAlign w:val="bottom"/>
            <w:hideMark/>
          </w:tcPr>
          <w:p w:rsidR="00A131AD" w:rsidRPr="00155F80" w:rsidRDefault="00A131AD" w:rsidP="000C0138">
            <w:pPr>
              <w:spacing w:line="276" w:lineRule="auto"/>
              <w:jc w:val="center"/>
              <w:rPr>
                <w:rFonts w:ascii="Times New Roman" w:hAnsi="Times New Roman"/>
                <w:color w:val="000000"/>
                <w:lang w:val="hr-HR" w:eastAsia="hr-HR"/>
              </w:rPr>
            </w:pPr>
          </w:p>
        </w:tc>
        <w:tc>
          <w:tcPr>
            <w:tcW w:w="1598" w:type="dxa"/>
            <w:shd w:val="clear" w:color="000000" w:fill="F2F2F2"/>
            <w:noWrap/>
            <w:vAlign w:val="bottom"/>
            <w:hideMark/>
          </w:tcPr>
          <w:p w:rsidR="00A131AD" w:rsidRPr="00155F80" w:rsidRDefault="00A131AD" w:rsidP="000C0138">
            <w:pPr>
              <w:spacing w:line="276" w:lineRule="auto"/>
              <w:jc w:val="center"/>
              <w:rPr>
                <w:rFonts w:ascii="Times New Roman" w:hAnsi="Times New Roman"/>
                <w:color w:val="000000"/>
                <w:lang w:val="hr-HR" w:eastAsia="hr-HR"/>
              </w:rPr>
            </w:pPr>
            <w:r w:rsidRPr="00155F80">
              <w:rPr>
                <w:rFonts w:ascii="Times New Roman" w:hAnsi="Times New Roman"/>
                <w:color w:val="000000"/>
                <w:lang w:val="hr-HR" w:eastAsia="hr-HR"/>
              </w:rPr>
              <w:t>496</w:t>
            </w:r>
          </w:p>
        </w:tc>
        <w:tc>
          <w:tcPr>
            <w:tcW w:w="649" w:type="dxa"/>
            <w:shd w:val="clear" w:color="000000" w:fill="F2F2F2"/>
            <w:noWrap/>
            <w:vAlign w:val="bottom"/>
            <w:hideMark/>
          </w:tcPr>
          <w:p w:rsidR="00A131AD" w:rsidRPr="00155F80" w:rsidRDefault="00A131AD" w:rsidP="000C0138">
            <w:pPr>
              <w:spacing w:line="276" w:lineRule="auto"/>
              <w:jc w:val="center"/>
              <w:rPr>
                <w:rFonts w:ascii="Times New Roman" w:hAnsi="Times New Roman"/>
                <w:color w:val="000000"/>
                <w:lang w:val="hr-HR" w:eastAsia="hr-HR"/>
              </w:rPr>
            </w:pPr>
            <w:r w:rsidRPr="00155F80">
              <w:rPr>
                <w:rFonts w:ascii="Times New Roman" w:hAnsi="Times New Roman"/>
                <w:color w:val="000000"/>
                <w:lang w:val="hr-HR" w:eastAsia="hr-HR"/>
              </w:rPr>
              <w:t>27,8</w:t>
            </w:r>
          </w:p>
        </w:tc>
      </w:tr>
      <w:tr w:rsidR="00A131AD" w:rsidRPr="00155F80" w:rsidTr="001911A6">
        <w:trPr>
          <w:trHeight w:val="400"/>
        </w:trPr>
        <w:tc>
          <w:tcPr>
            <w:tcW w:w="2800" w:type="dxa"/>
            <w:shd w:val="clear" w:color="000000" w:fill="F2F2F2"/>
            <w:noWrap/>
            <w:vAlign w:val="center"/>
            <w:hideMark/>
          </w:tcPr>
          <w:p w:rsidR="00A131AD" w:rsidRPr="00155F80" w:rsidRDefault="00A131AD" w:rsidP="000C0138">
            <w:pPr>
              <w:spacing w:line="276" w:lineRule="auto"/>
              <w:jc w:val="center"/>
              <w:rPr>
                <w:rFonts w:ascii="Times New Roman" w:hAnsi="Times New Roman"/>
                <w:b/>
                <w:color w:val="000000"/>
                <w:lang w:val="hr-HR" w:eastAsia="hr-HR"/>
              </w:rPr>
            </w:pPr>
            <w:r w:rsidRPr="00155F80">
              <w:rPr>
                <w:rFonts w:ascii="Times New Roman" w:hAnsi="Times New Roman"/>
                <w:b/>
                <w:color w:val="000000"/>
                <w:lang w:val="hr-HR" w:eastAsia="hr-HR"/>
              </w:rPr>
              <w:t>UKUPNO (bez kože)</w:t>
            </w:r>
          </w:p>
        </w:tc>
        <w:tc>
          <w:tcPr>
            <w:tcW w:w="733" w:type="dxa"/>
            <w:shd w:val="clear" w:color="000000" w:fill="F2F2F2"/>
            <w:noWrap/>
            <w:vAlign w:val="center"/>
            <w:hideMark/>
          </w:tcPr>
          <w:p w:rsidR="00A131AD" w:rsidRPr="00155F80" w:rsidRDefault="00A131AD" w:rsidP="000C0138">
            <w:pPr>
              <w:spacing w:line="276" w:lineRule="auto"/>
              <w:jc w:val="center"/>
              <w:rPr>
                <w:rFonts w:ascii="Times New Roman" w:hAnsi="Times New Roman"/>
                <w:b/>
                <w:color w:val="000000"/>
                <w:lang w:val="hr-HR" w:eastAsia="hr-HR"/>
              </w:rPr>
            </w:pPr>
          </w:p>
        </w:tc>
        <w:tc>
          <w:tcPr>
            <w:tcW w:w="1598" w:type="dxa"/>
            <w:shd w:val="clear" w:color="000000" w:fill="F2F2F2"/>
            <w:noWrap/>
            <w:vAlign w:val="center"/>
            <w:hideMark/>
          </w:tcPr>
          <w:p w:rsidR="00A131AD" w:rsidRPr="00155F80" w:rsidRDefault="00A131AD" w:rsidP="000C0138">
            <w:pPr>
              <w:spacing w:line="276" w:lineRule="auto"/>
              <w:jc w:val="center"/>
              <w:rPr>
                <w:rFonts w:ascii="Times New Roman" w:hAnsi="Times New Roman"/>
                <w:b/>
                <w:color w:val="000000"/>
                <w:lang w:val="hr-HR" w:eastAsia="hr-HR"/>
              </w:rPr>
            </w:pPr>
            <w:r w:rsidRPr="00155F80">
              <w:rPr>
                <w:rFonts w:ascii="Times New Roman" w:hAnsi="Times New Roman"/>
                <w:b/>
                <w:color w:val="000000"/>
                <w:lang w:val="hr-HR" w:eastAsia="hr-HR"/>
              </w:rPr>
              <w:t>1825</w:t>
            </w:r>
          </w:p>
        </w:tc>
        <w:tc>
          <w:tcPr>
            <w:tcW w:w="649" w:type="dxa"/>
            <w:shd w:val="clear" w:color="000000" w:fill="F2F2F2"/>
            <w:noWrap/>
            <w:vAlign w:val="center"/>
            <w:hideMark/>
          </w:tcPr>
          <w:p w:rsidR="00A131AD" w:rsidRPr="00155F80" w:rsidRDefault="00A131AD" w:rsidP="000C0138">
            <w:pPr>
              <w:spacing w:line="276" w:lineRule="auto"/>
              <w:jc w:val="center"/>
              <w:rPr>
                <w:rFonts w:ascii="Times New Roman" w:hAnsi="Times New Roman"/>
                <w:b/>
                <w:color w:val="000000"/>
                <w:lang w:val="hr-HR" w:eastAsia="hr-HR"/>
              </w:rPr>
            </w:pPr>
            <w:r w:rsidRPr="00155F80">
              <w:rPr>
                <w:rFonts w:ascii="Times New Roman" w:hAnsi="Times New Roman"/>
                <w:b/>
                <w:color w:val="000000"/>
                <w:lang w:val="hr-HR" w:eastAsia="hr-HR"/>
              </w:rPr>
              <w:t>100</w:t>
            </w:r>
          </w:p>
        </w:tc>
        <w:tc>
          <w:tcPr>
            <w:tcW w:w="733" w:type="dxa"/>
            <w:shd w:val="clear" w:color="000000" w:fill="F2F2F2"/>
            <w:noWrap/>
            <w:vAlign w:val="center"/>
            <w:hideMark/>
          </w:tcPr>
          <w:p w:rsidR="00A131AD" w:rsidRPr="00155F80" w:rsidRDefault="00A131AD" w:rsidP="000C0138">
            <w:pPr>
              <w:spacing w:line="276" w:lineRule="auto"/>
              <w:jc w:val="center"/>
              <w:rPr>
                <w:rFonts w:ascii="Times New Roman" w:hAnsi="Times New Roman"/>
                <w:b/>
                <w:color w:val="000000"/>
                <w:lang w:val="hr-HR" w:eastAsia="hr-HR"/>
              </w:rPr>
            </w:pPr>
          </w:p>
        </w:tc>
        <w:tc>
          <w:tcPr>
            <w:tcW w:w="1598" w:type="dxa"/>
            <w:shd w:val="clear" w:color="000000" w:fill="F2F2F2"/>
            <w:noWrap/>
            <w:vAlign w:val="center"/>
            <w:hideMark/>
          </w:tcPr>
          <w:p w:rsidR="00A131AD" w:rsidRPr="00155F80" w:rsidRDefault="00A131AD" w:rsidP="000C0138">
            <w:pPr>
              <w:spacing w:line="276" w:lineRule="auto"/>
              <w:jc w:val="center"/>
              <w:rPr>
                <w:rFonts w:ascii="Times New Roman" w:hAnsi="Times New Roman"/>
                <w:b/>
                <w:color w:val="000000"/>
                <w:lang w:val="hr-HR" w:eastAsia="hr-HR"/>
              </w:rPr>
            </w:pPr>
            <w:r w:rsidRPr="00155F80">
              <w:rPr>
                <w:rFonts w:ascii="Times New Roman" w:hAnsi="Times New Roman"/>
                <w:b/>
                <w:color w:val="000000"/>
                <w:lang w:val="hr-HR" w:eastAsia="hr-HR"/>
              </w:rPr>
              <w:t>1782</w:t>
            </w:r>
          </w:p>
        </w:tc>
        <w:tc>
          <w:tcPr>
            <w:tcW w:w="649" w:type="dxa"/>
            <w:shd w:val="clear" w:color="000000" w:fill="F2F2F2"/>
            <w:noWrap/>
            <w:vAlign w:val="center"/>
            <w:hideMark/>
          </w:tcPr>
          <w:p w:rsidR="00A131AD" w:rsidRPr="00155F80" w:rsidRDefault="00A131AD" w:rsidP="000C0138">
            <w:pPr>
              <w:spacing w:line="276" w:lineRule="auto"/>
              <w:jc w:val="center"/>
              <w:rPr>
                <w:rFonts w:ascii="Times New Roman" w:hAnsi="Times New Roman"/>
                <w:b/>
                <w:color w:val="000000"/>
                <w:lang w:val="hr-HR" w:eastAsia="hr-HR"/>
              </w:rPr>
            </w:pPr>
            <w:r w:rsidRPr="00155F80">
              <w:rPr>
                <w:rFonts w:ascii="Times New Roman" w:hAnsi="Times New Roman"/>
                <w:b/>
                <w:color w:val="000000"/>
                <w:lang w:val="hr-HR" w:eastAsia="hr-HR"/>
              </w:rPr>
              <w:t>100</w:t>
            </w:r>
          </w:p>
        </w:tc>
      </w:tr>
    </w:tbl>
    <w:p w:rsidR="00A131AD" w:rsidRPr="00155F80" w:rsidRDefault="00A131AD" w:rsidP="000C0138">
      <w:pPr>
        <w:spacing w:after="200" w:line="276" w:lineRule="auto"/>
        <w:jc w:val="left"/>
        <w:rPr>
          <w:rFonts w:ascii="Times New Roman" w:eastAsia="Calibri" w:hAnsi="Times New Roman"/>
          <w:lang w:val="hr-HR"/>
        </w:rPr>
      </w:pPr>
    </w:p>
    <w:p w:rsidR="00A131AD" w:rsidRPr="00155F80" w:rsidRDefault="00A131AD" w:rsidP="00EB7CC7">
      <w:pPr>
        <w:pStyle w:val="refererere"/>
        <w:rPr>
          <w:rFonts w:eastAsia="Calibri"/>
          <w:lang w:val="hr-HR"/>
        </w:rPr>
      </w:pPr>
      <w:r w:rsidRPr="00155F80">
        <w:rPr>
          <w:rFonts w:eastAsia="Calibri"/>
          <w:lang w:val="hr-HR"/>
        </w:rPr>
        <w:t>Grafikon 37: Dese</w:t>
      </w:r>
      <w:r w:rsidR="00590EC7">
        <w:rPr>
          <w:rFonts w:eastAsia="Calibri"/>
          <w:lang w:val="hr-HR"/>
        </w:rPr>
        <w:t>t vodećih uzroka smrti od raka kod</w:t>
      </w:r>
      <w:r w:rsidRPr="00155F80">
        <w:rPr>
          <w:rFonts w:eastAsia="Calibri"/>
          <w:lang w:val="hr-HR"/>
        </w:rPr>
        <w:t xml:space="preserve"> žena u Federaciji BiH, 2014. i 2013.godina, indeks strukture</w:t>
      </w:r>
    </w:p>
    <w:p w:rsidR="00A131AD" w:rsidRPr="00155F80" w:rsidRDefault="00A131AD" w:rsidP="000C0138">
      <w:pPr>
        <w:spacing w:after="200" w:line="276" w:lineRule="auto"/>
        <w:jc w:val="left"/>
        <w:rPr>
          <w:rFonts w:ascii="Times New Roman" w:eastAsia="Calibri" w:hAnsi="Times New Roman"/>
          <w:lang w:val="hr-HR"/>
        </w:rPr>
      </w:pPr>
      <w:r w:rsidRPr="00155F80">
        <w:rPr>
          <w:rFonts w:ascii="Times New Roman" w:eastAsia="Calibri" w:hAnsi="Times New Roman"/>
          <w:noProof/>
          <w:lang w:val="bs-Latn-BA" w:eastAsia="bs-Latn-BA"/>
        </w:rPr>
        <w:drawing>
          <wp:inline distT="0" distB="0" distL="0" distR="0" wp14:anchorId="7E46D40C" wp14:editId="7E41CA6A">
            <wp:extent cx="5761990" cy="315214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61990" cy="3152140"/>
                    </a:xfrm>
                    <a:prstGeom prst="rect">
                      <a:avLst/>
                    </a:prstGeom>
                    <a:noFill/>
                  </pic:spPr>
                </pic:pic>
              </a:graphicData>
            </a:graphic>
          </wp:inline>
        </w:drawing>
      </w:r>
    </w:p>
    <w:p w:rsidR="00A131AD" w:rsidRPr="00155F80" w:rsidRDefault="00A131AD" w:rsidP="00834139">
      <w:pPr>
        <w:spacing w:after="200" w:line="276" w:lineRule="auto"/>
        <w:contextualSpacing/>
        <w:rPr>
          <w:rFonts w:ascii="Times New Roman" w:eastAsia="Calibri" w:hAnsi="Times New Roman"/>
          <w:lang w:val="hr-HR"/>
        </w:rPr>
      </w:pPr>
      <w:r w:rsidRPr="00155F80">
        <w:rPr>
          <w:rFonts w:ascii="Times New Roman" w:eastAsia="Calibri" w:hAnsi="Times New Roman"/>
          <w:lang w:val="hr-HR"/>
        </w:rPr>
        <w:t>Poda</w:t>
      </w:r>
      <w:r w:rsidR="00FE3B0D">
        <w:rPr>
          <w:rFonts w:ascii="Times New Roman" w:eastAsia="Calibri" w:hAnsi="Times New Roman"/>
          <w:lang w:val="hr-HR"/>
        </w:rPr>
        <w:t>t</w:t>
      </w:r>
      <w:r w:rsidRPr="00155F80">
        <w:rPr>
          <w:rFonts w:ascii="Times New Roman" w:eastAsia="Calibri" w:hAnsi="Times New Roman"/>
          <w:lang w:val="hr-HR"/>
        </w:rPr>
        <w:t>ci Populacijskog registra raka koji se vodi u Zavodu za javno zdravstvo FBiH su rezultat analize podataka sa terena, zdravstvenih ustanova (uglavnom kantonalnih zavoda za javno zdravstvo). S obzirom na znatan udio registriranih samo na osnovu potvrde o smrti, mali broj mikroskopski verificiranih tumora, veliki broj umrlih od raka (poda</w:t>
      </w:r>
      <w:r w:rsidR="00AB7271">
        <w:rPr>
          <w:rFonts w:ascii="Times New Roman" w:eastAsia="Calibri" w:hAnsi="Times New Roman"/>
          <w:lang w:val="hr-HR"/>
        </w:rPr>
        <w:t>t</w:t>
      </w:r>
      <w:r w:rsidRPr="00155F80">
        <w:rPr>
          <w:rFonts w:ascii="Times New Roman" w:eastAsia="Calibri" w:hAnsi="Times New Roman"/>
          <w:lang w:val="hr-HR"/>
        </w:rPr>
        <w:t>ci Federalnog zavoda za statistiku) u odnosu na prijavljene oboljele Registru za rak FBiH, kašnjenja u prijavljivanju i nedovoljnu svijest zdravstvenih djelatnika o potrebi/obvezi prijavljivanja malignih neoplazmi, podatke u Populacijskom registru raka treba uzeti s rezervom jer ne odražavaju pravu sliku pojavnosti raka u Federaciji BiH.</w:t>
      </w:r>
    </w:p>
    <w:p w:rsidR="00A131AD" w:rsidRDefault="00A131AD" w:rsidP="000C0138">
      <w:pPr>
        <w:spacing w:after="160" w:line="276" w:lineRule="auto"/>
        <w:rPr>
          <w:rFonts w:ascii="Times New Roman" w:eastAsiaTheme="minorHAnsi" w:hAnsi="Times New Roman"/>
          <w:b/>
          <w:lang w:val="bs-Latn-BA"/>
        </w:rPr>
      </w:pPr>
    </w:p>
    <w:p w:rsidR="00EB7CC7" w:rsidRPr="00155F80" w:rsidRDefault="00EB7CC7" w:rsidP="000C0138">
      <w:pPr>
        <w:spacing w:after="160" w:line="276" w:lineRule="auto"/>
        <w:rPr>
          <w:rFonts w:ascii="Times New Roman" w:eastAsiaTheme="minorHAnsi" w:hAnsi="Times New Roman"/>
          <w:b/>
          <w:lang w:val="bs-Latn-BA"/>
        </w:rPr>
      </w:pPr>
    </w:p>
    <w:p w:rsidR="00A131AD" w:rsidRPr="00155F80" w:rsidRDefault="00A131AD" w:rsidP="000C0138">
      <w:pPr>
        <w:spacing w:after="160" w:line="276" w:lineRule="auto"/>
        <w:rPr>
          <w:rFonts w:ascii="Times New Roman" w:eastAsiaTheme="minorHAnsi" w:hAnsi="Times New Roman"/>
          <w:b/>
          <w:lang w:val="bs-Latn-BA"/>
        </w:rPr>
      </w:pPr>
      <w:r w:rsidRPr="00155F80">
        <w:rPr>
          <w:rFonts w:ascii="Times New Roman" w:eastAsiaTheme="minorHAnsi" w:hAnsi="Times New Roman"/>
          <w:b/>
          <w:lang w:val="bs-Latn-BA"/>
        </w:rPr>
        <w:t>Šećerna bolest</w:t>
      </w:r>
    </w:p>
    <w:p w:rsidR="00A131AD" w:rsidRPr="00155F80" w:rsidRDefault="00A131AD" w:rsidP="00284F26">
      <w:pPr>
        <w:spacing w:line="276" w:lineRule="auto"/>
        <w:rPr>
          <w:rFonts w:ascii="Times New Roman" w:eastAsiaTheme="minorHAnsi" w:hAnsi="Times New Roman"/>
          <w:lang w:val="bs-Latn-BA"/>
        </w:rPr>
      </w:pPr>
      <w:r w:rsidRPr="00155F80">
        <w:rPr>
          <w:rFonts w:ascii="Times New Roman" w:eastAsiaTheme="minorHAnsi" w:hAnsi="Times New Roman"/>
          <w:lang w:val="bs-Latn-BA"/>
        </w:rPr>
        <w:t xml:space="preserve">Šećerna bolest ima sve veći javnozdravstveni značaj zbog sve većg broja oboljelih i umrlih, kao i rasta troškova u procesu liječenja. </w:t>
      </w:r>
    </w:p>
    <w:p w:rsidR="00284F26" w:rsidRDefault="00A131AD" w:rsidP="00284F26">
      <w:pPr>
        <w:tabs>
          <w:tab w:val="left" w:pos="550"/>
        </w:tabs>
        <w:spacing w:line="276" w:lineRule="auto"/>
        <w:rPr>
          <w:rFonts w:ascii="Times New Roman" w:hAnsi="Times New Roman"/>
          <w:noProof/>
          <w:lang w:val="bs-Latn-BA"/>
        </w:rPr>
      </w:pPr>
      <w:r w:rsidRPr="00155F80">
        <w:rPr>
          <w:rFonts w:ascii="Times New Roman" w:hAnsi="Times New Roman"/>
          <w:noProof/>
          <w:lang w:val="bs-Latn-BA"/>
        </w:rPr>
        <w:t>Prema ambulantno-polikliničkom morbiditetu, u 2015. godini je registr</w:t>
      </w:r>
      <w:r w:rsidR="00AB7271">
        <w:rPr>
          <w:rFonts w:ascii="Times New Roman" w:hAnsi="Times New Roman"/>
          <w:noProof/>
          <w:lang w:val="bs-Latn-BA"/>
        </w:rPr>
        <w:t xml:space="preserve">irano </w:t>
      </w:r>
      <w:r w:rsidRPr="00155F80">
        <w:rPr>
          <w:rFonts w:ascii="Times New Roman" w:hAnsi="Times New Roman"/>
          <w:noProof/>
          <w:lang w:val="bs-Latn-BA"/>
        </w:rPr>
        <w:t xml:space="preserve">samo 70.620 oboljenja, što se smatra podcijenjenim. </w:t>
      </w:r>
    </w:p>
    <w:p w:rsidR="00A131AD" w:rsidRPr="00155F80" w:rsidRDefault="00A131AD" w:rsidP="00284F26">
      <w:pPr>
        <w:tabs>
          <w:tab w:val="left" w:pos="550"/>
        </w:tabs>
        <w:spacing w:line="276" w:lineRule="auto"/>
        <w:rPr>
          <w:rFonts w:ascii="Times New Roman" w:hAnsi="Times New Roman"/>
          <w:noProof/>
          <w:lang w:val="bs-Latn-BA"/>
        </w:rPr>
      </w:pPr>
      <w:r w:rsidRPr="00155F80">
        <w:rPr>
          <w:rFonts w:ascii="Times New Roman" w:hAnsi="Times New Roman"/>
          <w:noProof/>
          <w:lang w:val="bs-Latn-BA"/>
        </w:rPr>
        <w:t xml:space="preserve">Rezultati Studije o stanju zdravlja stanovništva u Federaciji BiH su pokazali da je 9,6% stanovnika starijih od 18 godina izjavilo da im je doktor bilo kada u životu dijagnosticirao šećernu bolest, a da preko petine stanovništva starijeg od 18 godina (21,7%) ima vrijednost šećera u krvi =ili&gt;6,1mmol/l. </w:t>
      </w:r>
    </w:p>
    <w:p w:rsidR="00A131AD" w:rsidRPr="00155F80" w:rsidRDefault="00C45324" w:rsidP="000C0138">
      <w:pPr>
        <w:tabs>
          <w:tab w:val="left" w:pos="550"/>
        </w:tabs>
        <w:spacing w:before="120" w:line="276" w:lineRule="auto"/>
        <w:rPr>
          <w:rFonts w:ascii="Times New Roman" w:hAnsi="Times New Roman"/>
          <w:noProof/>
          <w:lang w:val="bs-Latn-BA"/>
        </w:rPr>
      </w:pPr>
      <w:r>
        <w:rPr>
          <w:rFonts w:ascii="Times New Roman" w:hAnsi="Times New Roman"/>
          <w:noProof/>
          <w:lang w:val="bs-Latn-BA"/>
        </w:rPr>
        <w:t>U</w:t>
      </w:r>
      <w:r w:rsidR="00AB7271">
        <w:rPr>
          <w:rFonts w:ascii="Times New Roman" w:hAnsi="Times New Roman"/>
          <w:noProof/>
          <w:lang w:val="bs-Latn-BA"/>
        </w:rPr>
        <w:t>dio</w:t>
      </w:r>
      <w:r w:rsidR="00A131AD" w:rsidRPr="00155F80">
        <w:rPr>
          <w:rFonts w:ascii="Times New Roman" w:hAnsi="Times New Roman"/>
          <w:noProof/>
          <w:lang w:val="bs-Latn-BA"/>
        </w:rPr>
        <w:t xml:space="preserve"> šećerne bolesti (E10-E14) u mortalitetu raste, pa je u 2015. godini iznosio 5,4% i dva puta je veće nego u zemljama okruženja.</w:t>
      </w:r>
    </w:p>
    <w:p w:rsidR="00A131AD" w:rsidRPr="00155F80" w:rsidRDefault="00AB7271" w:rsidP="000C0138">
      <w:pPr>
        <w:tabs>
          <w:tab w:val="left" w:pos="550"/>
        </w:tabs>
        <w:spacing w:before="120" w:line="276" w:lineRule="auto"/>
        <w:rPr>
          <w:rFonts w:ascii="Times New Roman" w:hAnsi="Times New Roman"/>
          <w:b/>
          <w:noProof/>
          <w:lang w:val="bs-Latn-BA"/>
        </w:rPr>
      </w:pPr>
      <w:r>
        <w:rPr>
          <w:rFonts w:ascii="Times New Roman" w:hAnsi="Times New Roman"/>
          <w:b/>
          <w:noProof/>
          <w:lang w:val="bs-Latn-BA"/>
        </w:rPr>
        <w:t>K</w:t>
      </w:r>
      <w:r w:rsidR="00A131AD" w:rsidRPr="00155F80">
        <w:rPr>
          <w:rFonts w:ascii="Times New Roman" w:hAnsi="Times New Roman"/>
          <w:b/>
          <w:noProof/>
          <w:lang w:val="bs-Latn-BA"/>
        </w:rPr>
        <w:t>ronične opstruktivne plućne bolesti</w:t>
      </w:r>
    </w:p>
    <w:p w:rsidR="00B4366E" w:rsidRPr="00155F80" w:rsidRDefault="00A131AD" w:rsidP="00993848">
      <w:pPr>
        <w:tabs>
          <w:tab w:val="left" w:pos="550"/>
        </w:tabs>
        <w:spacing w:before="120" w:line="276" w:lineRule="auto"/>
        <w:rPr>
          <w:rFonts w:ascii="Times New Roman" w:hAnsi="Times New Roman"/>
          <w:b/>
          <w:noProof/>
          <w:lang w:val="bs-Latn-BA"/>
        </w:rPr>
      </w:pPr>
      <w:r w:rsidRPr="00155F80">
        <w:rPr>
          <w:rFonts w:ascii="Times New Roman" w:hAnsi="Times New Roman"/>
          <w:noProof/>
          <w:lang w:val="bs-Latn-BA"/>
        </w:rPr>
        <w:t>Oboljenja s</w:t>
      </w:r>
      <w:r w:rsidR="00AB7271">
        <w:rPr>
          <w:rFonts w:ascii="Times New Roman" w:hAnsi="Times New Roman"/>
          <w:noProof/>
          <w:lang w:val="bs-Latn-BA"/>
        </w:rPr>
        <w:t>ustava</w:t>
      </w:r>
      <w:r w:rsidRPr="00155F80">
        <w:rPr>
          <w:rFonts w:ascii="Times New Roman" w:hAnsi="Times New Roman"/>
          <w:noProof/>
          <w:lang w:val="bs-Latn-BA"/>
        </w:rPr>
        <w:t xml:space="preserve"> za disanje su najčešći razlog zbog čega se stanovnici javljaju u zdravstvene ustanove primarn</w:t>
      </w:r>
      <w:r w:rsidR="00AB7271">
        <w:rPr>
          <w:rFonts w:ascii="Times New Roman" w:hAnsi="Times New Roman"/>
          <w:noProof/>
          <w:lang w:val="bs-Latn-BA"/>
        </w:rPr>
        <w:t>e</w:t>
      </w:r>
      <w:r w:rsidRPr="00155F80">
        <w:rPr>
          <w:rFonts w:ascii="Times New Roman" w:hAnsi="Times New Roman"/>
          <w:noProof/>
          <w:lang w:val="bs-Latn-BA"/>
        </w:rPr>
        <w:t xml:space="preserve"> </w:t>
      </w:r>
      <w:r w:rsidR="00AB7271">
        <w:rPr>
          <w:rFonts w:ascii="Times New Roman" w:hAnsi="Times New Roman"/>
          <w:noProof/>
          <w:lang w:val="bs-Latn-BA"/>
        </w:rPr>
        <w:t>razine</w:t>
      </w:r>
      <w:r w:rsidRPr="00155F80">
        <w:rPr>
          <w:rFonts w:ascii="Times New Roman" w:hAnsi="Times New Roman"/>
          <w:noProof/>
          <w:lang w:val="bs-Latn-BA"/>
        </w:rPr>
        <w:t xml:space="preserve"> zdravstvene zaštite i u ukupnom morbiditetu učestvuju sa 29,6% u 2015. godini</w:t>
      </w:r>
      <w:r w:rsidR="00C60658">
        <w:rPr>
          <w:rFonts w:ascii="Times New Roman" w:hAnsi="Times New Roman"/>
          <w:noProof/>
          <w:lang w:val="bs-Latn-BA"/>
        </w:rPr>
        <w:t>.</w:t>
      </w:r>
      <w:r w:rsidRPr="00155F80">
        <w:rPr>
          <w:rFonts w:ascii="Times New Roman" w:hAnsi="Times New Roman"/>
          <w:noProof/>
          <w:lang w:val="bs-Latn-BA"/>
        </w:rPr>
        <w:t xml:space="preserve"> </w:t>
      </w:r>
      <w:r w:rsidR="00AB7271">
        <w:rPr>
          <w:rFonts w:ascii="Times New Roman" w:hAnsi="Times New Roman"/>
          <w:noProof/>
          <w:lang w:val="bs-Latn-BA"/>
        </w:rPr>
        <w:t>K</w:t>
      </w:r>
      <w:r w:rsidRPr="00155F80">
        <w:rPr>
          <w:rFonts w:ascii="Times New Roman" w:hAnsi="Times New Roman"/>
          <w:noProof/>
          <w:lang w:val="bs-Latn-BA"/>
        </w:rPr>
        <w:t xml:space="preserve">ronične opstruktivne bolesti pluća (J40-J46) </w:t>
      </w:r>
      <w:r w:rsidR="00AB7271">
        <w:rPr>
          <w:rFonts w:ascii="Times New Roman" w:hAnsi="Times New Roman"/>
          <w:noProof/>
          <w:lang w:val="bs-Latn-BA"/>
        </w:rPr>
        <w:t>sudjeluju</w:t>
      </w:r>
      <w:r w:rsidRPr="00155F80">
        <w:rPr>
          <w:rFonts w:ascii="Times New Roman" w:hAnsi="Times New Roman"/>
          <w:noProof/>
          <w:lang w:val="bs-Latn-BA"/>
        </w:rPr>
        <w:t xml:space="preserve"> sa 6,</w:t>
      </w:r>
      <w:r w:rsidR="00C60658">
        <w:rPr>
          <w:rFonts w:ascii="Times New Roman" w:hAnsi="Times New Roman"/>
          <w:noProof/>
          <w:lang w:val="bs-Latn-BA"/>
        </w:rPr>
        <w:t>6% oboljenja respiratornog s</w:t>
      </w:r>
      <w:r w:rsidR="00AB7271">
        <w:rPr>
          <w:rFonts w:ascii="Times New Roman" w:hAnsi="Times New Roman"/>
          <w:noProof/>
          <w:lang w:val="bs-Latn-BA"/>
        </w:rPr>
        <w:t>ustava</w:t>
      </w:r>
      <w:r w:rsidR="00C60658">
        <w:rPr>
          <w:rFonts w:ascii="Times New Roman" w:hAnsi="Times New Roman"/>
          <w:noProof/>
          <w:lang w:val="bs-Latn-BA"/>
        </w:rPr>
        <w:t xml:space="preserve">, </w:t>
      </w:r>
      <w:r w:rsidR="00AB7271">
        <w:rPr>
          <w:rFonts w:ascii="Times New Roman" w:hAnsi="Times New Roman"/>
          <w:noProof/>
          <w:lang w:val="bs-Latn-BA"/>
        </w:rPr>
        <w:t>udio</w:t>
      </w:r>
      <w:r w:rsidR="00C60658" w:rsidRPr="00155F80">
        <w:rPr>
          <w:rFonts w:ascii="Times New Roman" w:hAnsi="Times New Roman"/>
          <w:noProof/>
          <w:lang w:val="bs-Latn-BA"/>
        </w:rPr>
        <w:t xml:space="preserve"> u mortalitetu </w:t>
      </w:r>
      <w:r w:rsidR="00C60658">
        <w:rPr>
          <w:rFonts w:ascii="Times New Roman" w:hAnsi="Times New Roman"/>
          <w:noProof/>
          <w:lang w:val="bs-Latn-BA"/>
        </w:rPr>
        <w:t>iznosi</w:t>
      </w:r>
      <w:r w:rsidR="00C60658" w:rsidRPr="00155F80">
        <w:rPr>
          <w:rFonts w:ascii="Times New Roman" w:hAnsi="Times New Roman"/>
          <w:noProof/>
          <w:lang w:val="bs-Latn-BA"/>
        </w:rPr>
        <w:t xml:space="preserve"> 3,4%</w:t>
      </w:r>
      <w:r w:rsidR="00C60658">
        <w:rPr>
          <w:rFonts w:ascii="Times New Roman" w:hAnsi="Times New Roman"/>
          <w:noProof/>
          <w:lang w:val="bs-Latn-BA"/>
        </w:rPr>
        <w:t>. Imajući u vidu</w:t>
      </w:r>
      <w:r w:rsidR="00C60658" w:rsidRPr="00155F80">
        <w:rPr>
          <w:rFonts w:ascii="Times New Roman" w:hAnsi="Times New Roman"/>
          <w:noProof/>
          <w:lang w:val="bs-Latn-BA"/>
        </w:rPr>
        <w:t xml:space="preserve"> </w:t>
      </w:r>
      <w:r w:rsidR="00C60658">
        <w:rPr>
          <w:rFonts w:ascii="Times New Roman" w:hAnsi="Times New Roman"/>
          <w:noProof/>
          <w:lang w:val="bs-Latn-BA"/>
        </w:rPr>
        <w:t>visoku prevalenc</w:t>
      </w:r>
      <w:r w:rsidR="00AB7271">
        <w:rPr>
          <w:rFonts w:ascii="Times New Roman" w:hAnsi="Times New Roman"/>
          <w:noProof/>
          <w:lang w:val="bs-Latn-BA"/>
        </w:rPr>
        <w:t>ij</w:t>
      </w:r>
      <w:r w:rsidR="00C60658">
        <w:rPr>
          <w:rFonts w:ascii="Times New Roman" w:hAnsi="Times New Roman"/>
          <w:noProof/>
          <w:lang w:val="bs-Latn-BA"/>
        </w:rPr>
        <w:t>u</w:t>
      </w:r>
      <w:r w:rsidRPr="00155F80">
        <w:rPr>
          <w:rFonts w:ascii="Times New Roman" w:hAnsi="Times New Roman"/>
          <w:noProof/>
          <w:lang w:val="bs-Latn-BA"/>
        </w:rPr>
        <w:t xml:space="preserve"> pušenja među stanovnicima (44,1%)</w:t>
      </w:r>
      <w:r w:rsidR="00C60658">
        <w:rPr>
          <w:rFonts w:ascii="Times New Roman" w:hAnsi="Times New Roman"/>
          <w:noProof/>
          <w:lang w:val="bs-Latn-BA"/>
        </w:rPr>
        <w:t xml:space="preserve">, uz sve veće </w:t>
      </w:r>
      <w:r w:rsidR="00AB7271">
        <w:rPr>
          <w:rFonts w:ascii="Times New Roman" w:hAnsi="Times New Roman"/>
          <w:noProof/>
          <w:lang w:val="bs-Latn-BA"/>
        </w:rPr>
        <w:t>onečišćenje</w:t>
      </w:r>
      <w:r w:rsidR="00C60658">
        <w:rPr>
          <w:rFonts w:ascii="Times New Roman" w:hAnsi="Times New Roman"/>
          <w:noProof/>
          <w:lang w:val="bs-Latn-BA"/>
        </w:rPr>
        <w:t xml:space="preserve"> </w:t>
      </w:r>
      <w:r w:rsidR="00AB7271">
        <w:rPr>
          <w:rFonts w:ascii="Times New Roman" w:hAnsi="Times New Roman"/>
          <w:noProof/>
          <w:lang w:val="bs-Latn-BA"/>
        </w:rPr>
        <w:t>zraka</w:t>
      </w:r>
      <w:r w:rsidR="00C60658">
        <w:rPr>
          <w:rFonts w:ascii="Times New Roman" w:hAnsi="Times New Roman"/>
          <w:noProof/>
          <w:lang w:val="bs-Latn-BA"/>
        </w:rPr>
        <w:t xml:space="preserve">, praćenje </w:t>
      </w:r>
      <w:r w:rsidR="00AB7271">
        <w:rPr>
          <w:rFonts w:ascii="Times New Roman" w:hAnsi="Times New Roman"/>
          <w:noProof/>
          <w:lang w:val="bs-Latn-BA"/>
        </w:rPr>
        <w:t>k</w:t>
      </w:r>
      <w:r w:rsidR="00C60658">
        <w:rPr>
          <w:rFonts w:ascii="Times New Roman" w:hAnsi="Times New Roman"/>
          <w:noProof/>
          <w:lang w:val="bs-Latn-BA"/>
        </w:rPr>
        <w:t>roničnih opstruktivnih bolesti ima sve veći značaj.</w:t>
      </w:r>
    </w:p>
    <w:p w:rsidR="00284F26" w:rsidRDefault="00A131AD" w:rsidP="00284F26">
      <w:pPr>
        <w:tabs>
          <w:tab w:val="left" w:pos="550"/>
        </w:tabs>
        <w:spacing w:before="120" w:line="276" w:lineRule="auto"/>
        <w:rPr>
          <w:rFonts w:ascii="Times New Roman" w:hAnsi="Times New Roman"/>
          <w:b/>
          <w:noProof/>
          <w:lang w:val="bs-Latn-BA"/>
        </w:rPr>
      </w:pPr>
      <w:r w:rsidRPr="00155F80">
        <w:rPr>
          <w:rFonts w:ascii="Times New Roman" w:hAnsi="Times New Roman"/>
          <w:b/>
          <w:noProof/>
          <w:lang w:val="bs-Latn-BA"/>
        </w:rPr>
        <w:t>Mentalno zdravlje</w:t>
      </w:r>
    </w:p>
    <w:p w:rsidR="00A131AD" w:rsidRPr="00155F80" w:rsidRDefault="00C60658" w:rsidP="00284F26">
      <w:pPr>
        <w:tabs>
          <w:tab w:val="left" w:pos="550"/>
        </w:tabs>
        <w:spacing w:before="120" w:line="276" w:lineRule="auto"/>
        <w:rPr>
          <w:rFonts w:ascii="Times New Roman" w:hAnsi="Times New Roman"/>
        </w:rPr>
      </w:pPr>
      <w:r>
        <w:rPr>
          <w:rFonts w:ascii="Times New Roman" w:hAnsi="Times New Roman"/>
        </w:rPr>
        <w:t xml:space="preserve">Mentalno </w:t>
      </w:r>
      <w:r w:rsidR="00A131AD" w:rsidRPr="00155F80">
        <w:rPr>
          <w:rFonts w:ascii="Times New Roman" w:hAnsi="Times New Roman"/>
        </w:rPr>
        <w:t xml:space="preserve">zdravlje predstavlja važan izvor snage i sigurnosti za pojedinca i za </w:t>
      </w:r>
      <w:r w:rsidR="00B85430">
        <w:rPr>
          <w:rFonts w:ascii="Times New Roman" w:hAnsi="Times New Roman"/>
        </w:rPr>
        <w:t>obitelj</w:t>
      </w:r>
      <w:r w:rsidR="00A131AD" w:rsidRPr="00155F80">
        <w:rPr>
          <w:rFonts w:ascii="Times New Roman" w:hAnsi="Times New Roman"/>
        </w:rPr>
        <w:t xml:space="preserve">. Osoba koja je dobrog mentalnog zdravlja je zadovoljna, pozitivna, sposobna zasnovati </w:t>
      </w:r>
      <w:r w:rsidR="00B85430">
        <w:rPr>
          <w:rFonts w:ascii="Times New Roman" w:hAnsi="Times New Roman"/>
        </w:rPr>
        <w:t>obitelj</w:t>
      </w:r>
      <w:r w:rsidR="00A131AD" w:rsidRPr="00155F80">
        <w:rPr>
          <w:rFonts w:ascii="Times New Roman" w:hAnsi="Times New Roman"/>
        </w:rPr>
        <w:t xml:space="preserve"> i biti sretna u njoj, prihvaća druge ljude, sposobna je stvarati i održavati prijateljstva, produktivna je na radnom mjestu, i dobro se nosi sa životnim </w:t>
      </w:r>
      <w:r w:rsidR="00B85430">
        <w:rPr>
          <w:rFonts w:ascii="Times New Roman" w:hAnsi="Times New Roman"/>
        </w:rPr>
        <w:t>poteškoćama</w:t>
      </w:r>
      <w:r w:rsidR="00A131AD" w:rsidRPr="00155F80">
        <w:rPr>
          <w:rFonts w:ascii="Times New Roman" w:hAnsi="Times New Roman"/>
        </w:rPr>
        <w:t xml:space="preserve"> i stresovima.</w:t>
      </w:r>
    </w:p>
    <w:p w:rsidR="00A131AD" w:rsidRPr="00155F80" w:rsidRDefault="00A131AD" w:rsidP="000C0138">
      <w:pPr>
        <w:spacing w:line="276" w:lineRule="auto"/>
        <w:rPr>
          <w:rFonts w:ascii="Times New Roman" w:hAnsi="Times New Roman"/>
        </w:rPr>
      </w:pPr>
    </w:p>
    <w:p w:rsidR="00A131AD" w:rsidRPr="00155F80" w:rsidRDefault="00A131AD" w:rsidP="000C0138">
      <w:pPr>
        <w:spacing w:line="276" w:lineRule="auto"/>
        <w:rPr>
          <w:rFonts w:ascii="Times New Roman" w:hAnsi="Times New Roman"/>
        </w:rPr>
      </w:pPr>
      <w:r w:rsidRPr="00155F80">
        <w:rPr>
          <w:rFonts w:ascii="Times New Roman" w:hAnsi="Times New Roman"/>
        </w:rPr>
        <w:t xml:space="preserve">Stoga ne treba zanemarivati probleme mentalnog zdravlja u odnosu na probleme tjelesnog zdravlja. Osobito treba istaknuti čestu međupovezanost </w:t>
      </w:r>
      <w:r w:rsidR="00751A8F">
        <w:rPr>
          <w:rFonts w:ascii="Times New Roman" w:hAnsi="Times New Roman"/>
        </w:rPr>
        <w:t>tjelesnih</w:t>
      </w:r>
      <w:r w:rsidRPr="00155F80">
        <w:rPr>
          <w:rFonts w:ascii="Times New Roman" w:hAnsi="Times New Roman"/>
        </w:rPr>
        <w:t xml:space="preserve"> bolesti sa narušenim mentalnim zdravljem, što znači da bilo koja </w:t>
      </w:r>
      <w:r w:rsidR="00751A8F">
        <w:rPr>
          <w:rFonts w:ascii="Times New Roman" w:hAnsi="Times New Roman"/>
        </w:rPr>
        <w:t>tjelesna</w:t>
      </w:r>
      <w:r w:rsidRPr="00155F80">
        <w:rPr>
          <w:rFonts w:ascii="Times New Roman" w:hAnsi="Times New Roman"/>
        </w:rPr>
        <w:t xml:space="preserve"> bolest može imati za posljedicu mentalne zdravstvene probleme; s druge strane, mnoge poznate nam bolesti razvile su se zbog poremećenog mentalnog zdravlja i nesposobnosti osobe da se uspješno nosi sa stresovima koji su naša svakidašnjost. Povezanost dobrog mentalnog i </w:t>
      </w:r>
      <w:r w:rsidR="00751A8F">
        <w:rPr>
          <w:rFonts w:ascii="Times New Roman" w:hAnsi="Times New Roman"/>
        </w:rPr>
        <w:t>tjelesnog</w:t>
      </w:r>
      <w:r w:rsidRPr="00155F80">
        <w:rPr>
          <w:rFonts w:ascii="Times New Roman" w:hAnsi="Times New Roman"/>
        </w:rPr>
        <w:t xml:space="preserve"> zdravlja</w:t>
      </w:r>
      <w:r w:rsidR="00C60658">
        <w:rPr>
          <w:rFonts w:ascii="Times New Roman" w:hAnsi="Times New Roman"/>
        </w:rPr>
        <w:t xml:space="preserve"> </w:t>
      </w:r>
      <w:r w:rsidR="00B85430">
        <w:rPr>
          <w:rFonts w:ascii="Times New Roman" w:hAnsi="Times New Roman"/>
        </w:rPr>
        <w:t>važna</w:t>
      </w:r>
      <w:r w:rsidR="00C60658">
        <w:rPr>
          <w:rFonts w:ascii="Times New Roman" w:hAnsi="Times New Roman"/>
        </w:rPr>
        <w:t xml:space="preserve"> je za uspješan </w:t>
      </w:r>
      <w:r w:rsidRPr="00155F80">
        <w:rPr>
          <w:rFonts w:ascii="Times New Roman" w:hAnsi="Times New Roman"/>
        </w:rPr>
        <w:t>razvoj u svakoj životnoj dobi.</w:t>
      </w:r>
    </w:p>
    <w:p w:rsidR="00A131AD" w:rsidRPr="00155F80" w:rsidRDefault="00A131AD" w:rsidP="000C0138">
      <w:pPr>
        <w:spacing w:line="276" w:lineRule="auto"/>
        <w:rPr>
          <w:rFonts w:ascii="Times New Roman" w:hAnsi="Times New Roman"/>
        </w:rPr>
      </w:pPr>
      <w:r w:rsidRPr="00155F80">
        <w:rPr>
          <w:rFonts w:ascii="Times New Roman" w:hAnsi="Times New Roman"/>
        </w:rPr>
        <w:t>Zbog česte pojavnosti i sve veće učestalosti, čestog početka u mlađoj odrasloj dobi, narušavanja kvalitet</w:t>
      </w:r>
      <w:r w:rsidR="00B85430">
        <w:rPr>
          <w:rFonts w:ascii="Times New Roman" w:hAnsi="Times New Roman"/>
        </w:rPr>
        <w:t>a</w:t>
      </w:r>
      <w:r w:rsidRPr="00155F80">
        <w:rPr>
          <w:rFonts w:ascii="Times New Roman" w:hAnsi="Times New Roman"/>
        </w:rPr>
        <w:t xml:space="preserve"> života kako bolesnika tako i njegove obitelji, duševne bolesti i mentalni poremećaji predstavljaju jedan od važnijih javnozdravstvenih problema i u svijetu i kod nas, i sve više pažnje se polaže na očuvanje i unapređenje mentalnog zdravlja. </w:t>
      </w:r>
    </w:p>
    <w:p w:rsidR="00C60658" w:rsidRDefault="00A131AD" w:rsidP="000C0138">
      <w:pPr>
        <w:spacing w:line="276" w:lineRule="auto"/>
        <w:rPr>
          <w:rFonts w:ascii="Times New Roman" w:hAnsi="Times New Roman"/>
        </w:rPr>
      </w:pPr>
      <w:r w:rsidRPr="00155F80">
        <w:rPr>
          <w:rFonts w:ascii="Times New Roman" w:hAnsi="Times New Roman"/>
        </w:rPr>
        <w:t>U Federaciji Bosne i Hercegovine iz godine u godinu se bilježi porast obol</w:t>
      </w:r>
      <w:r w:rsidR="00B85430">
        <w:rPr>
          <w:rFonts w:ascii="Times New Roman" w:hAnsi="Times New Roman"/>
        </w:rPr>
        <w:t>i</w:t>
      </w:r>
      <w:r w:rsidRPr="00155F80">
        <w:rPr>
          <w:rFonts w:ascii="Times New Roman" w:hAnsi="Times New Roman"/>
        </w:rPr>
        <w:t>jevanja stanovništva u razdoblju od 2010.-2014.godine, sa blagim padom u 2015.godini.</w:t>
      </w:r>
    </w:p>
    <w:p w:rsidR="00284F26" w:rsidRPr="00155F80" w:rsidRDefault="00284F26" w:rsidP="000C0138">
      <w:pPr>
        <w:spacing w:line="276" w:lineRule="auto"/>
        <w:rPr>
          <w:rFonts w:ascii="Times New Roman" w:hAnsi="Times New Roman"/>
          <w:color w:val="000000"/>
          <w:lang w:eastAsia="bs-Latn-BA"/>
        </w:rPr>
      </w:pPr>
    </w:p>
    <w:p w:rsidR="00A131AD" w:rsidRPr="00155F80" w:rsidRDefault="00A131AD" w:rsidP="00EB7CC7">
      <w:pPr>
        <w:pStyle w:val="refererere"/>
        <w:rPr>
          <w:lang w:eastAsia="bs-Latn-BA"/>
        </w:rPr>
      </w:pPr>
      <w:r w:rsidRPr="005861C0">
        <w:rPr>
          <w:lang w:eastAsia="bs-Latn-BA"/>
        </w:rPr>
        <w:t xml:space="preserve">Grafikon 38: Obolijevanje stanovništva Federacije BiH od mentalnih poremećaja i poremećaja ponašanja za </w:t>
      </w:r>
      <w:r w:rsidR="00B85430">
        <w:rPr>
          <w:lang w:eastAsia="bs-Latn-BA"/>
        </w:rPr>
        <w:t>razdoblje</w:t>
      </w:r>
      <w:r w:rsidRPr="005861C0">
        <w:rPr>
          <w:lang w:eastAsia="bs-Latn-BA"/>
        </w:rPr>
        <w:t xml:space="preserve"> 2010.-2015.godina, </w:t>
      </w:r>
      <w:r w:rsidRPr="005861C0">
        <w:rPr>
          <w:rFonts w:eastAsiaTheme="minorHAnsi"/>
          <w:lang w:val="bs-Latn-BA"/>
        </w:rPr>
        <w:t>stopa na 10.000 stanovnika</w:t>
      </w:r>
    </w:p>
    <w:p w:rsidR="00A131AD" w:rsidRPr="00155F80" w:rsidRDefault="00793494" w:rsidP="000C0138">
      <w:pPr>
        <w:spacing w:line="276" w:lineRule="auto"/>
        <w:rPr>
          <w:rFonts w:ascii="Times New Roman" w:hAnsi="Times New Roman"/>
        </w:rPr>
      </w:pPr>
      <w:r>
        <w:rPr>
          <w:noProof/>
          <w:lang w:val="bs-Latn-BA" w:eastAsia="bs-Latn-BA"/>
        </w:rPr>
        <w:lastRenderedPageBreak/>
        <w:drawing>
          <wp:inline distT="0" distB="0" distL="0" distR="0" wp14:anchorId="3CFF40AA" wp14:editId="276092D9">
            <wp:extent cx="5686425" cy="1590675"/>
            <wp:effectExtent l="0" t="0" r="9525" b="9525"/>
            <wp:docPr id="109" name="Chart 109"/>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A131AD" w:rsidRDefault="00A131AD" w:rsidP="00993848">
      <w:pPr>
        <w:spacing w:line="276" w:lineRule="auto"/>
        <w:rPr>
          <w:rFonts w:ascii="Times New Roman" w:hAnsi="Times New Roman"/>
          <w:lang w:eastAsia="bs-Latn-BA"/>
        </w:rPr>
      </w:pPr>
      <w:r w:rsidRPr="00155F80">
        <w:rPr>
          <w:rFonts w:ascii="Times New Roman" w:hAnsi="Times New Roman"/>
          <w:lang w:eastAsia="bs-Latn-BA"/>
        </w:rPr>
        <w:t xml:space="preserve">Najčešći poremećaji mentalnog zdravlja u </w:t>
      </w:r>
      <w:r w:rsidR="00B85430">
        <w:rPr>
          <w:rFonts w:ascii="Times New Roman" w:hAnsi="Times New Roman"/>
          <w:lang w:eastAsia="bs-Latn-BA"/>
        </w:rPr>
        <w:t>razdoblju</w:t>
      </w:r>
      <w:r w:rsidRPr="00155F80">
        <w:rPr>
          <w:rFonts w:ascii="Times New Roman" w:hAnsi="Times New Roman"/>
          <w:lang w:eastAsia="bs-Latn-BA"/>
        </w:rPr>
        <w:t xml:space="preserve"> od 2010.</w:t>
      </w:r>
      <w:r w:rsidR="00B85430">
        <w:rPr>
          <w:rFonts w:ascii="Times New Roman" w:hAnsi="Times New Roman"/>
          <w:lang w:eastAsia="bs-Latn-BA"/>
        </w:rPr>
        <w:t xml:space="preserve"> do </w:t>
      </w:r>
      <w:r w:rsidRPr="00155F80">
        <w:rPr>
          <w:rFonts w:ascii="Times New Roman" w:hAnsi="Times New Roman"/>
          <w:lang w:eastAsia="bs-Latn-BA"/>
        </w:rPr>
        <w:t>2015. godine jesu neurotski, sa stresom povezani i somatski poremećaji (F40-F48) kod kojih se uočava blagi pad u 2015. godini, slijede poremećaji raspoloženja (F30-F39)</w:t>
      </w:r>
      <w:r w:rsidR="00D83848">
        <w:rPr>
          <w:rFonts w:ascii="Times New Roman" w:hAnsi="Times New Roman"/>
          <w:lang w:eastAsia="bs-Latn-BA"/>
        </w:rPr>
        <w:t xml:space="preserve"> koji su imali lagani porast</w:t>
      </w:r>
      <w:r w:rsidRPr="00155F80">
        <w:rPr>
          <w:rFonts w:ascii="Times New Roman" w:hAnsi="Times New Roman"/>
          <w:lang w:eastAsia="bs-Latn-BA"/>
        </w:rPr>
        <w:t xml:space="preserve">, na trećem mjestu su shizofrenija, shizotipalni i sumanuti poremećaji te drugi mentalni poremećaji i poremećaji ponašanja.  </w:t>
      </w:r>
    </w:p>
    <w:p w:rsidR="00993848" w:rsidRPr="00155F80" w:rsidRDefault="00993848" w:rsidP="00993848">
      <w:pPr>
        <w:spacing w:line="276" w:lineRule="auto"/>
        <w:rPr>
          <w:rFonts w:ascii="Times New Roman" w:hAnsi="Times New Roman"/>
          <w:lang w:eastAsia="bs-Latn-BA"/>
        </w:rPr>
      </w:pPr>
    </w:p>
    <w:p w:rsidR="00A131AD" w:rsidRPr="00155F80" w:rsidRDefault="00A131AD" w:rsidP="00EB7CC7">
      <w:pPr>
        <w:pStyle w:val="refererere"/>
        <w:rPr>
          <w:lang w:eastAsia="bs-Latn-BA"/>
        </w:rPr>
      </w:pPr>
      <w:r w:rsidRPr="005861C0">
        <w:rPr>
          <w:lang w:eastAsia="bs-Latn-BA"/>
        </w:rPr>
        <w:t xml:space="preserve">Grafikon 39: Vodeći mentalni poremećaji i poremećaji ponašanja </w:t>
      </w:r>
      <w:r w:rsidR="00590EC7" w:rsidRPr="005861C0">
        <w:rPr>
          <w:lang w:eastAsia="bs-Latn-BA"/>
        </w:rPr>
        <w:t xml:space="preserve">u Federaciji BiH </w:t>
      </w:r>
      <w:r w:rsidRPr="005861C0">
        <w:rPr>
          <w:lang w:eastAsia="bs-Latn-BA"/>
        </w:rPr>
        <w:t xml:space="preserve">za ukupno stanovništvo, </w:t>
      </w:r>
      <w:r w:rsidR="00B85430">
        <w:rPr>
          <w:lang w:eastAsia="bs-Latn-BA"/>
        </w:rPr>
        <w:t>razdoblje</w:t>
      </w:r>
      <w:r w:rsidR="007F4C6B" w:rsidRPr="005861C0">
        <w:rPr>
          <w:lang w:eastAsia="bs-Latn-BA"/>
        </w:rPr>
        <w:t xml:space="preserve"> </w:t>
      </w:r>
      <w:r w:rsidRPr="005861C0">
        <w:rPr>
          <w:lang w:eastAsia="bs-Latn-BA"/>
        </w:rPr>
        <w:t xml:space="preserve">2010.-2015.godina, </w:t>
      </w:r>
      <w:r w:rsidRPr="005861C0">
        <w:rPr>
          <w:rFonts w:eastAsiaTheme="minorHAnsi"/>
          <w:lang w:val="bs-Latn-BA"/>
        </w:rPr>
        <w:t>stopa na 10.000 stanovnika</w:t>
      </w:r>
    </w:p>
    <w:p w:rsidR="00A131AD" w:rsidRPr="00155F80" w:rsidRDefault="00C52177" w:rsidP="000C0138">
      <w:pPr>
        <w:spacing w:line="276" w:lineRule="auto"/>
        <w:rPr>
          <w:rFonts w:ascii="Times New Roman" w:hAnsi="Times New Roman"/>
        </w:rPr>
      </w:pPr>
      <w:r>
        <w:rPr>
          <w:noProof/>
          <w:lang w:val="bs-Latn-BA" w:eastAsia="bs-Latn-BA"/>
        </w:rPr>
        <w:drawing>
          <wp:inline distT="0" distB="0" distL="0" distR="0" wp14:anchorId="3EEE678C" wp14:editId="5B074218">
            <wp:extent cx="5734050" cy="2362200"/>
            <wp:effectExtent l="0" t="0" r="0" b="0"/>
            <wp:docPr id="112" name="Chart 112"/>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A131AD" w:rsidRPr="00155F80" w:rsidRDefault="00A131AD" w:rsidP="000C0138">
      <w:pPr>
        <w:spacing w:line="276" w:lineRule="auto"/>
        <w:rPr>
          <w:rFonts w:ascii="Times New Roman" w:hAnsi="Times New Roman"/>
        </w:rPr>
      </w:pPr>
    </w:p>
    <w:p w:rsidR="00EB7CC7" w:rsidRPr="00155F80" w:rsidRDefault="00A131AD" w:rsidP="000C0138">
      <w:pPr>
        <w:spacing w:line="276" w:lineRule="auto"/>
        <w:rPr>
          <w:rFonts w:ascii="Times New Roman" w:hAnsi="Times New Roman"/>
        </w:rPr>
      </w:pPr>
      <w:r w:rsidRPr="00155F80">
        <w:rPr>
          <w:rFonts w:ascii="Times New Roman" w:hAnsi="Times New Roman"/>
        </w:rPr>
        <w:t xml:space="preserve">U starosnoj grupi 7-18 godina u promatranom </w:t>
      </w:r>
      <w:r w:rsidR="00B85430">
        <w:rPr>
          <w:rFonts w:ascii="Times New Roman" w:hAnsi="Times New Roman"/>
        </w:rPr>
        <w:t>razdoblju</w:t>
      </w:r>
      <w:r w:rsidRPr="00155F80">
        <w:rPr>
          <w:rFonts w:ascii="Times New Roman" w:hAnsi="Times New Roman"/>
        </w:rPr>
        <w:t xml:space="preserve"> vodeći mentalni poremećaji jesu drugi mentalni poremećaji i poremećaji ponašanja (F04-F09, F50-F69, F80-F99)</w:t>
      </w:r>
      <w:r w:rsidR="00D83848">
        <w:rPr>
          <w:rFonts w:ascii="Times New Roman" w:hAnsi="Times New Roman"/>
        </w:rPr>
        <w:t xml:space="preserve"> sa laganim trendom porasta</w:t>
      </w:r>
      <w:r w:rsidRPr="00155F80">
        <w:rPr>
          <w:rFonts w:ascii="Times New Roman" w:hAnsi="Times New Roman"/>
        </w:rPr>
        <w:t>, na drugom mjestu su neurotski, sa stresom povezani i somatski poremećaji (F40-F48), te poremećaji raspoloženja (F30-F39). U 2011. i 2012.</w:t>
      </w:r>
      <w:r w:rsidR="00D83848">
        <w:rPr>
          <w:rFonts w:ascii="Times New Roman" w:hAnsi="Times New Roman"/>
        </w:rPr>
        <w:t xml:space="preserve"> g</w:t>
      </w:r>
      <w:r w:rsidRPr="00155F80">
        <w:rPr>
          <w:rFonts w:ascii="Times New Roman" w:hAnsi="Times New Roman"/>
        </w:rPr>
        <w:t>od</w:t>
      </w:r>
      <w:r w:rsidR="00D83848">
        <w:rPr>
          <w:rFonts w:ascii="Times New Roman" w:hAnsi="Times New Roman"/>
        </w:rPr>
        <w:t>ini, među vodećim</w:t>
      </w:r>
      <w:r w:rsidRPr="00155F80">
        <w:rPr>
          <w:rFonts w:ascii="Times New Roman" w:hAnsi="Times New Roman"/>
        </w:rPr>
        <w:t xml:space="preserve"> </w:t>
      </w:r>
      <w:r w:rsidR="00D83848">
        <w:rPr>
          <w:rFonts w:ascii="Times New Roman" w:hAnsi="Times New Roman"/>
        </w:rPr>
        <w:t xml:space="preserve">oboljenjima su bili </w:t>
      </w:r>
      <w:r w:rsidRPr="00155F80">
        <w:rPr>
          <w:rFonts w:ascii="Times New Roman" w:hAnsi="Times New Roman"/>
        </w:rPr>
        <w:t>mentalni poremećaji ponašanja uzrokovani alkoholom (F10).</w:t>
      </w:r>
    </w:p>
    <w:p w:rsidR="00A131AD" w:rsidRPr="00155F80" w:rsidRDefault="00A131AD" w:rsidP="000C0138">
      <w:pPr>
        <w:spacing w:line="276" w:lineRule="auto"/>
        <w:rPr>
          <w:rFonts w:ascii="Times New Roman" w:hAnsi="Times New Roman"/>
          <w:color w:val="000000"/>
          <w:lang w:eastAsia="bs-Latn-BA"/>
        </w:rPr>
      </w:pPr>
    </w:p>
    <w:p w:rsidR="00A131AD" w:rsidRPr="00155F80" w:rsidRDefault="00A131AD" w:rsidP="00EB7CC7">
      <w:pPr>
        <w:pStyle w:val="refererere"/>
        <w:rPr>
          <w:lang w:eastAsia="bs-Latn-BA"/>
        </w:rPr>
      </w:pPr>
      <w:r w:rsidRPr="00D83848">
        <w:rPr>
          <w:lang w:eastAsia="bs-Latn-BA"/>
        </w:rPr>
        <w:t>Grafikon 40: Vodeći mentalni po</w:t>
      </w:r>
      <w:r w:rsidR="00937B79" w:rsidRPr="00D83848">
        <w:rPr>
          <w:lang w:eastAsia="bs-Latn-BA"/>
        </w:rPr>
        <w:t>remećaji i poremećaji ponašanja</w:t>
      </w:r>
      <w:r w:rsidRPr="00D83848">
        <w:rPr>
          <w:lang w:eastAsia="bs-Latn-BA"/>
        </w:rPr>
        <w:t xml:space="preserve"> za </w:t>
      </w:r>
      <w:r w:rsidR="00B85430">
        <w:rPr>
          <w:lang w:eastAsia="bs-Latn-BA"/>
        </w:rPr>
        <w:t>razdoblje</w:t>
      </w:r>
      <w:r w:rsidRPr="00D83848">
        <w:rPr>
          <w:lang w:eastAsia="bs-Latn-BA"/>
        </w:rPr>
        <w:t xml:space="preserve"> 2010.-2015.godina, starosna </w:t>
      </w:r>
      <w:r w:rsidR="00B4366E" w:rsidRPr="00D83848">
        <w:rPr>
          <w:lang w:eastAsia="bs-Latn-BA"/>
        </w:rPr>
        <w:t xml:space="preserve">  </w:t>
      </w:r>
      <w:r w:rsidRPr="00D83848">
        <w:rPr>
          <w:lang w:eastAsia="bs-Latn-BA"/>
        </w:rPr>
        <w:t xml:space="preserve">grupa od 7-18 godina, </w:t>
      </w:r>
      <w:r w:rsidRPr="00D83848">
        <w:rPr>
          <w:rFonts w:eastAsiaTheme="minorHAnsi"/>
          <w:lang w:val="bs-Latn-BA"/>
        </w:rPr>
        <w:t xml:space="preserve">stopa na 10.000 </w:t>
      </w:r>
      <w:r w:rsidR="00590EC7" w:rsidRPr="00D83848">
        <w:rPr>
          <w:rFonts w:eastAsiaTheme="minorHAnsi"/>
          <w:lang w:val="bs-Latn-BA"/>
        </w:rPr>
        <w:t>stanovnika</w:t>
      </w:r>
    </w:p>
    <w:p w:rsidR="00A131AD" w:rsidRPr="00155F80" w:rsidRDefault="00C52177" w:rsidP="000C0138">
      <w:pPr>
        <w:spacing w:line="276" w:lineRule="auto"/>
        <w:rPr>
          <w:rFonts w:ascii="Times New Roman" w:hAnsi="Times New Roman"/>
        </w:rPr>
      </w:pPr>
      <w:r>
        <w:rPr>
          <w:noProof/>
          <w:lang w:val="bs-Latn-BA" w:eastAsia="bs-Latn-BA"/>
        </w:rPr>
        <w:lastRenderedPageBreak/>
        <w:drawing>
          <wp:inline distT="0" distB="0" distL="0" distR="0" wp14:anchorId="407F8390" wp14:editId="76E6F3EA">
            <wp:extent cx="5734050" cy="2238375"/>
            <wp:effectExtent l="0" t="0" r="0" b="9525"/>
            <wp:docPr id="113" name="Chart 113"/>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A131AD" w:rsidRPr="00155F80" w:rsidRDefault="00A131AD" w:rsidP="000C0138">
      <w:pPr>
        <w:spacing w:line="276" w:lineRule="auto"/>
        <w:rPr>
          <w:rFonts w:ascii="Times New Roman" w:hAnsi="Times New Roman"/>
        </w:rPr>
      </w:pPr>
    </w:p>
    <w:p w:rsidR="00A131AD" w:rsidRDefault="00A131AD" w:rsidP="00993848">
      <w:pPr>
        <w:spacing w:line="276" w:lineRule="auto"/>
        <w:rPr>
          <w:rFonts w:ascii="Times New Roman" w:hAnsi="Times New Roman"/>
        </w:rPr>
      </w:pPr>
      <w:r w:rsidRPr="00155F80">
        <w:rPr>
          <w:rFonts w:ascii="Times New Roman" w:hAnsi="Times New Roman"/>
        </w:rPr>
        <w:t xml:space="preserve">Neurotski, sa stresom povezani i somatski poremećaji (F40-F48) su najučestaliji mentalni poremećaji u starosnoj grupi od 19-64 godine. Iza ovih poremećaja slijede poremećaji raspoloženja koji su u konstantnom rastu, </w:t>
      </w:r>
      <w:r w:rsidR="00D83848">
        <w:rPr>
          <w:rFonts w:ascii="Times New Roman" w:hAnsi="Times New Roman"/>
        </w:rPr>
        <w:t xml:space="preserve">slijedi </w:t>
      </w:r>
      <w:r w:rsidRPr="00155F80">
        <w:rPr>
          <w:rFonts w:ascii="Times New Roman" w:hAnsi="Times New Roman"/>
        </w:rPr>
        <w:t>shizofrenija, shizotipalni i sumanuti poremećaji (F20-F29)</w:t>
      </w:r>
      <w:r w:rsidR="00D83848">
        <w:rPr>
          <w:rFonts w:ascii="Times New Roman" w:hAnsi="Times New Roman"/>
        </w:rPr>
        <w:t>, na četvrtom mjestu su</w:t>
      </w:r>
      <w:r w:rsidRPr="00155F80">
        <w:rPr>
          <w:rFonts w:ascii="Times New Roman" w:hAnsi="Times New Roman"/>
        </w:rPr>
        <w:t xml:space="preserve"> drugi mentalni poremećaji i poremećaji ponaš</w:t>
      </w:r>
      <w:r w:rsidR="00D83848">
        <w:rPr>
          <w:rFonts w:ascii="Times New Roman" w:hAnsi="Times New Roman"/>
        </w:rPr>
        <w:t>anja (F04-F09,F50-F69, F80-F99), a na petom mentalni poremećaji ponašanja uzrokovani alkoholom (F10).</w:t>
      </w:r>
    </w:p>
    <w:p w:rsidR="00284F26" w:rsidRDefault="00284F26" w:rsidP="00993848">
      <w:pPr>
        <w:spacing w:line="276" w:lineRule="auto"/>
        <w:rPr>
          <w:rFonts w:ascii="Times New Roman" w:hAnsi="Times New Roman"/>
        </w:rPr>
      </w:pPr>
    </w:p>
    <w:p w:rsidR="00A131AD" w:rsidRPr="00155F80" w:rsidRDefault="00A131AD" w:rsidP="00EB7CC7">
      <w:pPr>
        <w:pStyle w:val="refererere"/>
        <w:rPr>
          <w:lang w:eastAsia="bs-Latn-BA"/>
        </w:rPr>
      </w:pPr>
      <w:r w:rsidRPr="00A22138">
        <w:rPr>
          <w:lang w:eastAsia="bs-Latn-BA"/>
        </w:rPr>
        <w:t>Grafikon 41: Vodeći mentalni poremećaji i poremećaji ponašanja</w:t>
      </w:r>
      <w:r w:rsidR="00D83848" w:rsidRPr="00A22138">
        <w:rPr>
          <w:lang w:eastAsia="bs-Latn-BA"/>
        </w:rPr>
        <w:t xml:space="preserve"> u starosnoj grupi od 19-64 god</w:t>
      </w:r>
      <w:r w:rsidRPr="00A22138">
        <w:rPr>
          <w:lang w:eastAsia="bs-Latn-BA"/>
        </w:rPr>
        <w:t xml:space="preserve">ina, </w:t>
      </w:r>
      <w:r w:rsidR="00EB7CC7" w:rsidRPr="00A22138">
        <w:rPr>
          <w:lang w:eastAsia="bs-Latn-BA"/>
        </w:rPr>
        <w:t xml:space="preserve">        </w:t>
      </w:r>
      <w:r w:rsidR="00EB7CC7" w:rsidRPr="00A22138">
        <w:rPr>
          <w:lang w:eastAsia="bs-Latn-BA"/>
        </w:rPr>
        <w:br/>
        <w:t xml:space="preserve"> </w:t>
      </w:r>
      <w:r w:rsidRPr="00A22138">
        <w:rPr>
          <w:lang w:eastAsia="bs-Latn-BA"/>
        </w:rPr>
        <w:t xml:space="preserve">za </w:t>
      </w:r>
      <w:r w:rsidR="00A6044F">
        <w:rPr>
          <w:lang w:eastAsia="bs-Latn-BA"/>
        </w:rPr>
        <w:t>razdoblje</w:t>
      </w:r>
      <w:r w:rsidRPr="00A22138">
        <w:rPr>
          <w:lang w:eastAsia="bs-Latn-BA"/>
        </w:rPr>
        <w:t xml:space="preserve"> 2010.- 2015.godina, </w:t>
      </w:r>
      <w:r w:rsidRPr="00A22138">
        <w:rPr>
          <w:rFonts w:eastAsiaTheme="minorHAnsi"/>
          <w:lang w:val="bs-Latn-BA"/>
        </w:rPr>
        <w:t>stopa na 10.000 stanovnika</w:t>
      </w:r>
    </w:p>
    <w:p w:rsidR="00A131AD" w:rsidRPr="00155F80" w:rsidRDefault="00C52177" w:rsidP="000C0138">
      <w:pPr>
        <w:spacing w:line="276" w:lineRule="auto"/>
        <w:rPr>
          <w:rFonts w:ascii="Times New Roman" w:hAnsi="Times New Roman"/>
        </w:rPr>
      </w:pPr>
      <w:r>
        <w:rPr>
          <w:noProof/>
          <w:lang w:val="bs-Latn-BA" w:eastAsia="bs-Latn-BA"/>
        </w:rPr>
        <w:drawing>
          <wp:inline distT="0" distB="0" distL="0" distR="0" wp14:anchorId="15285896" wp14:editId="47DB40A4">
            <wp:extent cx="5734050" cy="2190750"/>
            <wp:effectExtent l="0" t="0" r="0" b="0"/>
            <wp:docPr id="114" name="Chart 114"/>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A131AD" w:rsidRPr="00155F80" w:rsidRDefault="00A131AD" w:rsidP="000C0138">
      <w:pPr>
        <w:spacing w:line="276" w:lineRule="auto"/>
        <w:rPr>
          <w:rFonts w:ascii="Times New Roman" w:hAnsi="Times New Roman"/>
          <w:color w:val="000000"/>
          <w:lang w:eastAsia="bs-Latn-BA"/>
        </w:rPr>
      </w:pPr>
    </w:p>
    <w:p w:rsidR="00993848" w:rsidRDefault="00A131AD" w:rsidP="000C0138">
      <w:pPr>
        <w:spacing w:line="276" w:lineRule="auto"/>
        <w:rPr>
          <w:rFonts w:ascii="Times New Roman" w:hAnsi="Times New Roman"/>
          <w:lang w:eastAsia="bs-Latn-BA"/>
        </w:rPr>
      </w:pPr>
      <w:r w:rsidRPr="00155F80">
        <w:rPr>
          <w:rFonts w:ascii="Times New Roman" w:hAnsi="Times New Roman"/>
          <w:lang w:eastAsia="bs-Latn-BA"/>
        </w:rPr>
        <w:t>Sličan poredak vodećih mentalnih oboljenja je i u starosnoj grupi iznad 65 godina u kojoj su svi poremećaji u porastu, međutim kao i kod prethodnih grupa, uočava se pad stope u 2015. godini. Na petom mjestu po učestalosti u ovoj starosnoj grupi se pojavljuje</w:t>
      </w:r>
      <w:r w:rsidR="00D83848">
        <w:rPr>
          <w:rFonts w:ascii="Times New Roman" w:hAnsi="Times New Roman"/>
          <w:lang w:eastAsia="bs-Latn-BA"/>
        </w:rPr>
        <w:t xml:space="preserve">  demencija (F00-F03), koja bilježi lagani porast što je posljedica starenja stanovništva.</w:t>
      </w:r>
    </w:p>
    <w:p w:rsidR="00993848" w:rsidRDefault="00993848" w:rsidP="000C0138">
      <w:pPr>
        <w:spacing w:line="276" w:lineRule="auto"/>
        <w:rPr>
          <w:rFonts w:ascii="Times New Roman" w:hAnsi="Times New Roman"/>
          <w:lang w:eastAsia="bs-Latn-BA"/>
        </w:rPr>
      </w:pPr>
    </w:p>
    <w:p w:rsidR="00A131AD" w:rsidRPr="00155F80" w:rsidRDefault="00A131AD" w:rsidP="00EB7CC7">
      <w:pPr>
        <w:pStyle w:val="refererere"/>
        <w:rPr>
          <w:color w:val="000000"/>
          <w:lang w:eastAsia="bs-Latn-BA"/>
        </w:rPr>
      </w:pPr>
      <w:r w:rsidRPr="0067516B">
        <w:rPr>
          <w:lang w:eastAsia="bs-Latn-BA"/>
        </w:rPr>
        <w:t>Grafikon 42: Vodeći mentalni poremećaji i poremećaji ponašanja u</w:t>
      </w:r>
      <w:r w:rsidR="00EB7CC7" w:rsidRPr="0067516B">
        <w:rPr>
          <w:lang w:eastAsia="bs-Latn-BA"/>
        </w:rPr>
        <w:t xml:space="preserve"> starosnoj grupi 65+, za </w:t>
      </w:r>
      <w:r w:rsidR="00A6044F">
        <w:rPr>
          <w:lang w:eastAsia="bs-Latn-BA"/>
        </w:rPr>
        <w:t>razdoblje</w:t>
      </w:r>
      <w:r w:rsidR="00EB7CC7" w:rsidRPr="0067516B">
        <w:rPr>
          <w:color w:val="000000"/>
          <w:lang w:eastAsia="bs-Latn-BA"/>
        </w:rPr>
        <w:t xml:space="preserve"> </w:t>
      </w:r>
      <w:r w:rsidRPr="0067516B">
        <w:rPr>
          <w:color w:val="000000"/>
          <w:lang w:eastAsia="bs-Latn-BA"/>
        </w:rPr>
        <w:t xml:space="preserve">2010.-2015.godina, </w:t>
      </w:r>
      <w:r w:rsidRPr="0067516B">
        <w:rPr>
          <w:rFonts w:eastAsiaTheme="minorHAnsi"/>
          <w:lang w:val="bs-Latn-BA"/>
        </w:rPr>
        <w:t>stopa na 10.000 stanovnika</w:t>
      </w:r>
    </w:p>
    <w:p w:rsidR="00A131AD" w:rsidRPr="00155F80" w:rsidRDefault="00C52177" w:rsidP="000C0138">
      <w:pPr>
        <w:spacing w:line="276" w:lineRule="auto"/>
        <w:rPr>
          <w:rFonts w:ascii="Times New Roman" w:hAnsi="Times New Roman"/>
          <w:color w:val="000000"/>
          <w:lang w:eastAsia="bs-Latn-BA"/>
        </w:rPr>
      </w:pPr>
      <w:r>
        <w:rPr>
          <w:noProof/>
          <w:lang w:val="bs-Latn-BA" w:eastAsia="bs-Latn-BA"/>
        </w:rPr>
        <w:lastRenderedPageBreak/>
        <w:drawing>
          <wp:inline distT="0" distB="0" distL="0" distR="0" wp14:anchorId="414BBEBA" wp14:editId="11E0B5AC">
            <wp:extent cx="5772150" cy="2238375"/>
            <wp:effectExtent l="0" t="0" r="0" b="9525"/>
            <wp:docPr id="115" name="Chart 115"/>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A131AD" w:rsidRPr="00155F80" w:rsidRDefault="00A131AD" w:rsidP="000C0138">
      <w:pPr>
        <w:tabs>
          <w:tab w:val="left" w:pos="550"/>
        </w:tabs>
        <w:spacing w:before="120" w:line="276" w:lineRule="auto"/>
        <w:rPr>
          <w:rFonts w:ascii="Times New Roman" w:hAnsi="Times New Roman"/>
          <w:noProof/>
          <w:highlight w:val="yellow"/>
          <w:lang w:val="bs-Latn-BA"/>
        </w:rPr>
      </w:pPr>
    </w:p>
    <w:p w:rsidR="00A131AD" w:rsidRPr="00155F80" w:rsidRDefault="00A06016" w:rsidP="004164E4">
      <w:pPr>
        <w:pStyle w:val="Poglavlje3"/>
        <w:rPr>
          <w:noProof/>
          <w:lang w:val="bs-Latn-BA"/>
        </w:rPr>
      </w:pPr>
      <w:bookmarkStart w:id="25" w:name="_Toc456095913"/>
      <w:r>
        <w:rPr>
          <w:noProof/>
          <w:lang w:val="bs-Latn-BA"/>
        </w:rPr>
        <w:t xml:space="preserve">3.2.2 </w:t>
      </w:r>
      <w:r w:rsidR="00A131AD" w:rsidRPr="00155F80">
        <w:rPr>
          <w:noProof/>
          <w:lang w:val="bs-Latn-BA"/>
        </w:rPr>
        <w:t xml:space="preserve">Zarazne bolesti i </w:t>
      </w:r>
      <w:bookmarkEnd w:id="25"/>
      <w:r w:rsidR="00A6044F">
        <w:rPr>
          <w:noProof/>
          <w:lang w:val="bs-Latn-BA"/>
        </w:rPr>
        <w:t>cijepljenje</w:t>
      </w:r>
    </w:p>
    <w:p w:rsidR="00A131AD" w:rsidRPr="00155F80" w:rsidRDefault="00A131AD" w:rsidP="000C0138">
      <w:pPr>
        <w:spacing w:line="276" w:lineRule="auto"/>
        <w:rPr>
          <w:rFonts w:ascii="Times New Roman" w:hAnsi="Times New Roman"/>
          <w:b/>
        </w:rPr>
      </w:pPr>
    </w:p>
    <w:p w:rsidR="00A131AD" w:rsidRPr="00155F80" w:rsidRDefault="00A131AD" w:rsidP="000C0138">
      <w:pPr>
        <w:spacing w:line="276" w:lineRule="auto"/>
        <w:rPr>
          <w:rFonts w:ascii="Times New Roman" w:hAnsi="Times New Roman"/>
          <w:b/>
          <w:lang w:val="bs-Latn-BA" w:eastAsia="bs-Latn-BA"/>
        </w:rPr>
      </w:pPr>
      <w:r w:rsidRPr="00155F80">
        <w:rPr>
          <w:rFonts w:ascii="Times New Roman" w:hAnsi="Times New Roman"/>
          <w:b/>
        </w:rPr>
        <w:t xml:space="preserve">Zarazne bolesti </w:t>
      </w:r>
    </w:p>
    <w:p w:rsidR="00A131AD" w:rsidRPr="00155F80" w:rsidRDefault="00A131AD" w:rsidP="000C0138">
      <w:pPr>
        <w:pStyle w:val="Caption"/>
        <w:spacing w:line="276" w:lineRule="auto"/>
        <w:rPr>
          <w:rStyle w:val="Strong"/>
          <w:sz w:val="22"/>
          <w:szCs w:val="22"/>
        </w:rPr>
      </w:pPr>
    </w:p>
    <w:p w:rsidR="00A131AD" w:rsidRPr="00155F80" w:rsidRDefault="00A131AD" w:rsidP="00284F26">
      <w:pPr>
        <w:pStyle w:val="Caption"/>
        <w:spacing w:line="276" w:lineRule="auto"/>
        <w:rPr>
          <w:rFonts w:ascii="Times New Roman" w:hAnsi="Times New Roman"/>
        </w:rPr>
      </w:pPr>
      <w:r w:rsidRPr="00155F80">
        <w:rPr>
          <w:rStyle w:val="Strong"/>
          <w:sz w:val="22"/>
          <w:szCs w:val="22"/>
        </w:rPr>
        <w:t>Godišnj</w:t>
      </w:r>
      <w:r w:rsidR="00A6044F">
        <w:rPr>
          <w:rStyle w:val="Strong"/>
          <w:sz w:val="22"/>
          <w:szCs w:val="22"/>
        </w:rPr>
        <w:t>e</w:t>
      </w:r>
      <w:r w:rsidRPr="00155F80">
        <w:rPr>
          <w:rStyle w:val="Strong"/>
          <w:sz w:val="22"/>
          <w:szCs w:val="22"/>
        </w:rPr>
        <w:t xml:space="preserve"> izvješ</w:t>
      </w:r>
      <w:r w:rsidR="00A6044F">
        <w:rPr>
          <w:rStyle w:val="Strong"/>
          <w:sz w:val="22"/>
          <w:szCs w:val="22"/>
        </w:rPr>
        <w:t xml:space="preserve">će </w:t>
      </w:r>
      <w:r w:rsidRPr="00155F80">
        <w:rPr>
          <w:rStyle w:val="Strong"/>
          <w:sz w:val="22"/>
          <w:szCs w:val="22"/>
        </w:rPr>
        <w:t xml:space="preserve">o kretanju zaraznih bolesti i provedbi programa obveznog cijepljenja djece u Federaciji Bosne i Hercegovine, predstavlja analizu </w:t>
      </w:r>
      <w:r w:rsidR="00A6044F">
        <w:rPr>
          <w:rStyle w:val="Strong"/>
          <w:sz w:val="22"/>
          <w:szCs w:val="22"/>
        </w:rPr>
        <w:t>tjednih</w:t>
      </w:r>
      <w:r w:rsidRPr="00155F80">
        <w:rPr>
          <w:rStyle w:val="Strong"/>
          <w:sz w:val="22"/>
          <w:szCs w:val="22"/>
        </w:rPr>
        <w:t>, mjesečnih i godišnjih izvješ</w:t>
      </w:r>
      <w:r w:rsidR="00A6044F">
        <w:rPr>
          <w:rStyle w:val="Strong"/>
          <w:sz w:val="22"/>
          <w:szCs w:val="22"/>
        </w:rPr>
        <w:t>ća</w:t>
      </w:r>
      <w:r w:rsidRPr="00155F80">
        <w:rPr>
          <w:rStyle w:val="Strong"/>
          <w:sz w:val="22"/>
          <w:szCs w:val="22"/>
        </w:rPr>
        <w:t xml:space="preserve"> svih deset kantonalnih zavoda za javno zdravstvo, koji prijavljuju zarazne bolesti sukladno Zakonu o zaštiti </w:t>
      </w:r>
      <w:r w:rsidR="00A6044F">
        <w:rPr>
          <w:rStyle w:val="Strong"/>
          <w:sz w:val="22"/>
          <w:szCs w:val="22"/>
        </w:rPr>
        <w:t>pučanstva</w:t>
      </w:r>
      <w:r w:rsidRPr="00155F80">
        <w:rPr>
          <w:rStyle w:val="Strong"/>
          <w:sz w:val="22"/>
          <w:szCs w:val="22"/>
        </w:rPr>
        <w:t xml:space="preserve"> od zaraznih bolesti, Sl.n. FBiH br.29/05 i Pravilniku o načinu prijavljivanja zaraznih bolesti, Sl.n. FBiH br 101/12., i provode obvezni program imunizacije prema</w:t>
      </w:r>
      <w:r w:rsidRPr="00155F80">
        <w:rPr>
          <w:rFonts w:ascii="Times New Roman" w:hAnsi="Times New Roman" w:cs="Times New Roman"/>
          <w:sz w:val="22"/>
          <w:szCs w:val="22"/>
        </w:rPr>
        <w:t xml:space="preserve"> </w:t>
      </w:r>
      <w:r w:rsidRPr="00155F80">
        <w:rPr>
          <w:rFonts w:ascii="Times New Roman" w:hAnsi="Times New Roman" w:cs="Times New Roman"/>
          <w:b w:val="0"/>
          <w:sz w:val="22"/>
          <w:szCs w:val="22"/>
        </w:rPr>
        <w:t>Pravilniku o načinu provođenja obvezne imunizacije, imunoprofilakse i kemoprofilakse protiv zaraznih bolesti te o osobama koje se podvrgavaju toj obvezi („Službene novine Federacije BiH, br.22/07) i Naredbi o programu obveznih imunizacija stanovništva protiv zaraznih bolesti, koja se objavljuje svake godine, za tekuću godinu.</w:t>
      </w:r>
    </w:p>
    <w:p w:rsidR="00A131AD" w:rsidRPr="00155F80" w:rsidRDefault="00A131AD" w:rsidP="000C0138">
      <w:pPr>
        <w:spacing w:line="276" w:lineRule="auto"/>
        <w:rPr>
          <w:rFonts w:ascii="Times New Roman" w:hAnsi="Times New Roman"/>
        </w:rPr>
      </w:pPr>
      <w:r w:rsidRPr="00155F80">
        <w:rPr>
          <w:rStyle w:val="Strong"/>
          <w:b w:val="0"/>
        </w:rPr>
        <w:t>Cilj izvješ</w:t>
      </w:r>
      <w:r w:rsidR="00A6044F">
        <w:rPr>
          <w:rStyle w:val="Strong"/>
          <w:b w:val="0"/>
        </w:rPr>
        <w:t>ć</w:t>
      </w:r>
      <w:r w:rsidRPr="00155F80">
        <w:rPr>
          <w:rStyle w:val="Strong"/>
          <w:b w:val="0"/>
        </w:rPr>
        <w:t>a je sagledavanje epidemiološke situacije koja će biti ujedno“ informacija za akciju“. Na žalost</w:t>
      </w:r>
      <w:r w:rsidRPr="00155F80">
        <w:rPr>
          <w:rStyle w:val="Strong"/>
        </w:rPr>
        <w:t>, v</w:t>
      </w:r>
      <w:r w:rsidRPr="00155F80">
        <w:rPr>
          <w:rFonts w:ascii="Times New Roman" w:hAnsi="Times New Roman"/>
        </w:rPr>
        <w:t>ećina podataka o zaraznim bolestima odnosi se na pasivni nadzor, o</w:t>
      </w:r>
      <w:r w:rsidR="00DF5CCD">
        <w:rPr>
          <w:rFonts w:ascii="Times New Roman" w:hAnsi="Times New Roman"/>
        </w:rPr>
        <w:t>sim za gripu, za koju je uveden tzv</w:t>
      </w:r>
      <w:r w:rsidRPr="00155F80">
        <w:rPr>
          <w:rFonts w:ascii="Times New Roman" w:hAnsi="Times New Roman"/>
        </w:rPr>
        <w:t xml:space="preserve">. sentinel nadzor, respiratornu tuberkulozu i neke bolesti koje se mogu spriječiti </w:t>
      </w:r>
      <w:r w:rsidR="00A6044F">
        <w:rPr>
          <w:rFonts w:ascii="Times New Roman" w:hAnsi="Times New Roman"/>
        </w:rPr>
        <w:t xml:space="preserve">cjepivom, za koje se </w:t>
      </w:r>
      <w:r w:rsidRPr="00155F80">
        <w:rPr>
          <w:rFonts w:ascii="Times New Roman" w:hAnsi="Times New Roman"/>
        </w:rPr>
        <w:t xml:space="preserve">provodi aktivni nadzor, u sklopu programa Svjetske zdravstvene organizacije. U Federaciji Bosne i Hercegovine, kao i mnogim drugim zemljama, podprijavljivanje je jedan </w:t>
      </w:r>
      <w:r w:rsidR="00C60658">
        <w:rPr>
          <w:rFonts w:ascii="Times New Roman" w:hAnsi="Times New Roman"/>
        </w:rPr>
        <w:t>od problema u izvješ</w:t>
      </w:r>
      <w:r w:rsidR="00A6044F">
        <w:rPr>
          <w:rFonts w:ascii="Times New Roman" w:hAnsi="Times New Roman"/>
        </w:rPr>
        <w:t>ći</w:t>
      </w:r>
      <w:r w:rsidR="00C60658">
        <w:rPr>
          <w:rFonts w:ascii="Times New Roman" w:hAnsi="Times New Roman"/>
        </w:rPr>
        <w:t>vanju. Ne</w:t>
      </w:r>
      <w:r w:rsidRPr="00155F80">
        <w:rPr>
          <w:rFonts w:ascii="Times New Roman" w:hAnsi="Times New Roman"/>
        </w:rPr>
        <w:t>adekvatni laboratorijski kapaciteti, prijavljivanje oboljenja najč</w:t>
      </w:r>
      <w:r w:rsidR="00D50847">
        <w:rPr>
          <w:rFonts w:ascii="Times New Roman" w:hAnsi="Times New Roman"/>
        </w:rPr>
        <w:t xml:space="preserve">ešće na </w:t>
      </w:r>
      <w:r w:rsidR="00A6044F">
        <w:rPr>
          <w:rFonts w:ascii="Times New Roman" w:hAnsi="Times New Roman"/>
        </w:rPr>
        <w:t>temelju</w:t>
      </w:r>
      <w:r w:rsidR="00D50847">
        <w:rPr>
          <w:rFonts w:ascii="Times New Roman" w:hAnsi="Times New Roman"/>
        </w:rPr>
        <w:t xml:space="preserve"> kliničke slike,</w:t>
      </w:r>
      <w:r w:rsidRPr="00155F80">
        <w:rPr>
          <w:rFonts w:ascii="Times New Roman" w:hAnsi="Times New Roman"/>
        </w:rPr>
        <w:t xml:space="preserve"> dostavljanje poje</w:t>
      </w:r>
      <w:r w:rsidR="00D50847">
        <w:rPr>
          <w:rFonts w:ascii="Times New Roman" w:hAnsi="Times New Roman"/>
        </w:rPr>
        <w:t>dinačnih prijava sa nedovoljnim</w:t>
      </w:r>
      <w:r w:rsidRPr="00155F80">
        <w:rPr>
          <w:rFonts w:ascii="Times New Roman" w:hAnsi="Times New Roman"/>
        </w:rPr>
        <w:t xml:space="preserve"> poda</w:t>
      </w:r>
      <w:r w:rsidR="00A6044F">
        <w:rPr>
          <w:rFonts w:ascii="Times New Roman" w:hAnsi="Times New Roman"/>
        </w:rPr>
        <w:t>t</w:t>
      </w:r>
      <w:r w:rsidRPr="00155F80">
        <w:rPr>
          <w:rFonts w:ascii="Times New Roman" w:hAnsi="Times New Roman"/>
        </w:rPr>
        <w:t>cima, zbirno prijavljivanje zaraznih oboljenja, dobne skupine ne prate procjene stanovništva po dobi itd., sve su to problemi koji otežavaju analizu i realno sagledavanje epidemiološke situacije, definiranje programa i aktivnosti koje treba napraviti za prevenciju zaraznih bolesti.</w:t>
      </w:r>
    </w:p>
    <w:p w:rsidR="00A131AD" w:rsidRPr="00155F80" w:rsidRDefault="00A131AD" w:rsidP="000C0138">
      <w:pPr>
        <w:spacing w:line="276" w:lineRule="auto"/>
        <w:rPr>
          <w:rFonts w:ascii="Times New Roman" w:hAnsi="Times New Roman"/>
          <w:b/>
          <w:bCs/>
        </w:rPr>
      </w:pPr>
      <w:r w:rsidRPr="00155F80">
        <w:rPr>
          <w:rStyle w:val="Strong"/>
          <w:b w:val="0"/>
        </w:rPr>
        <w:t xml:space="preserve"> (U Nacrtu novog zakona o zaraznim bolestima, koji još nije prošao parlamentarnu proceduru, lista zaraznih oboljenja, kao i grupe oboljenja prilagođena je listi EU, te definicije slučaja za sve zarazne bolesti-koje su dio zahtjeva EU).</w:t>
      </w:r>
    </w:p>
    <w:p w:rsidR="00A131AD" w:rsidRPr="00155F80" w:rsidRDefault="00A131AD" w:rsidP="000C0138">
      <w:pPr>
        <w:spacing w:line="276" w:lineRule="auto"/>
        <w:rPr>
          <w:rStyle w:val="Strong"/>
          <w:b w:val="0"/>
        </w:rPr>
      </w:pPr>
    </w:p>
    <w:p w:rsidR="00A131AD" w:rsidRPr="00155F80" w:rsidRDefault="00A131AD" w:rsidP="000C0138">
      <w:pPr>
        <w:spacing w:line="276" w:lineRule="auto"/>
        <w:rPr>
          <w:rFonts w:ascii="Times New Roman" w:hAnsi="Times New Roman"/>
          <w:lang w:val="bs-Latn-BA" w:eastAsia="bs-Latn-BA"/>
        </w:rPr>
      </w:pPr>
      <w:r w:rsidRPr="00155F80">
        <w:rPr>
          <w:rStyle w:val="Strong"/>
          <w:b w:val="0"/>
        </w:rPr>
        <w:t>Zarazne bolesti su i dalje  od posebnog javno-zdravstvenog značaja, jer se pojavljuju nove zarazne bolesti, i onih za koje se vjerovalo da su iskorijenjene, a koje mogu zaprijetiti čovječanstvu,</w:t>
      </w:r>
      <w:r w:rsidRPr="00155F80">
        <w:rPr>
          <w:rFonts w:ascii="Times New Roman" w:hAnsi="Times New Roman"/>
          <w:color w:val="000000"/>
          <w:lang w:val="bs-Latn-BA" w:eastAsia="bs-Latn-BA"/>
        </w:rPr>
        <w:t xml:space="preserve"> jer su obično visoko kontagiozne, uzročnici visoko patogeni i vrlo često rezistentni na lijekove. Također, uzročnici ovih oboljenja se mogu koristiti u bioterorističke svrhe. Na</w:t>
      </w:r>
      <w:r w:rsidRPr="00155F80">
        <w:rPr>
          <w:rStyle w:val="Strong"/>
          <w:b w:val="0"/>
        </w:rPr>
        <w:t xml:space="preserve"> njihovu pojavu, održavanje i širenje, mogu utjecati brojni </w:t>
      </w:r>
      <w:r w:rsidR="00A6044F">
        <w:rPr>
          <w:rStyle w:val="Strong"/>
          <w:b w:val="0"/>
        </w:rPr>
        <w:t>čimbenici</w:t>
      </w:r>
      <w:r w:rsidRPr="00155F80">
        <w:rPr>
          <w:rStyle w:val="Strong"/>
          <w:b w:val="0"/>
        </w:rPr>
        <w:t xml:space="preserve">: demografski, klimatski, međunarodni promet, otpornost  mikroorganizama, promjene u navikama, ponašanju ljudi, </w:t>
      </w:r>
      <w:r w:rsidR="00A6044F">
        <w:rPr>
          <w:rStyle w:val="Strong"/>
          <w:b w:val="0"/>
        </w:rPr>
        <w:t>iz</w:t>
      </w:r>
      <w:r w:rsidRPr="00155F80">
        <w:rPr>
          <w:rStyle w:val="Strong"/>
          <w:b w:val="0"/>
        </w:rPr>
        <w:t>vanredna stanja</w:t>
      </w:r>
      <w:r w:rsidRPr="00155F80">
        <w:rPr>
          <w:rStyle w:val="Strong"/>
          <w:b w:val="0"/>
          <w:bCs w:val="0"/>
        </w:rPr>
        <w:t xml:space="preserve"> </w:t>
      </w:r>
      <w:r w:rsidRPr="00155F80">
        <w:rPr>
          <w:rStyle w:val="Strong"/>
          <w:b w:val="0"/>
        </w:rPr>
        <w:t xml:space="preserve">itd. Mnogi </w:t>
      </w:r>
      <w:r w:rsidR="00A6044F">
        <w:rPr>
          <w:rStyle w:val="Strong"/>
          <w:b w:val="0"/>
        </w:rPr>
        <w:t>čimbenici</w:t>
      </w:r>
      <w:r w:rsidRPr="00155F80">
        <w:rPr>
          <w:rStyle w:val="Strong"/>
          <w:b w:val="0"/>
        </w:rPr>
        <w:t xml:space="preserve"> rizika u</w:t>
      </w:r>
      <w:r w:rsidRPr="00155F80">
        <w:rPr>
          <w:rFonts w:ascii="Times New Roman" w:hAnsi="Times New Roman"/>
          <w:bCs/>
          <w:shd w:val="clear" w:color="auto" w:fill="FFFFFF"/>
        </w:rPr>
        <w:t xml:space="preserve"> Federaciji BiH mogu utjecati na pojavu i širenje zaraznih bolesti, koji se odgovarajućim mjerama moraju držati pod kontrolom.</w:t>
      </w:r>
      <w:r w:rsidR="00C60658">
        <w:rPr>
          <w:rFonts w:ascii="Times New Roman" w:hAnsi="Times New Roman"/>
          <w:lang w:val="bs-Latn-BA" w:eastAsia="bs-Latn-BA"/>
        </w:rPr>
        <w:t xml:space="preserve"> S</w:t>
      </w:r>
      <w:r w:rsidRPr="00155F80">
        <w:rPr>
          <w:rFonts w:ascii="Times New Roman" w:hAnsi="Times New Roman"/>
          <w:lang w:val="bs-Latn-BA" w:eastAsia="bs-Latn-BA"/>
        </w:rPr>
        <w:t>toga  prevencija i kontrola bolesti, spr</w:t>
      </w:r>
      <w:r w:rsidR="006816BD">
        <w:rPr>
          <w:rFonts w:ascii="Times New Roman" w:hAnsi="Times New Roman"/>
          <w:lang w:val="bs-Latn-BA" w:eastAsia="bs-Latn-BA"/>
        </w:rPr>
        <w:t>j</w:t>
      </w:r>
      <w:r w:rsidRPr="00155F80">
        <w:rPr>
          <w:rFonts w:ascii="Times New Roman" w:hAnsi="Times New Roman"/>
          <w:lang w:val="bs-Latn-BA" w:eastAsia="bs-Latn-BA"/>
        </w:rPr>
        <w:t xml:space="preserve">ečavanje invalidnosti i </w:t>
      </w:r>
      <w:r w:rsidRPr="00155F80">
        <w:rPr>
          <w:rFonts w:ascii="Times New Roman" w:hAnsi="Times New Roman"/>
          <w:lang w:val="bs-Latn-BA" w:eastAsia="bs-Latn-BA"/>
        </w:rPr>
        <w:lastRenderedPageBreak/>
        <w:t xml:space="preserve">smrti su glavni ciljevi </w:t>
      </w:r>
      <w:r w:rsidR="006816BD">
        <w:rPr>
          <w:rFonts w:ascii="Times New Roman" w:hAnsi="Times New Roman"/>
          <w:lang w:val="bs-Latn-BA" w:eastAsia="bs-Latn-BA"/>
        </w:rPr>
        <w:t>učinkovitog</w:t>
      </w:r>
      <w:r w:rsidRPr="00155F80">
        <w:rPr>
          <w:rFonts w:ascii="Times New Roman" w:hAnsi="Times New Roman"/>
          <w:lang w:val="bs-Latn-BA" w:eastAsia="bs-Latn-BA"/>
        </w:rPr>
        <w:t xml:space="preserve"> nadzora nad zaraznim bolestima. Aktivnosti epidemiološke službe Zavoda za javno zdravstvo Federacije BiH, uz rutinski nazor, su bile usmjerene prema tim zahtjevima.</w:t>
      </w:r>
    </w:p>
    <w:p w:rsidR="00A131AD" w:rsidRPr="00155F80" w:rsidRDefault="00A131AD" w:rsidP="000C0138">
      <w:pPr>
        <w:spacing w:line="276" w:lineRule="auto"/>
        <w:rPr>
          <w:rFonts w:ascii="Times New Roman" w:hAnsi="Times New Roman"/>
          <w:b/>
          <w:spacing w:val="-4"/>
          <w:lang w:val="sl-SI"/>
        </w:rPr>
      </w:pPr>
      <w:r w:rsidRPr="00155F80">
        <w:rPr>
          <w:rFonts w:ascii="Times New Roman" w:hAnsi="Times New Roman"/>
          <w:spacing w:val="-4"/>
          <w:lang w:val="sl-SI"/>
        </w:rPr>
        <w:t>Indikatori koji se koriste u ovom izvješ</w:t>
      </w:r>
      <w:r w:rsidR="006816BD">
        <w:rPr>
          <w:rFonts w:ascii="Times New Roman" w:hAnsi="Times New Roman"/>
          <w:spacing w:val="-4"/>
          <w:lang w:val="sl-SI"/>
        </w:rPr>
        <w:t>ćivanju</w:t>
      </w:r>
      <w:r w:rsidRPr="00155F80">
        <w:rPr>
          <w:rFonts w:ascii="Times New Roman" w:hAnsi="Times New Roman"/>
          <w:spacing w:val="-4"/>
          <w:lang w:val="sl-SI"/>
        </w:rPr>
        <w:t xml:space="preserve"> su sažetak s</w:t>
      </w:r>
      <w:r w:rsidR="006816BD">
        <w:rPr>
          <w:rFonts w:ascii="Times New Roman" w:hAnsi="Times New Roman"/>
          <w:spacing w:val="-4"/>
          <w:lang w:val="sl-SI"/>
        </w:rPr>
        <w:t>ustava</w:t>
      </w:r>
      <w:r w:rsidRPr="00155F80">
        <w:rPr>
          <w:rFonts w:ascii="Times New Roman" w:hAnsi="Times New Roman"/>
          <w:spacing w:val="-4"/>
          <w:lang w:val="sl-SI"/>
        </w:rPr>
        <w:t xml:space="preserve"> nadzora nad zaraznim bolestima u svih deset kantona Federacije Bosne i Hercegovine</w:t>
      </w:r>
      <w:r w:rsidRPr="00155F80">
        <w:rPr>
          <w:rFonts w:ascii="Times New Roman" w:hAnsi="Times New Roman"/>
          <w:b/>
          <w:spacing w:val="-4"/>
          <w:lang w:val="sl-SI"/>
        </w:rPr>
        <w:t>.</w:t>
      </w:r>
    </w:p>
    <w:p w:rsidR="00A131AD" w:rsidRPr="00155F80" w:rsidRDefault="00A131AD" w:rsidP="00284F26">
      <w:pPr>
        <w:spacing w:line="276" w:lineRule="auto"/>
        <w:rPr>
          <w:rFonts w:ascii="Times New Roman" w:hAnsi="Times New Roman"/>
          <w:lang w:val="sl-SI"/>
        </w:rPr>
      </w:pPr>
      <w:r w:rsidRPr="00155F80">
        <w:rPr>
          <w:rFonts w:ascii="Times New Roman" w:hAnsi="Times New Roman"/>
          <w:spacing w:val="-4"/>
          <w:lang w:val="sl-SI"/>
        </w:rPr>
        <w:t xml:space="preserve"> U 2015. godini, Zavodu za javno zdravstvo Federacije Bosne i Hercegovine je prijavljeno  ukupno 54.064 oboljelih od  zaraznih bolesti </w:t>
      </w:r>
      <w:r w:rsidR="00D50847">
        <w:rPr>
          <w:rFonts w:ascii="Times New Roman" w:hAnsi="Times New Roman"/>
          <w:lang w:val="sl-SI"/>
        </w:rPr>
        <w:t>(Mb 2316 %000),  više nego u 2014. godini (</w:t>
      </w:r>
      <w:r w:rsidRPr="00155F80">
        <w:rPr>
          <w:rFonts w:ascii="Times New Roman" w:hAnsi="Times New Roman"/>
          <w:lang w:val="sl-SI"/>
        </w:rPr>
        <w:t xml:space="preserve">broj oboljelih 49 840; Mb </w:t>
      </w:r>
      <w:r w:rsidRPr="00155F80">
        <w:rPr>
          <w:rFonts w:ascii="Times New Roman" w:hAnsi="Times New Roman"/>
          <w:bCs/>
          <w:lang w:val="sl-SI"/>
        </w:rPr>
        <w:t xml:space="preserve">2132,9 </w:t>
      </w:r>
      <w:r w:rsidRPr="00155F80">
        <w:rPr>
          <w:rFonts w:ascii="Times New Roman" w:hAnsi="Times New Roman"/>
          <w:lang w:val="sl-SI"/>
        </w:rPr>
        <w:t>%000</w:t>
      </w:r>
      <w:r w:rsidRPr="00155F80">
        <w:rPr>
          <w:rFonts w:ascii="Times New Roman" w:hAnsi="Times New Roman"/>
          <w:bCs/>
          <w:lang w:val="sl-SI"/>
        </w:rPr>
        <w:t>)</w:t>
      </w:r>
      <w:r w:rsidRPr="00155F80">
        <w:rPr>
          <w:rFonts w:ascii="Times New Roman" w:hAnsi="Times New Roman"/>
          <w:lang w:val="sl-SI"/>
        </w:rPr>
        <w:t xml:space="preserve">.   </w:t>
      </w:r>
    </w:p>
    <w:p w:rsidR="00A131AD" w:rsidRDefault="00A131AD" w:rsidP="00834139">
      <w:pPr>
        <w:spacing w:line="276" w:lineRule="auto"/>
        <w:rPr>
          <w:rFonts w:ascii="Times New Roman" w:hAnsi="Times New Roman"/>
          <w:b/>
          <w:spacing w:val="-4"/>
          <w:lang w:val="sl-SI"/>
        </w:rPr>
      </w:pPr>
      <w:r w:rsidRPr="00155F80">
        <w:rPr>
          <w:rFonts w:ascii="Times New Roman" w:hAnsi="Times New Roman"/>
          <w:lang w:val="sl-SI"/>
        </w:rPr>
        <w:t>U razdoblju od 2011</w:t>
      </w:r>
      <w:r w:rsidR="00C60658">
        <w:rPr>
          <w:rFonts w:ascii="Times New Roman" w:hAnsi="Times New Roman"/>
          <w:lang w:val="sl-SI"/>
        </w:rPr>
        <w:t>.</w:t>
      </w:r>
      <w:r w:rsidR="006816BD">
        <w:rPr>
          <w:rFonts w:ascii="Times New Roman" w:hAnsi="Times New Roman"/>
          <w:lang w:val="sl-SI"/>
        </w:rPr>
        <w:t xml:space="preserve"> do </w:t>
      </w:r>
      <w:r w:rsidRPr="00155F80">
        <w:rPr>
          <w:rFonts w:ascii="Times New Roman" w:hAnsi="Times New Roman"/>
          <w:lang w:val="sl-SI"/>
        </w:rPr>
        <w:t>2015. godine, najniža stopa incidenc</w:t>
      </w:r>
      <w:r w:rsidR="006816BD">
        <w:rPr>
          <w:rFonts w:ascii="Times New Roman" w:hAnsi="Times New Roman"/>
          <w:lang w:val="sl-SI"/>
        </w:rPr>
        <w:t>ij</w:t>
      </w:r>
      <w:r w:rsidRPr="00155F80">
        <w:rPr>
          <w:rFonts w:ascii="Times New Roman" w:hAnsi="Times New Roman"/>
          <w:lang w:val="sl-SI"/>
        </w:rPr>
        <w:t>e zaraznih bolesti  registrirana je  2013. godine, a najviša 2011.</w:t>
      </w:r>
      <w:r w:rsidR="00D50847">
        <w:rPr>
          <w:rFonts w:ascii="Times New Roman" w:hAnsi="Times New Roman"/>
          <w:lang w:val="sl-SI"/>
        </w:rPr>
        <w:t xml:space="preserve"> </w:t>
      </w:r>
      <w:r w:rsidRPr="00155F80">
        <w:rPr>
          <w:rFonts w:ascii="Times New Roman" w:hAnsi="Times New Roman"/>
          <w:lang w:val="sl-SI"/>
        </w:rPr>
        <w:t>godine.</w:t>
      </w:r>
      <w:r w:rsidRPr="00155F80">
        <w:rPr>
          <w:rFonts w:ascii="Times New Roman" w:hAnsi="Times New Roman"/>
          <w:b/>
          <w:lang w:val="sl-SI"/>
        </w:rPr>
        <w:t xml:space="preserve"> </w:t>
      </w:r>
      <w:r w:rsidRPr="00155F80">
        <w:rPr>
          <w:rFonts w:ascii="Times New Roman" w:hAnsi="Times New Roman"/>
          <w:lang w:val="sl-SI"/>
        </w:rPr>
        <w:t>Na ukupan morbiditet od zaraznih bolesti, svake godine, najviše utj</w:t>
      </w:r>
      <w:r w:rsidR="00DF5CCD">
        <w:rPr>
          <w:rFonts w:ascii="Times New Roman" w:hAnsi="Times New Roman"/>
          <w:lang w:val="sl-SI"/>
        </w:rPr>
        <w:t>eče gripa, tako u 2015. godini</w:t>
      </w:r>
      <w:r w:rsidR="00C60658">
        <w:rPr>
          <w:rFonts w:ascii="Times New Roman" w:hAnsi="Times New Roman"/>
          <w:spacing w:val="-4"/>
          <w:lang w:val="sl-SI"/>
        </w:rPr>
        <w:t xml:space="preserve"> preko </w:t>
      </w:r>
      <w:r w:rsidRPr="00155F80">
        <w:rPr>
          <w:rFonts w:ascii="Times New Roman" w:hAnsi="Times New Roman"/>
          <w:spacing w:val="-4"/>
          <w:lang w:val="sl-SI"/>
        </w:rPr>
        <w:t>65% registriranih zaraznih oboljenja</w:t>
      </w:r>
      <w:r w:rsidRPr="00155F80">
        <w:rPr>
          <w:rFonts w:ascii="Times New Roman" w:hAnsi="Times New Roman"/>
          <w:b/>
          <w:spacing w:val="-4"/>
          <w:lang w:val="sl-SI"/>
        </w:rPr>
        <w:t xml:space="preserve"> </w:t>
      </w:r>
      <w:r w:rsidR="00D50847">
        <w:rPr>
          <w:rFonts w:ascii="Times New Roman" w:hAnsi="Times New Roman"/>
          <w:spacing w:val="-4"/>
          <w:lang w:val="sl-SI"/>
        </w:rPr>
        <w:t>čini gripa/bolesti slične gripi (35.</w:t>
      </w:r>
      <w:r w:rsidRPr="00155F80">
        <w:rPr>
          <w:rFonts w:ascii="Times New Roman" w:hAnsi="Times New Roman"/>
          <w:spacing w:val="-4"/>
          <w:lang w:val="sl-SI"/>
        </w:rPr>
        <w:t>048)</w:t>
      </w:r>
      <w:r w:rsidRPr="00155F80">
        <w:rPr>
          <w:rFonts w:ascii="Times New Roman" w:hAnsi="Times New Roman"/>
        </w:rPr>
        <w:t>, dok o</w:t>
      </w:r>
      <w:r w:rsidRPr="00155F80">
        <w:rPr>
          <w:rFonts w:ascii="Times New Roman" w:hAnsi="Times New Roman"/>
          <w:spacing w:val="-4"/>
          <w:lang w:val="sl-SI"/>
        </w:rPr>
        <w:t xml:space="preserve">stale zarazne bolesti (19.016) </w:t>
      </w:r>
      <w:r w:rsidR="006816BD">
        <w:rPr>
          <w:rFonts w:ascii="Times New Roman" w:hAnsi="Times New Roman"/>
          <w:spacing w:val="-4"/>
          <w:lang w:val="sl-SI"/>
        </w:rPr>
        <w:t>sudjeluju</w:t>
      </w:r>
      <w:r w:rsidRPr="00155F80">
        <w:rPr>
          <w:rFonts w:ascii="Times New Roman" w:hAnsi="Times New Roman"/>
          <w:spacing w:val="-4"/>
          <w:lang w:val="sl-SI"/>
        </w:rPr>
        <w:t xml:space="preserve"> sa 35%</w:t>
      </w:r>
      <w:r w:rsidRPr="00155F80">
        <w:rPr>
          <w:rFonts w:ascii="Times New Roman" w:hAnsi="Times New Roman"/>
          <w:b/>
          <w:spacing w:val="-4"/>
          <w:lang w:val="sl-SI"/>
        </w:rPr>
        <w:t xml:space="preserve"> .</w:t>
      </w:r>
    </w:p>
    <w:p w:rsidR="00834139" w:rsidRPr="00155F80" w:rsidRDefault="00834139" w:rsidP="00834139">
      <w:pPr>
        <w:spacing w:line="276" w:lineRule="auto"/>
        <w:rPr>
          <w:rFonts w:ascii="Times New Roman" w:hAnsi="Times New Roman"/>
        </w:rPr>
      </w:pPr>
    </w:p>
    <w:p w:rsidR="00A131AD" w:rsidRDefault="00A131AD" w:rsidP="00EB7CC7">
      <w:pPr>
        <w:pStyle w:val="refererere"/>
      </w:pPr>
      <w:r w:rsidRPr="00155F80">
        <w:t xml:space="preserve"> Grafikon 43: Zarazne bolesti (sa i bez gripe) u Federaciji BiH, 201</w:t>
      </w:r>
      <w:r w:rsidR="00341B4E">
        <w:t>1</w:t>
      </w:r>
      <w:r w:rsidR="00E07511">
        <w:t>.</w:t>
      </w:r>
      <w:r w:rsidRPr="00155F80">
        <w:t>-</w:t>
      </w:r>
      <w:r w:rsidR="00341B4E">
        <w:t xml:space="preserve"> </w:t>
      </w:r>
      <w:r w:rsidRPr="00155F80">
        <w:t>2015. godina, stopa morbiditeta na 100.000 stanovnika</w:t>
      </w:r>
    </w:p>
    <w:p w:rsidR="00975880" w:rsidRDefault="00284F26" w:rsidP="000C0138">
      <w:pPr>
        <w:spacing w:line="276" w:lineRule="auto"/>
        <w:rPr>
          <w:rFonts w:ascii="Times New Roman" w:hAnsi="Times New Roman"/>
        </w:rPr>
      </w:pPr>
      <w:r w:rsidRPr="00975880">
        <w:rPr>
          <w:rFonts w:ascii="Times New Roman" w:hAnsi="Times New Roman"/>
          <w:noProof/>
          <w:lang w:val="bs-Latn-BA" w:eastAsia="bs-Latn-BA"/>
        </w:rPr>
        <w:drawing>
          <wp:anchor distT="0" distB="0" distL="114300" distR="114300" simplePos="0" relativeHeight="251672576" behindDoc="0" locked="0" layoutInCell="1" allowOverlap="1" wp14:anchorId="74A641A0" wp14:editId="29309588">
            <wp:simplePos x="0" y="0"/>
            <wp:positionH relativeFrom="margin">
              <wp:align>center</wp:align>
            </wp:positionH>
            <wp:positionV relativeFrom="paragraph">
              <wp:posOffset>191135</wp:posOffset>
            </wp:positionV>
            <wp:extent cx="4260850" cy="1617345"/>
            <wp:effectExtent l="0" t="0" r="6350" b="1905"/>
            <wp:wrapTopAndBottom/>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4260850" cy="1617345"/>
                    </a:xfrm>
                    <a:prstGeom prst="rect">
                      <a:avLst/>
                    </a:prstGeom>
                  </pic:spPr>
                </pic:pic>
              </a:graphicData>
            </a:graphic>
            <wp14:sizeRelH relativeFrom="page">
              <wp14:pctWidth>0</wp14:pctWidth>
            </wp14:sizeRelH>
            <wp14:sizeRelV relativeFrom="page">
              <wp14:pctHeight>0</wp14:pctHeight>
            </wp14:sizeRelV>
          </wp:anchor>
        </w:drawing>
      </w:r>
      <w:r w:rsidR="00834139">
        <w:rPr>
          <w:rFonts w:ascii="Times New Roman" w:hAnsi="Times New Roman"/>
          <w:noProof/>
          <w:lang w:val="bs-Latn-BA" w:eastAsia="bs-Latn-BA"/>
        </w:rPr>
        <mc:AlternateContent>
          <mc:Choice Requires="wps">
            <w:drawing>
              <wp:anchor distT="0" distB="0" distL="114300" distR="114300" simplePos="0" relativeHeight="251673600" behindDoc="0" locked="0" layoutInCell="1" allowOverlap="1" wp14:anchorId="47E5465E" wp14:editId="41C95452">
                <wp:simplePos x="0" y="0"/>
                <wp:positionH relativeFrom="margin">
                  <wp:align>right</wp:align>
                </wp:positionH>
                <wp:positionV relativeFrom="paragraph">
                  <wp:posOffset>88207</wp:posOffset>
                </wp:positionV>
                <wp:extent cx="5771408" cy="1781175"/>
                <wp:effectExtent l="0" t="0" r="20320" b="28575"/>
                <wp:wrapNone/>
                <wp:docPr id="40" name="Rectangle 40"/>
                <wp:cNvGraphicFramePr/>
                <a:graphic xmlns:a="http://schemas.openxmlformats.org/drawingml/2006/main">
                  <a:graphicData uri="http://schemas.microsoft.com/office/word/2010/wordprocessingShape">
                    <wps:wsp>
                      <wps:cNvSpPr/>
                      <wps:spPr>
                        <a:xfrm>
                          <a:off x="0" y="0"/>
                          <a:ext cx="5771408" cy="1781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4C22F102" id="Rectangle 40" o:spid="_x0000_s1026" style="position:absolute;margin-left:403.25pt;margin-top:6.95pt;width:454.45pt;height:140.25pt;z-index:2516736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" filled="f" strokecolor="black [3213]" strokeweight="1pt">
                <w10:wrap anchorx="margin"/>
              </v:rect>
            </w:pict>
          </mc:Fallback>
        </mc:AlternateContent>
      </w:r>
    </w:p>
    <w:p w:rsidR="006816BD" w:rsidRDefault="006816BD" w:rsidP="000C0138">
      <w:pPr>
        <w:spacing w:line="276" w:lineRule="auto"/>
        <w:rPr>
          <w:rFonts w:ascii="Times New Roman" w:hAnsi="Times New Roman"/>
          <w:lang w:val="hr-BA" w:eastAsia="hr-BA"/>
        </w:rPr>
      </w:pPr>
    </w:p>
    <w:p w:rsidR="00C60658" w:rsidRDefault="00A131AD" w:rsidP="000C0138">
      <w:pPr>
        <w:spacing w:line="276" w:lineRule="auto"/>
        <w:rPr>
          <w:rFonts w:ascii="Times New Roman" w:hAnsi="Times New Roman"/>
          <w:lang w:val="pl-PL"/>
        </w:rPr>
      </w:pPr>
      <w:r w:rsidRPr="00155F80">
        <w:rPr>
          <w:rFonts w:ascii="Times New Roman" w:hAnsi="Times New Roman"/>
          <w:lang w:val="hr-BA" w:eastAsia="hr-BA"/>
        </w:rPr>
        <w:t>Prema izvješ</w:t>
      </w:r>
      <w:r w:rsidR="006816BD">
        <w:rPr>
          <w:rFonts w:ascii="Times New Roman" w:hAnsi="Times New Roman"/>
          <w:lang w:val="hr-BA" w:eastAsia="hr-BA"/>
        </w:rPr>
        <w:t>ći</w:t>
      </w:r>
      <w:r w:rsidRPr="00155F80">
        <w:rPr>
          <w:rFonts w:ascii="Times New Roman" w:hAnsi="Times New Roman"/>
          <w:lang w:val="hr-BA" w:eastAsia="hr-BA"/>
        </w:rPr>
        <w:t>ma, među oboljelim od zaraznih boles</w:t>
      </w:r>
      <w:r w:rsidR="00D50847">
        <w:rPr>
          <w:rFonts w:ascii="Times New Roman" w:hAnsi="Times New Roman"/>
          <w:lang w:val="hr-BA" w:eastAsia="hr-BA"/>
        </w:rPr>
        <w:t>ti (bez gripe), u 2015. godini</w:t>
      </w:r>
      <w:r w:rsidRPr="00155F80">
        <w:rPr>
          <w:rFonts w:ascii="Times New Roman" w:hAnsi="Times New Roman"/>
          <w:lang w:val="hr-BA" w:eastAsia="hr-BA"/>
        </w:rPr>
        <w:t xml:space="preserve"> 50,03% </w:t>
      </w:r>
      <w:r w:rsidR="006816BD">
        <w:rPr>
          <w:rFonts w:ascii="Times New Roman" w:hAnsi="Times New Roman"/>
          <w:lang w:val="hr-BA" w:eastAsia="hr-BA"/>
        </w:rPr>
        <w:t xml:space="preserve"> </w:t>
      </w:r>
      <w:r w:rsidRPr="00155F80">
        <w:rPr>
          <w:rFonts w:ascii="Times New Roman" w:hAnsi="Times New Roman"/>
          <w:lang w:val="hr-BA"/>
        </w:rPr>
        <w:t xml:space="preserve">su </w:t>
      </w:r>
      <w:r w:rsidRPr="00155F80">
        <w:rPr>
          <w:rFonts w:ascii="Times New Roman" w:hAnsi="Times New Roman"/>
          <w:lang w:val="sl-SI"/>
        </w:rPr>
        <w:t>mla</w:t>
      </w:r>
      <w:r w:rsidRPr="00155F80">
        <w:rPr>
          <w:rFonts w:ascii="Times New Roman" w:hAnsi="Times New Roman"/>
          <w:lang w:val="hr-BA"/>
        </w:rPr>
        <w:t>đ</w:t>
      </w:r>
      <w:r w:rsidRPr="00155F80">
        <w:rPr>
          <w:rFonts w:ascii="Times New Roman" w:hAnsi="Times New Roman"/>
          <w:lang w:val="sl-SI"/>
        </w:rPr>
        <w:t>i</w:t>
      </w:r>
      <w:r w:rsidRPr="00155F80">
        <w:rPr>
          <w:rFonts w:ascii="Times New Roman" w:hAnsi="Times New Roman"/>
          <w:lang w:val="hr-BA"/>
        </w:rPr>
        <w:t xml:space="preserve"> </w:t>
      </w:r>
      <w:r w:rsidRPr="00155F80">
        <w:rPr>
          <w:rFonts w:ascii="Times New Roman" w:hAnsi="Times New Roman"/>
          <w:lang w:val="sl-SI"/>
        </w:rPr>
        <w:t>od</w:t>
      </w:r>
      <w:r w:rsidRPr="00155F80">
        <w:rPr>
          <w:rFonts w:ascii="Times New Roman" w:hAnsi="Times New Roman"/>
          <w:lang w:val="hr-BA"/>
        </w:rPr>
        <w:t xml:space="preserve"> 15 godin</w:t>
      </w:r>
      <w:r w:rsidR="006816BD">
        <w:rPr>
          <w:rFonts w:ascii="Times New Roman" w:hAnsi="Times New Roman"/>
          <w:lang w:val="hr-BA"/>
        </w:rPr>
        <w:t>a</w:t>
      </w:r>
      <w:r w:rsidRPr="00155F80">
        <w:rPr>
          <w:rFonts w:ascii="Times New Roman" w:hAnsi="Times New Roman"/>
          <w:lang w:val="hr-BA"/>
        </w:rPr>
        <w:t xml:space="preserve">, </w:t>
      </w:r>
      <w:r w:rsidRPr="00155F80">
        <w:rPr>
          <w:rFonts w:ascii="Times New Roman" w:hAnsi="Times New Roman"/>
          <w:lang w:val="sl-SI"/>
        </w:rPr>
        <w:t>odnosno više od polovine (</w:t>
      </w:r>
      <w:r w:rsidRPr="00155F80">
        <w:rPr>
          <w:rFonts w:ascii="Times New Roman" w:hAnsi="Times New Roman"/>
          <w:lang w:val="hr-BA"/>
        </w:rPr>
        <w:t xml:space="preserve">62,93%) </w:t>
      </w:r>
      <w:r w:rsidRPr="00155F80">
        <w:rPr>
          <w:rFonts w:ascii="Times New Roman" w:hAnsi="Times New Roman"/>
          <w:lang w:val="sl-SI"/>
        </w:rPr>
        <w:t>su</w:t>
      </w:r>
      <w:r w:rsidRPr="00155F80">
        <w:rPr>
          <w:rFonts w:ascii="Times New Roman" w:hAnsi="Times New Roman"/>
          <w:lang w:val="hr-BA"/>
        </w:rPr>
        <w:t xml:space="preserve"> </w:t>
      </w:r>
      <w:r w:rsidRPr="00155F80">
        <w:rPr>
          <w:rFonts w:ascii="Times New Roman" w:hAnsi="Times New Roman"/>
          <w:lang w:val="sl-SI"/>
        </w:rPr>
        <w:t>mla</w:t>
      </w:r>
      <w:r w:rsidRPr="00155F80">
        <w:rPr>
          <w:rFonts w:ascii="Times New Roman" w:hAnsi="Times New Roman"/>
          <w:lang w:val="hr-BA"/>
        </w:rPr>
        <w:t>đ</w:t>
      </w:r>
      <w:r w:rsidRPr="00155F80">
        <w:rPr>
          <w:rFonts w:ascii="Times New Roman" w:hAnsi="Times New Roman"/>
          <w:lang w:val="sl-SI"/>
        </w:rPr>
        <w:t>i</w:t>
      </w:r>
      <w:r w:rsidRPr="00155F80">
        <w:rPr>
          <w:rFonts w:ascii="Times New Roman" w:hAnsi="Times New Roman"/>
          <w:lang w:val="hr-BA"/>
        </w:rPr>
        <w:t xml:space="preserve"> </w:t>
      </w:r>
      <w:r w:rsidRPr="00155F80">
        <w:rPr>
          <w:rFonts w:ascii="Times New Roman" w:hAnsi="Times New Roman"/>
          <w:lang w:val="sl-SI"/>
        </w:rPr>
        <w:t>od</w:t>
      </w:r>
      <w:r w:rsidRPr="00155F80">
        <w:rPr>
          <w:rFonts w:ascii="Times New Roman" w:hAnsi="Times New Roman"/>
          <w:lang w:val="hr-BA"/>
        </w:rPr>
        <w:t xml:space="preserve"> 25 </w:t>
      </w:r>
      <w:r w:rsidRPr="00155F80">
        <w:rPr>
          <w:rFonts w:ascii="Times New Roman" w:hAnsi="Times New Roman"/>
          <w:lang w:val="sl-SI"/>
        </w:rPr>
        <w:t>godina</w:t>
      </w:r>
      <w:r w:rsidRPr="00155F80">
        <w:rPr>
          <w:rFonts w:ascii="Times New Roman" w:hAnsi="Times New Roman"/>
          <w:lang w:val="hr-BA"/>
        </w:rPr>
        <w:t>. S obzirom na spol obol</w:t>
      </w:r>
      <w:r w:rsidR="006816BD">
        <w:rPr>
          <w:rFonts w:ascii="Times New Roman" w:hAnsi="Times New Roman"/>
          <w:lang w:val="hr-BA"/>
        </w:rPr>
        <w:t>i</w:t>
      </w:r>
      <w:r w:rsidRPr="00155F80">
        <w:rPr>
          <w:rFonts w:ascii="Times New Roman" w:hAnsi="Times New Roman"/>
          <w:lang w:val="hr-BA"/>
        </w:rPr>
        <w:t xml:space="preserve">jevaju gotovo podjednako oba spola (50,77% </w:t>
      </w:r>
      <w:r w:rsidRPr="00155F80">
        <w:rPr>
          <w:rFonts w:ascii="Times New Roman" w:hAnsi="Times New Roman"/>
          <w:lang w:val="pl-PL"/>
        </w:rPr>
        <w:t>oboljelih</w:t>
      </w:r>
      <w:r w:rsidRPr="00155F80">
        <w:rPr>
          <w:rFonts w:ascii="Times New Roman" w:hAnsi="Times New Roman"/>
          <w:lang w:val="hr-BA"/>
        </w:rPr>
        <w:t xml:space="preserve"> </w:t>
      </w:r>
      <w:r w:rsidRPr="00155F80">
        <w:rPr>
          <w:rFonts w:ascii="Times New Roman" w:hAnsi="Times New Roman"/>
          <w:lang w:val="pl-PL"/>
        </w:rPr>
        <w:t>je</w:t>
      </w:r>
      <w:r w:rsidRPr="00155F80">
        <w:rPr>
          <w:rFonts w:ascii="Times New Roman" w:hAnsi="Times New Roman"/>
          <w:lang w:val="hr-BA"/>
        </w:rPr>
        <w:t xml:space="preserve"> </w:t>
      </w:r>
      <w:r w:rsidRPr="00155F80">
        <w:rPr>
          <w:rFonts w:ascii="Times New Roman" w:hAnsi="Times New Roman"/>
          <w:lang w:val="pl-PL"/>
        </w:rPr>
        <w:t>mu</w:t>
      </w:r>
      <w:r w:rsidRPr="00155F80">
        <w:rPr>
          <w:rFonts w:ascii="Times New Roman" w:hAnsi="Times New Roman"/>
          <w:lang w:val="hr-BA"/>
        </w:rPr>
        <w:t>š</w:t>
      </w:r>
      <w:r w:rsidRPr="00155F80">
        <w:rPr>
          <w:rFonts w:ascii="Times New Roman" w:hAnsi="Times New Roman"/>
          <w:lang w:val="pl-PL"/>
        </w:rPr>
        <w:t>kog</w:t>
      </w:r>
      <w:r w:rsidRPr="00155F80">
        <w:rPr>
          <w:rFonts w:ascii="Times New Roman" w:hAnsi="Times New Roman"/>
          <w:lang w:val="hr-BA"/>
        </w:rPr>
        <w:t xml:space="preserve">, </w:t>
      </w:r>
      <w:r w:rsidRPr="00155F80">
        <w:rPr>
          <w:rFonts w:ascii="Times New Roman" w:hAnsi="Times New Roman"/>
          <w:lang w:val="pl-PL"/>
        </w:rPr>
        <w:t>a</w:t>
      </w:r>
      <w:r w:rsidRPr="00155F80">
        <w:rPr>
          <w:rFonts w:ascii="Times New Roman" w:hAnsi="Times New Roman"/>
          <w:lang w:val="hr-BA"/>
        </w:rPr>
        <w:t xml:space="preserve"> 49,23%  ž</w:t>
      </w:r>
      <w:r w:rsidRPr="00155F80">
        <w:rPr>
          <w:rFonts w:ascii="Times New Roman" w:hAnsi="Times New Roman"/>
          <w:lang w:val="pl-PL"/>
        </w:rPr>
        <w:t>enskog</w:t>
      </w:r>
      <w:r w:rsidRPr="00155F80">
        <w:rPr>
          <w:rFonts w:ascii="Times New Roman" w:hAnsi="Times New Roman"/>
          <w:lang w:val="hr-BA"/>
        </w:rPr>
        <w:t xml:space="preserve"> </w:t>
      </w:r>
      <w:r w:rsidRPr="00155F80">
        <w:rPr>
          <w:rFonts w:ascii="Times New Roman" w:hAnsi="Times New Roman"/>
          <w:lang w:val="pl-PL"/>
        </w:rPr>
        <w:t>spola).</w:t>
      </w:r>
    </w:p>
    <w:p w:rsidR="00284F26" w:rsidRDefault="00284F26" w:rsidP="000C0138">
      <w:pPr>
        <w:spacing w:line="276" w:lineRule="auto"/>
        <w:rPr>
          <w:rFonts w:ascii="Times New Roman" w:hAnsi="Times New Roman"/>
          <w:lang w:val="sl-SI"/>
        </w:rPr>
      </w:pPr>
    </w:p>
    <w:p w:rsidR="0067516B" w:rsidRDefault="00A131AD" w:rsidP="000C0138">
      <w:pPr>
        <w:spacing w:line="276" w:lineRule="auto"/>
        <w:rPr>
          <w:rFonts w:ascii="Times New Roman" w:hAnsi="Times New Roman"/>
          <w:lang w:val="pl-PL"/>
        </w:rPr>
      </w:pPr>
      <w:r w:rsidRPr="00155F80">
        <w:rPr>
          <w:rFonts w:ascii="Times New Roman" w:hAnsi="Times New Roman"/>
          <w:lang w:val="sl-SI"/>
        </w:rPr>
        <w:t>U proteklom petogodišnjem razdoblju najviši morbiditet od zaraznih bolesti registrira se u Sarajevskom i Zapadnohercegovačkom kantonu, a najniži na području Posavsk</w:t>
      </w:r>
      <w:r w:rsidR="006816BD">
        <w:rPr>
          <w:rFonts w:ascii="Times New Roman" w:hAnsi="Times New Roman"/>
          <w:lang w:val="sl-SI"/>
        </w:rPr>
        <w:t>og</w:t>
      </w:r>
      <w:r w:rsidRPr="00155F80">
        <w:rPr>
          <w:rFonts w:ascii="Times New Roman" w:hAnsi="Times New Roman"/>
          <w:lang w:val="sl-SI"/>
        </w:rPr>
        <w:t xml:space="preserve"> </w:t>
      </w:r>
      <w:r w:rsidR="006816BD">
        <w:rPr>
          <w:rFonts w:ascii="Times New Roman" w:hAnsi="Times New Roman"/>
          <w:lang w:val="sl-SI"/>
        </w:rPr>
        <w:t>kantona</w:t>
      </w:r>
      <w:r w:rsidRPr="00155F80">
        <w:rPr>
          <w:rFonts w:ascii="Times New Roman" w:hAnsi="Times New Roman"/>
          <w:lang w:val="sl-SI"/>
        </w:rPr>
        <w:t xml:space="preserve">, </w:t>
      </w:r>
      <w:r w:rsidR="006816BD">
        <w:rPr>
          <w:rFonts w:ascii="Times New Roman" w:hAnsi="Times New Roman"/>
          <w:lang w:val="sl-SI"/>
        </w:rPr>
        <w:t>izuzev</w:t>
      </w:r>
      <w:r w:rsidRPr="00155F80">
        <w:rPr>
          <w:rFonts w:ascii="Times New Roman" w:hAnsi="Times New Roman"/>
          <w:lang w:val="sl-SI"/>
        </w:rPr>
        <w:t xml:space="preserve"> 2012. godine, kada je najniži morbiditet reg</w:t>
      </w:r>
      <w:r w:rsidR="00B4366E">
        <w:rPr>
          <w:rFonts w:ascii="Times New Roman" w:hAnsi="Times New Roman"/>
          <w:lang w:val="sl-SI"/>
        </w:rPr>
        <w:t>istriran na području Kantona 10</w:t>
      </w:r>
      <w:r w:rsidRPr="00155F80">
        <w:rPr>
          <w:rFonts w:ascii="Times New Roman" w:hAnsi="Times New Roman"/>
          <w:lang w:val="sl-SI"/>
        </w:rPr>
        <w:t>.</w:t>
      </w:r>
    </w:p>
    <w:p w:rsidR="0067516B" w:rsidRDefault="0067516B" w:rsidP="000C0138">
      <w:pPr>
        <w:spacing w:line="276" w:lineRule="auto"/>
        <w:rPr>
          <w:rFonts w:ascii="Times New Roman" w:hAnsi="Times New Roman"/>
          <w:lang w:val="pl-PL"/>
        </w:rPr>
      </w:pPr>
    </w:p>
    <w:p w:rsidR="00A131AD" w:rsidRPr="00155F80" w:rsidRDefault="00A131AD" w:rsidP="000C0138">
      <w:pPr>
        <w:spacing w:line="276" w:lineRule="auto"/>
        <w:rPr>
          <w:rFonts w:ascii="Times New Roman" w:hAnsi="Times New Roman"/>
          <w:b/>
          <w:lang w:val="sl-SI"/>
        </w:rPr>
      </w:pPr>
    </w:p>
    <w:p w:rsidR="00A131AD" w:rsidRPr="00155F80" w:rsidRDefault="00A131AD" w:rsidP="00EB7CC7">
      <w:pPr>
        <w:pStyle w:val="refererere"/>
        <w:rPr>
          <w:lang w:val="sl-SI"/>
        </w:rPr>
      </w:pPr>
      <w:r w:rsidRPr="00155F80">
        <w:rPr>
          <w:lang w:val="sl-SI"/>
        </w:rPr>
        <w:t>Tabl</w:t>
      </w:r>
      <w:r w:rsidR="00FE3B0D">
        <w:rPr>
          <w:lang w:val="sl-SI"/>
        </w:rPr>
        <w:t>ic</w:t>
      </w:r>
      <w:r w:rsidRPr="00155F80">
        <w:rPr>
          <w:lang w:val="sl-SI"/>
        </w:rPr>
        <w:t>a 6: Zarazne bole</w:t>
      </w:r>
      <w:r w:rsidR="00CF430D">
        <w:rPr>
          <w:lang w:val="sl-SI"/>
        </w:rPr>
        <w:t xml:space="preserve">sti (s gripom), za </w:t>
      </w:r>
      <w:r w:rsidR="006816BD">
        <w:rPr>
          <w:lang w:val="sl-SI"/>
        </w:rPr>
        <w:t>razdoblje</w:t>
      </w:r>
      <w:r w:rsidR="00CF430D">
        <w:rPr>
          <w:lang w:val="sl-SI"/>
        </w:rPr>
        <w:t xml:space="preserve"> 2011.-</w:t>
      </w:r>
      <w:r w:rsidRPr="00155F80">
        <w:rPr>
          <w:lang w:val="sl-SI"/>
        </w:rPr>
        <w:t>2015. godina, po kantonima</w:t>
      </w:r>
    </w:p>
    <w:tbl>
      <w:tblPr>
        <w:tblW w:w="94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1414"/>
        <w:gridCol w:w="666"/>
        <w:gridCol w:w="939"/>
        <w:gridCol w:w="683"/>
        <w:gridCol w:w="963"/>
        <w:gridCol w:w="696"/>
        <w:gridCol w:w="1003"/>
        <w:gridCol w:w="698"/>
        <w:gridCol w:w="876"/>
        <w:gridCol w:w="709"/>
        <w:gridCol w:w="850"/>
      </w:tblGrid>
      <w:tr w:rsidR="00A131AD" w:rsidRPr="00EA7C7B" w:rsidTr="00EA7C7B">
        <w:trPr>
          <w:trHeight w:hRule="exact" w:val="407"/>
          <w:jc w:val="center"/>
        </w:trPr>
        <w:tc>
          <w:tcPr>
            <w:tcW w:w="1414"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rsidR="00A131AD" w:rsidRPr="00EA7C7B" w:rsidRDefault="00A131AD" w:rsidP="000C0138">
            <w:pPr>
              <w:pStyle w:val="NoSpacing"/>
              <w:spacing w:line="276" w:lineRule="auto"/>
              <w:rPr>
                <w:b/>
                <w:sz w:val="18"/>
                <w:szCs w:val="18"/>
                <w:lang w:val="sl-SI"/>
              </w:rPr>
            </w:pPr>
            <w:r w:rsidRPr="00EA7C7B">
              <w:rPr>
                <w:b/>
                <w:sz w:val="18"/>
                <w:szCs w:val="18"/>
                <w:lang w:val="sl-SI"/>
              </w:rPr>
              <w:t>Godina</w:t>
            </w:r>
          </w:p>
        </w:tc>
        <w:tc>
          <w:tcPr>
            <w:tcW w:w="1605" w:type="dxa"/>
            <w:gridSpan w:val="2"/>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rsidR="00A131AD" w:rsidRPr="00EA7C7B" w:rsidRDefault="00A131AD" w:rsidP="00CA5BC1">
            <w:pPr>
              <w:pStyle w:val="NoSpacing"/>
              <w:spacing w:line="276" w:lineRule="auto"/>
              <w:jc w:val="center"/>
              <w:rPr>
                <w:b/>
                <w:sz w:val="18"/>
                <w:szCs w:val="18"/>
                <w:lang w:val="sl-SI"/>
              </w:rPr>
            </w:pPr>
            <w:r w:rsidRPr="00EA7C7B">
              <w:rPr>
                <w:b/>
                <w:sz w:val="18"/>
                <w:szCs w:val="18"/>
                <w:lang w:val="sl-SI"/>
              </w:rPr>
              <w:t>2011.</w:t>
            </w:r>
          </w:p>
        </w:tc>
        <w:tc>
          <w:tcPr>
            <w:tcW w:w="1646" w:type="dxa"/>
            <w:gridSpan w:val="2"/>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rsidR="00A131AD" w:rsidRPr="00EA7C7B" w:rsidRDefault="00A131AD" w:rsidP="00CA5BC1">
            <w:pPr>
              <w:pStyle w:val="NoSpacing"/>
              <w:spacing w:line="276" w:lineRule="auto"/>
              <w:jc w:val="center"/>
              <w:rPr>
                <w:b/>
                <w:sz w:val="18"/>
                <w:szCs w:val="18"/>
                <w:lang w:val="sl-SI"/>
              </w:rPr>
            </w:pPr>
            <w:r w:rsidRPr="00EA7C7B">
              <w:rPr>
                <w:b/>
                <w:sz w:val="18"/>
                <w:szCs w:val="18"/>
                <w:lang w:val="sl-SI"/>
              </w:rPr>
              <w:t>2012.</w:t>
            </w:r>
          </w:p>
        </w:tc>
        <w:tc>
          <w:tcPr>
            <w:tcW w:w="1699" w:type="dxa"/>
            <w:gridSpan w:val="2"/>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rsidR="00A131AD" w:rsidRPr="00EA7C7B" w:rsidRDefault="00A131AD" w:rsidP="00CA5BC1">
            <w:pPr>
              <w:pStyle w:val="NoSpacing"/>
              <w:spacing w:line="276" w:lineRule="auto"/>
              <w:jc w:val="center"/>
              <w:rPr>
                <w:b/>
                <w:sz w:val="18"/>
                <w:szCs w:val="18"/>
                <w:lang w:val="sl-SI"/>
              </w:rPr>
            </w:pPr>
            <w:r w:rsidRPr="00EA7C7B">
              <w:rPr>
                <w:b/>
                <w:sz w:val="18"/>
                <w:szCs w:val="18"/>
                <w:lang w:val="sl-SI"/>
              </w:rPr>
              <w:t>2013.</w:t>
            </w:r>
          </w:p>
        </w:tc>
        <w:tc>
          <w:tcPr>
            <w:tcW w:w="1574" w:type="dxa"/>
            <w:gridSpan w:val="2"/>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rsidR="00A131AD" w:rsidRPr="00EA7C7B" w:rsidRDefault="00A131AD" w:rsidP="00CA5BC1">
            <w:pPr>
              <w:pStyle w:val="NoSpacing"/>
              <w:spacing w:line="276" w:lineRule="auto"/>
              <w:jc w:val="center"/>
              <w:rPr>
                <w:b/>
                <w:sz w:val="18"/>
                <w:szCs w:val="18"/>
                <w:lang w:val="sl-SI"/>
              </w:rPr>
            </w:pPr>
            <w:r w:rsidRPr="00EA7C7B">
              <w:rPr>
                <w:b/>
                <w:sz w:val="18"/>
                <w:szCs w:val="18"/>
                <w:lang w:val="sl-SI"/>
              </w:rPr>
              <w:t>2014.</w:t>
            </w:r>
          </w:p>
        </w:tc>
        <w:tc>
          <w:tcPr>
            <w:tcW w:w="1559" w:type="dxa"/>
            <w:gridSpan w:val="2"/>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rsidR="00A131AD" w:rsidRPr="00EA7C7B" w:rsidRDefault="00A131AD" w:rsidP="00CA5BC1">
            <w:pPr>
              <w:pStyle w:val="NoSpacing"/>
              <w:spacing w:line="276" w:lineRule="auto"/>
              <w:jc w:val="center"/>
              <w:rPr>
                <w:b/>
                <w:sz w:val="18"/>
                <w:szCs w:val="18"/>
                <w:lang w:val="sl-SI"/>
              </w:rPr>
            </w:pPr>
            <w:r w:rsidRPr="00EA7C7B">
              <w:rPr>
                <w:b/>
                <w:sz w:val="18"/>
                <w:szCs w:val="18"/>
                <w:lang w:val="sl-SI"/>
              </w:rPr>
              <w:t>2015.</w:t>
            </w:r>
          </w:p>
        </w:tc>
      </w:tr>
      <w:tr w:rsidR="00EA7C7B" w:rsidRPr="00EA7C7B" w:rsidTr="00EA7C7B">
        <w:trPr>
          <w:trHeight w:val="882"/>
          <w:jc w:val="center"/>
        </w:trPr>
        <w:tc>
          <w:tcPr>
            <w:tcW w:w="1414"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rsidR="00A131AD" w:rsidRPr="00EA7C7B" w:rsidRDefault="00A131AD" w:rsidP="000C0138">
            <w:pPr>
              <w:pStyle w:val="NoSpacing"/>
              <w:spacing w:line="276" w:lineRule="auto"/>
              <w:rPr>
                <w:b/>
                <w:sz w:val="18"/>
                <w:szCs w:val="18"/>
                <w:lang w:val="sl-SI"/>
              </w:rPr>
            </w:pPr>
          </w:p>
          <w:p w:rsidR="00A131AD" w:rsidRPr="00EA7C7B" w:rsidRDefault="00A131AD" w:rsidP="000C0138">
            <w:pPr>
              <w:pStyle w:val="NoSpacing"/>
              <w:spacing w:line="276" w:lineRule="auto"/>
              <w:rPr>
                <w:b/>
                <w:sz w:val="18"/>
                <w:szCs w:val="18"/>
                <w:lang w:val="sl-SI"/>
              </w:rPr>
            </w:pPr>
          </w:p>
          <w:p w:rsidR="00A131AD" w:rsidRPr="00EA7C7B" w:rsidRDefault="00A131AD" w:rsidP="000C0138">
            <w:pPr>
              <w:pStyle w:val="NoSpacing"/>
              <w:spacing w:line="276" w:lineRule="auto"/>
              <w:rPr>
                <w:b/>
                <w:sz w:val="18"/>
                <w:szCs w:val="18"/>
                <w:lang w:val="sl-SI"/>
              </w:rPr>
            </w:pPr>
            <w:r w:rsidRPr="00EA7C7B">
              <w:rPr>
                <w:b/>
                <w:sz w:val="18"/>
                <w:szCs w:val="18"/>
                <w:lang w:val="sl-SI"/>
              </w:rPr>
              <w:t>Kanton</w:t>
            </w:r>
          </w:p>
        </w:tc>
        <w:tc>
          <w:tcPr>
            <w:tcW w:w="666" w:type="dxa"/>
            <w:tcBorders>
              <w:top w:val="single" w:sz="4" w:space="0" w:color="auto"/>
              <w:left w:val="single" w:sz="4" w:space="0" w:color="auto"/>
              <w:bottom w:val="single" w:sz="4" w:space="0" w:color="auto"/>
              <w:right w:val="single" w:sz="4" w:space="0" w:color="auto"/>
            </w:tcBorders>
            <w:shd w:val="clear" w:color="auto" w:fill="E7E6E6" w:themeFill="background2"/>
            <w:textDirection w:val="btLr"/>
            <w:vAlign w:val="center"/>
            <w:hideMark/>
          </w:tcPr>
          <w:p w:rsidR="00A131AD" w:rsidRPr="00EA7C7B" w:rsidRDefault="00A131AD" w:rsidP="000C0138">
            <w:pPr>
              <w:pStyle w:val="NoSpacing"/>
              <w:spacing w:line="276" w:lineRule="auto"/>
              <w:rPr>
                <w:b/>
                <w:sz w:val="18"/>
                <w:szCs w:val="18"/>
                <w:lang w:val="de-DE"/>
              </w:rPr>
            </w:pPr>
            <w:r w:rsidRPr="00EA7C7B">
              <w:rPr>
                <w:b/>
                <w:sz w:val="18"/>
                <w:szCs w:val="18"/>
                <w:lang w:val="de-DE"/>
              </w:rPr>
              <w:t>Broj  oboljelih</w:t>
            </w:r>
          </w:p>
        </w:tc>
        <w:tc>
          <w:tcPr>
            <w:tcW w:w="939" w:type="dxa"/>
            <w:tcBorders>
              <w:top w:val="single" w:sz="4" w:space="0" w:color="auto"/>
              <w:left w:val="single" w:sz="4" w:space="0" w:color="auto"/>
              <w:bottom w:val="single" w:sz="4" w:space="0" w:color="auto"/>
              <w:right w:val="single" w:sz="4" w:space="0" w:color="auto"/>
            </w:tcBorders>
            <w:shd w:val="clear" w:color="auto" w:fill="E7E6E6" w:themeFill="background2"/>
            <w:textDirection w:val="btLr"/>
            <w:vAlign w:val="center"/>
          </w:tcPr>
          <w:p w:rsidR="00A131AD" w:rsidRPr="00EA7C7B" w:rsidRDefault="00A131AD" w:rsidP="000C0138">
            <w:pPr>
              <w:pStyle w:val="NoSpacing"/>
              <w:spacing w:line="276" w:lineRule="auto"/>
              <w:rPr>
                <w:b/>
                <w:sz w:val="18"/>
                <w:szCs w:val="18"/>
                <w:lang w:val="de-DE"/>
              </w:rPr>
            </w:pPr>
          </w:p>
          <w:p w:rsidR="00A131AD" w:rsidRPr="00EA7C7B" w:rsidRDefault="00A131AD" w:rsidP="000C0138">
            <w:pPr>
              <w:pStyle w:val="NoSpacing"/>
              <w:spacing w:line="276" w:lineRule="auto"/>
              <w:rPr>
                <w:b/>
                <w:sz w:val="18"/>
                <w:szCs w:val="18"/>
                <w:lang w:val="de-DE"/>
              </w:rPr>
            </w:pPr>
            <w:r w:rsidRPr="00EA7C7B">
              <w:rPr>
                <w:b/>
                <w:sz w:val="18"/>
                <w:szCs w:val="18"/>
                <w:lang w:val="de-DE"/>
              </w:rPr>
              <w:t>Mb/</w:t>
            </w:r>
          </w:p>
          <w:p w:rsidR="00A131AD" w:rsidRPr="00EA7C7B" w:rsidRDefault="00A131AD" w:rsidP="000C0138">
            <w:pPr>
              <w:pStyle w:val="NoSpacing"/>
              <w:spacing w:line="276" w:lineRule="auto"/>
              <w:rPr>
                <w:b/>
                <w:sz w:val="18"/>
                <w:szCs w:val="18"/>
                <w:lang w:val="de-DE"/>
              </w:rPr>
            </w:pPr>
            <w:r w:rsidRPr="00EA7C7B">
              <w:rPr>
                <w:b/>
                <w:sz w:val="18"/>
                <w:szCs w:val="18"/>
                <w:lang w:val="de-DE"/>
              </w:rPr>
              <w:t>100000</w:t>
            </w:r>
          </w:p>
        </w:tc>
        <w:tc>
          <w:tcPr>
            <w:tcW w:w="683" w:type="dxa"/>
            <w:tcBorders>
              <w:top w:val="single" w:sz="4" w:space="0" w:color="auto"/>
              <w:left w:val="single" w:sz="4" w:space="0" w:color="auto"/>
              <w:bottom w:val="single" w:sz="4" w:space="0" w:color="auto"/>
              <w:right w:val="single" w:sz="4" w:space="0" w:color="auto"/>
            </w:tcBorders>
            <w:shd w:val="clear" w:color="auto" w:fill="E7E6E6" w:themeFill="background2"/>
            <w:textDirection w:val="btLr"/>
            <w:vAlign w:val="center"/>
            <w:hideMark/>
          </w:tcPr>
          <w:p w:rsidR="00A131AD" w:rsidRPr="00EA7C7B" w:rsidRDefault="00A131AD" w:rsidP="000C0138">
            <w:pPr>
              <w:pStyle w:val="NoSpacing"/>
              <w:spacing w:line="276" w:lineRule="auto"/>
              <w:rPr>
                <w:b/>
                <w:sz w:val="18"/>
                <w:szCs w:val="18"/>
                <w:lang w:val="de-DE"/>
              </w:rPr>
            </w:pPr>
            <w:r w:rsidRPr="00EA7C7B">
              <w:rPr>
                <w:b/>
                <w:sz w:val="18"/>
                <w:szCs w:val="18"/>
                <w:lang w:val="de-DE"/>
              </w:rPr>
              <w:t>Broj  oboljelih</w:t>
            </w:r>
          </w:p>
        </w:tc>
        <w:tc>
          <w:tcPr>
            <w:tcW w:w="963" w:type="dxa"/>
            <w:tcBorders>
              <w:top w:val="single" w:sz="4" w:space="0" w:color="auto"/>
              <w:left w:val="single" w:sz="4" w:space="0" w:color="auto"/>
              <w:bottom w:val="single" w:sz="4" w:space="0" w:color="auto"/>
              <w:right w:val="single" w:sz="4" w:space="0" w:color="auto"/>
            </w:tcBorders>
            <w:shd w:val="clear" w:color="auto" w:fill="E7E6E6" w:themeFill="background2"/>
            <w:textDirection w:val="btLr"/>
            <w:vAlign w:val="center"/>
          </w:tcPr>
          <w:p w:rsidR="00A131AD" w:rsidRPr="00EA7C7B" w:rsidRDefault="00A131AD" w:rsidP="000C0138">
            <w:pPr>
              <w:pStyle w:val="NoSpacing"/>
              <w:spacing w:line="276" w:lineRule="auto"/>
              <w:rPr>
                <w:b/>
                <w:sz w:val="18"/>
                <w:szCs w:val="18"/>
                <w:lang w:val="de-DE"/>
              </w:rPr>
            </w:pPr>
          </w:p>
          <w:p w:rsidR="00A131AD" w:rsidRPr="00EA7C7B" w:rsidRDefault="00A131AD" w:rsidP="000C0138">
            <w:pPr>
              <w:pStyle w:val="NoSpacing"/>
              <w:spacing w:line="276" w:lineRule="auto"/>
              <w:rPr>
                <w:b/>
                <w:sz w:val="18"/>
                <w:szCs w:val="18"/>
                <w:lang w:val="de-DE"/>
              </w:rPr>
            </w:pPr>
            <w:r w:rsidRPr="00EA7C7B">
              <w:rPr>
                <w:b/>
                <w:sz w:val="18"/>
                <w:szCs w:val="18"/>
                <w:lang w:val="de-DE"/>
              </w:rPr>
              <w:t>Mb/</w:t>
            </w:r>
          </w:p>
          <w:p w:rsidR="00A131AD" w:rsidRPr="00EA7C7B" w:rsidRDefault="00A131AD" w:rsidP="000C0138">
            <w:pPr>
              <w:pStyle w:val="NoSpacing"/>
              <w:spacing w:line="276" w:lineRule="auto"/>
              <w:rPr>
                <w:b/>
                <w:sz w:val="18"/>
                <w:szCs w:val="18"/>
                <w:lang w:val="de-DE"/>
              </w:rPr>
            </w:pPr>
            <w:r w:rsidRPr="00EA7C7B">
              <w:rPr>
                <w:b/>
                <w:sz w:val="18"/>
                <w:szCs w:val="18"/>
                <w:lang w:val="de-DE"/>
              </w:rPr>
              <w:t>100000</w:t>
            </w:r>
          </w:p>
        </w:tc>
        <w:tc>
          <w:tcPr>
            <w:tcW w:w="696" w:type="dxa"/>
            <w:tcBorders>
              <w:top w:val="single" w:sz="4" w:space="0" w:color="auto"/>
              <w:left w:val="single" w:sz="4" w:space="0" w:color="auto"/>
              <w:bottom w:val="single" w:sz="4" w:space="0" w:color="auto"/>
              <w:right w:val="single" w:sz="4" w:space="0" w:color="auto"/>
            </w:tcBorders>
            <w:shd w:val="clear" w:color="auto" w:fill="E7E6E6" w:themeFill="background2"/>
            <w:textDirection w:val="btLr"/>
            <w:vAlign w:val="center"/>
            <w:hideMark/>
          </w:tcPr>
          <w:p w:rsidR="00A131AD" w:rsidRPr="00EA7C7B" w:rsidRDefault="00A131AD" w:rsidP="000C0138">
            <w:pPr>
              <w:pStyle w:val="NoSpacing"/>
              <w:spacing w:line="276" w:lineRule="auto"/>
              <w:rPr>
                <w:b/>
                <w:sz w:val="18"/>
                <w:szCs w:val="18"/>
                <w:lang w:val="de-DE"/>
              </w:rPr>
            </w:pPr>
            <w:r w:rsidRPr="00EA7C7B">
              <w:rPr>
                <w:b/>
                <w:sz w:val="18"/>
                <w:szCs w:val="18"/>
                <w:lang w:val="de-DE"/>
              </w:rPr>
              <w:t>Broj  oboljelih</w:t>
            </w:r>
          </w:p>
        </w:tc>
        <w:tc>
          <w:tcPr>
            <w:tcW w:w="1003" w:type="dxa"/>
            <w:tcBorders>
              <w:top w:val="single" w:sz="4" w:space="0" w:color="auto"/>
              <w:left w:val="single" w:sz="4" w:space="0" w:color="auto"/>
              <w:bottom w:val="single" w:sz="4" w:space="0" w:color="auto"/>
              <w:right w:val="single" w:sz="4" w:space="0" w:color="auto"/>
            </w:tcBorders>
            <w:shd w:val="clear" w:color="auto" w:fill="E7E6E6" w:themeFill="background2"/>
            <w:textDirection w:val="btLr"/>
            <w:vAlign w:val="center"/>
          </w:tcPr>
          <w:p w:rsidR="00A131AD" w:rsidRPr="00EA7C7B" w:rsidRDefault="00A131AD" w:rsidP="000C0138">
            <w:pPr>
              <w:pStyle w:val="NoSpacing"/>
              <w:spacing w:line="276" w:lineRule="auto"/>
              <w:rPr>
                <w:b/>
                <w:sz w:val="18"/>
                <w:szCs w:val="18"/>
                <w:lang w:val="de-DE"/>
              </w:rPr>
            </w:pPr>
          </w:p>
          <w:p w:rsidR="00A131AD" w:rsidRPr="00EA7C7B" w:rsidRDefault="00A131AD" w:rsidP="000C0138">
            <w:pPr>
              <w:pStyle w:val="NoSpacing"/>
              <w:spacing w:line="276" w:lineRule="auto"/>
              <w:rPr>
                <w:b/>
                <w:sz w:val="18"/>
                <w:szCs w:val="18"/>
                <w:lang w:val="de-DE"/>
              </w:rPr>
            </w:pPr>
            <w:r w:rsidRPr="00EA7C7B">
              <w:rPr>
                <w:b/>
                <w:sz w:val="18"/>
                <w:szCs w:val="18"/>
                <w:lang w:val="de-DE"/>
              </w:rPr>
              <w:t>Mb/</w:t>
            </w:r>
          </w:p>
          <w:p w:rsidR="00A131AD" w:rsidRPr="00EA7C7B" w:rsidRDefault="00A131AD" w:rsidP="000C0138">
            <w:pPr>
              <w:pStyle w:val="NoSpacing"/>
              <w:spacing w:line="276" w:lineRule="auto"/>
              <w:rPr>
                <w:b/>
                <w:sz w:val="18"/>
                <w:szCs w:val="18"/>
                <w:lang w:val="de-DE"/>
              </w:rPr>
            </w:pPr>
            <w:r w:rsidRPr="00EA7C7B">
              <w:rPr>
                <w:b/>
                <w:sz w:val="18"/>
                <w:szCs w:val="18"/>
                <w:lang w:val="de-DE"/>
              </w:rPr>
              <w:t>100000</w:t>
            </w:r>
          </w:p>
        </w:tc>
        <w:tc>
          <w:tcPr>
            <w:tcW w:w="698" w:type="dxa"/>
            <w:tcBorders>
              <w:top w:val="single" w:sz="4" w:space="0" w:color="auto"/>
              <w:left w:val="single" w:sz="4" w:space="0" w:color="auto"/>
              <w:bottom w:val="single" w:sz="4" w:space="0" w:color="auto"/>
              <w:right w:val="single" w:sz="4" w:space="0" w:color="auto"/>
            </w:tcBorders>
            <w:shd w:val="clear" w:color="auto" w:fill="E7E6E6" w:themeFill="background2"/>
            <w:textDirection w:val="btLr"/>
            <w:vAlign w:val="center"/>
            <w:hideMark/>
          </w:tcPr>
          <w:p w:rsidR="00A131AD" w:rsidRPr="00EA7C7B" w:rsidRDefault="00A131AD" w:rsidP="000C0138">
            <w:pPr>
              <w:pStyle w:val="NoSpacing"/>
              <w:spacing w:line="276" w:lineRule="auto"/>
              <w:rPr>
                <w:b/>
                <w:sz w:val="18"/>
                <w:szCs w:val="18"/>
                <w:lang w:val="de-DE"/>
              </w:rPr>
            </w:pPr>
            <w:r w:rsidRPr="00EA7C7B">
              <w:rPr>
                <w:b/>
                <w:sz w:val="18"/>
                <w:szCs w:val="18"/>
                <w:lang w:val="de-DE"/>
              </w:rPr>
              <w:t>Broj  oboljelih</w:t>
            </w:r>
          </w:p>
        </w:tc>
        <w:tc>
          <w:tcPr>
            <w:tcW w:w="876" w:type="dxa"/>
            <w:tcBorders>
              <w:top w:val="single" w:sz="4" w:space="0" w:color="auto"/>
              <w:left w:val="single" w:sz="4" w:space="0" w:color="auto"/>
              <w:bottom w:val="single" w:sz="4" w:space="0" w:color="auto"/>
              <w:right w:val="single" w:sz="4" w:space="0" w:color="auto"/>
            </w:tcBorders>
            <w:shd w:val="clear" w:color="auto" w:fill="E7E6E6" w:themeFill="background2"/>
            <w:textDirection w:val="btLr"/>
            <w:vAlign w:val="center"/>
          </w:tcPr>
          <w:p w:rsidR="00A131AD" w:rsidRPr="00EA7C7B" w:rsidRDefault="00A131AD" w:rsidP="000C0138">
            <w:pPr>
              <w:pStyle w:val="NoSpacing"/>
              <w:spacing w:line="276" w:lineRule="auto"/>
              <w:rPr>
                <w:b/>
                <w:sz w:val="18"/>
                <w:szCs w:val="18"/>
                <w:lang w:val="de-DE"/>
              </w:rPr>
            </w:pPr>
          </w:p>
          <w:p w:rsidR="00A131AD" w:rsidRPr="00EA7C7B" w:rsidRDefault="00A131AD" w:rsidP="000C0138">
            <w:pPr>
              <w:pStyle w:val="NoSpacing"/>
              <w:spacing w:line="276" w:lineRule="auto"/>
              <w:rPr>
                <w:b/>
                <w:sz w:val="18"/>
                <w:szCs w:val="18"/>
                <w:lang w:val="de-DE"/>
              </w:rPr>
            </w:pPr>
            <w:r w:rsidRPr="00EA7C7B">
              <w:rPr>
                <w:b/>
                <w:sz w:val="18"/>
                <w:szCs w:val="18"/>
                <w:lang w:val="de-DE"/>
              </w:rPr>
              <w:t>Mb/</w:t>
            </w:r>
          </w:p>
          <w:p w:rsidR="00A131AD" w:rsidRPr="00EA7C7B" w:rsidRDefault="00A131AD" w:rsidP="000C0138">
            <w:pPr>
              <w:pStyle w:val="NoSpacing"/>
              <w:spacing w:line="276" w:lineRule="auto"/>
              <w:rPr>
                <w:b/>
                <w:sz w:val="18"/>
                <w:szCs w:val="18"/>
                <w:lang w:val="de-DE"/>
              </w:rPr>
            </w:pPr>
            <w:r w:rsidRPr="00EA7C7B">
              <w:rPr>
                <w:b/>
                <w:sz w:val="18"/>
                <w:szCs w:val="18"/>
                <w:lang w:val="de-DE"/>
              </w:rPr>
              <w:t>100000</w:t>
            </w:r>
          </w:p>
        </w:tc>
        <w:tc>
          <w:tcPr>
            <w:tcW w:w="709" w:type="dxa"/>
            <w:tcBorders>
              <w:top w:val="single" w:sz="4" w:space="0" w:color="auto"/>
              <w:left w:val="single" w:sz="4" w:space="0" w:color="auto"/>
              <w:bottom w:val="single" w:sz="4" w:space="0" w:color="auto"/>
              <w:right w:val="single" w:sz="4" w:space="0" w:color="auto"/>
            </w:tcBorders>
            <w:shd w:val="clear" w:color="auto" w:fill="E7E6E6" w:themeFill="background2"/>
            <w:textDirection w:val="btLr"/>
            <w:vAlign w:val="center"/>
            <w:hideMark/>
          </w:tcPr>
          <w:p w:rsidR="00A131AD" w:rsidRPr="00EA7C7B" w:rsidRDefault="00A131AD" w:rsidP="000C0138">
            <w:pPr>
              <w:pStyle w:val="NoSpacing"/>
              <w:spacing w:line="276" w:lineRule="auto"/>
              <w:rPr>
                <w:b/>
                <w:sz w:val="18"/>
                <w:szCs w:val="18"/>
                <w:lang w:val="de-DE"/>
              </w:rPr>
            </w:pPr>
            <w:r w:rsidRPr="00EA7C7B">
              <w:rPr>
                <w:b/>
                <w:sz w:val="18"/>
                <w:szCs w:val="18"/>
                <w:lang w:val="de-DE"/>
              </w:rPr>
              <w:t>Broj  oboljelih</w:t>
            </w:r>
          </w:p>
        </w:tc>
        <w:tc>
          <w:tcPr>
            <w:tcW w:w="850" w:type="dxa"/>
            <w:tcBorders>
              <w:top w:val="single" w:sz="4" w:space="0" w:color="auto"/>
              <w:left w:val="single" w:sz="4" w:space="0" w:color="auto"/>
              <w:bottom w:val="single" w:sz="4" w:space="0" w:color="auto"/>
              <w:right w:val="single" w:sz="4" w:space="0" w:color="auto"/>
            </w:tcBorders>
            <w:shd w:val="clear" w:color="auto" w:fill="E7E6E6" w:themeFill="background2"/>
            <w:textDirection w:val="btLr"/>
            <w:vAlign w:val="center"/>
          </w:tcPr>
          <w:p w:rsidR="00A131AD" w:rsidRPr="00EA7C7B" w:rsidRDefault="00A131AD" w:rsidP="000C0138">
            <w:pPr>
              <w:pStyle w:val="NoSpacing"/>
              <w:spacing w:line="276" w:lineRule="auto"/>
              <w:rPr>
                <w:b/>
                <w:sz w:val="18"/>
                <w:szCs w:val="18"/>
                <w:lang w:val="de-DE"/>
              </w:rPr>
            </w:pPr>
          </w:p>
          <w:p w:rsidR="00A131AD" w:rsidRPr="00EA7C7B" w:rsidRDefault="00A131AD" w:rsidP="000C0138">
            <w:pPr>
              <w:pStyle w:val="NoSpacing"/>
              <w:spacing w:line="276" w:lineRule="auto"/>
              <w:rPr>
                <w:b/>
                <w:sz w:val="18"/>
                <w:szCs w:val="18"/>
                <w:lang w:val="de-DE"/>
              </w:rPr>
            </w:pPr>
            <w:r w:rsidRPr="00EA7C7B">
              <w:rPr>
                <w:b/>
                <w:sz w:val="18"/>
                <w:szCs w:val="18"/>
                <w:lang w:val="de-DE"/>
              </w:rPr>
              <w:t>Mb/</w:t>
            </w:r>
          </w:p>
          <w:p w:rsidR="00A131AD" w:rsidRPr="00EA7C7B" w:rsidRDefault="00A131AD" w:rsidP="000C0138">
            <w:pPr>
              <w:pStyle w:val="NoSpacing"/>
              <w:spacing w:line="276" w:lineRule="auto"/>
              <w:rPr>
                <w:b/>
                <w:sz w:val="18"/>
                <w:szCs w:val="18"/>
                <w:lang w:val="de-DE"/>
              </w:rPr>
            </w:pPr>
            <w:r w:rsidRPr="00EA7C7B">
              <w:rPr>
                <w:b/>
                <w:sz w:val="18"/>
                <w:szCs w:val="18"/>
                <w:lang w:val="de-DE"/>
              </w:rPr>
              <w:t>100000</w:t>
            </w:r>
          </w:p>
        </w:tc>
      </w:tr>
      <w:tr w:rsidR="00EA7C7B" w:rsidRPr="00EA7C7B" w:rsidTr="00EA7C7B">
        <w:trPr>
          <w:trHeight w:val="377"/>
          <w:jc w:val="center"/>
        </w:trPr>
        <w:tc>
          <w:tcPr>
            <w:tcW w:w="141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Unsko-sanski</w:t>
            </w:r>
          </w:p>
        </w:tc>
        <w:tc>
          <w:tcPr>
            <w:tcW w:w="66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5118</w:t>
            </w:r>
          </w:p>
        </w:tc>
        <w:tc>
          <w:tcPr>
            <w:tcW w:w="93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1778,10</w:t>
            </w:r>
          </w:p>
        </w:tc>
        <w:tc>
          <w:tcPr>
            <w:tcW w:w="68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4765</w:t>
            </w:r>
          </w:p>
        </w:tc>
        <w:tc>
          <w:tcPr>
            <w:tcW w:w="96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1655,17</w:t>
            </w:r>
          </w:p>
        </w:tc>
        <w:tc>
          <w:tcPr>
            <w:tcW w:w="69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4325</w:t>
            </w:r>
          </w:p>
        </w:tc>
        <w:tc>
          <w:tcPr>
            <w:tcW w:w="10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1503,71</w:t>
            </w:r>
          </w:p>
        </w:tc>
        <w:tc>
          <w:tcPr>
            <w:tcW w:w="69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3989</w:t>
            </w:r>
          </w:p>
        </w:tc>
        <w:tc>
          <w:tcPr>
            <w:tcW w:w="8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1388,15</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5378</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1873,67</w:t>
            </w:r>
          </w:p>
        </w:tc>
      </w:tr>
      <w:tr w:rsidR="00EA7C7B" w:rsidRPr="00EA7C7B" w:rsidTr="00EA7C7B">
        <w:trPr>
          <w:trHeight w:val="377"/>
          <w:jc w:val="center"/>
        </w:trPr>
        <w:tc>
          <w:tcPr>
            <w:tcW w:w="141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Posavski</w:t>
            </w:r>
          </w:p>
        </w:tc>
        <w:tc>
          <w:tcPr>
            <w:tcW w:w="66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416</w:t>
            </w:r>
          </w:p>
        </w:tc>
        <w:tc>
          <w:tcPr>
            <w:tcW w:w="93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1050,90</w:t>
            </w:r>
          </w:p>
        </w:tc>
        <w:tc>
          <w:tcPr>
            <w:tcW w:w="68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222</w:t>
            </w:r>
          </w:p>
        </w:tc>
        <w:tc>
          <w:tcPr>
            <w:tcW w:w="96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564,78</w:t>
            </w:r>
          </w:p>
        </w:tc>
        <w:tc>
          <w:tcPr>
            <w:tcW w:w="69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244</w:t>
            </w:r>
          </w:p>
        </w:tc>
        <w:tc>
          <w:tcPr>
            <w:tcW w:w="10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626,28</w:t>
            </w:r>
          </w:p>
        </w:tc>
        <w:tc>
          <w:tcPr>
            <w:tcW w:w="69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118</w:t>
            </w:r>
          </w:p>
        </w:tc>
        <w:tc>
          <w:tcPr>
            <w:tcW w:w="8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305,15</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190</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495,11</w:t>
            </w:r>
          </w:p>
        </w:tc>
      </w:tr>
      <w:tr w:rsidR="00EA7C7B" w:rsidRPr="00EA7C7B" w:rsidTr="00EA7C7B">
        <w:trPr>
          <w:trHeight w:val="377"/>
          <w:jc w:val="center"/>
        </w:trPr>
        <w:tc>
          <w:tcPr>
            <w:tcW w:w="141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Tuzlanski</w:t>
            </w:r>
          </w:p>
        </w:tc>
        <w:tc>
          <w:tcPr>
            <w:tcW w:w="66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9424</w:t>
            </w:r>
          </w:p>
        </w:tc>
        <w:tc>
          <w:tcPr>
            <w:tcW w:w="93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1888,74</w:t>
            </w:r>
          </w:p>
        </w:tc>
        <w:tc>
          <w:tcPr>
            <w:tcW w:w="68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6078</w:t>
            </w:r>
          </w:p>
        </w:tc>
        <w:tc>
          <w:tcPr>
            <w:tcW w:w="96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1217,79</w:t>
            </w:r>
          </w:p>
        </w:tc>
        <w:tc>
          <w:tcPr>
            <w:tcW w:w="69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8830</w:t>
            </w:r>
          </w:p>
        </w:tc>
        <w:tc>
          <w:tcPr>
            <w:tcW w:w="10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1769,75</w:t>
            </w:r>
          </w:p>
        </w:tc>
        <w:tc>
          <w:tcPr>
            <w:tcW w:w="69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9686</w:t>
            </w:r>
          </w:p>
        </w:tc>
        <w:tc>
          <w:tcPr>
            <w:tcW w:w="8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1940,52</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9298</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1864,20</w:t>
            </w:r>
          </w:p>
        </w:tc>
      </w:tr>
      <w:tr w:rsidR="00EA7C7B" w:rsidRPr="00EA7C7B" w:rsidTr="00EA7C7B">
        <w:trPr>
          <w:trHeight w:val="377"/>
          <w:jc w:val="center"/>
        </w:trPr>
        <w:tc>
          <w:tcPr>
            <w:tcW w:w="141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Zeničko-dobojski</w:t>
            </w:r>
          </w:p>
        </w:tc>
        <w:tc>
          <w:tcPr>
            <w:tcW w:w="66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11965</w:t>
            </w:r>
          </w:p>
        </w:tc>
        <w:tc>
          <w:tcPr>
            <w:tcW w:w="93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2992,33</w:t>
            </w:r>
          </w:p>
        </w:tc>
        <w:tc>
          <w:tcPr>
            <w:tcW w:w="68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6137</w:t>
            </w:r>
          </w:p>
        </w:tc>
        <w:tc>
          <w:tcPr>
            <w:tcW w:w="96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1535,73</w:t>
            </w:r>
          </w:p>
        </w:tc>
        <w:tc>
          <w:tcPr>
            <w:tcW w:w="69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7145</w:t>
            </w:r>
          </w:p>
        </w:tc>
        <w:tc>
          <w:tcPr>
            <w:tcW w:w="10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1792,27</w:t>
            </w:r>
          </w:p>
        </w:tc>
        <w:tc>
          <w:tcPr>
            <w:tcW w:w="69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8838</w:t>
            </w:r>
          </w:p>
        </w:tc>
        <w:tc>
          <w:tcPr>
            <w:tcW w:w="8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2221,65</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11265</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2839,45</w:t>
            </w:r>
          </w:p>
        </w:tc>
      </w:tr>
      <w:tr w:rsidR="00EA7C7B" w:rsidRPr="00EA7C7B" w:rsidTr="00EA7C7B">
        <w:trPr>
          <w:trHeight w:val="377"/>
          <w:jc w:val="center"/>
        </w:trPr>
        <w:tc>
          <w:tcPr>
            <w:tcW w:w="141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Bosansko-podrinjski</w:t>
            </w:r>
          </w:p>
        </w:tc>
        <w:tc>
          <w:tcPr>
            <w:tcW w:w="66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927</w:t>
            </w:r>
          </w:p>
        </w:tc>
        <w:tc>
          <w:tcPr>
            <w:tcW w:w="93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2824,67</w:t>
            </w:r>
          </w:p>
        </w:tc>
        <w:tc>
          <w:tcPr>
            <w:tcW w:w="68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505</w:t>
            </w:r>
          </w:p>
        </w:tc>
        <w:tc>
          <w:tcPr>
            <w:tcW w:w="96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1545,52</w:t>
            </w:r>
          </w:p>
        </w:tc>
        <w:tc>
          <w:tcPr>
            <w:tcW w:w="69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993</w:t>
            </w:r>
          </w:p>
        </w:tc>
        <w:tc>
          <w:tcPr>
            <w:tcW w:w="10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3062,16</w:t>
            </w:r>
          </w:p>
        </w:tc>
        <w:tc>
          <w:tcPr>
            <w:tcW w:w="69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407</w:t>
            </w:r>
          </w:p>
        </w:tc>
        <w:tc>
          <w:tcPr>
            <w:tcW w:w="8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1256,56</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339</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1048,21</w:t>
            </w:r>
          </w:p>
        </w:tc>
      </w:tr>
      <w:tr w:rsidR="00EA7C7B" w:rsidRPr="00EA7C7B" w:rsidTr="00EA7C7B">
        <w:trPr>
          <w:trHeight w:val="377"/>
          <w:jc w:val="center"/>
        </w:trPr>
        <w:tc>
          <w:tcPr>
            <w:tcW w:w="141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Srednjobosanski</w:t>
            </w:r>
          </w:p>
        </w:tc>
        <w:tc>
          <w:tcPr>
            <w:tcW w:w="66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6725</w:t>
            </w:r>
          </w:p>
        </w:tc>
        <w:tc>
          <w:tcPr>
            <w:tcW w:w="93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2647,61</w:t>
            </w:r>
          </w:p>
        </w:tc>
        <w:tc>
          <w:tcPr>
            <w:tcW w:w="68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2173</w:t>
            </w:r>
          </w:p>
        </w:tc>
        <w:tc>
          <w:tcPr>
            <w:tcW w:w="96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856,89</w:t>
            </w:r>
          </w:p>
        </w:tc>
        <w:tc>
          <w:tcPr>
            <w:tcW w:w="69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1431</w:t>
            </w:r>
          </w:p>
        </w:tc>
        <w:tc>
          <w:tcPr>
            <w:tcW w:w="10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565,27</w:t>
            </w:r>
          </w:p>
        </w:tc>
        <w:tc>
          <w:tcPr>
            <w:tcW w:w="69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3311</w:t>
            </w:r>
          </w:p>
        </w:tc>
        <w:tc>
          <w:tcPr>
            <w:tcW w:w="8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1310,91</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1853</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736,15</w:t>
            </w:r>
          </w:p>
        </w:tc>
      </w:tr>
      <w:tr w:rsidR="00EA7C7B" w:rsidRPr="00EA7C7B" w:rsidTr="00EA7C7B">
        <w:trPr>
          <w:trHeight w:val="377"/>
          <w:jc w:val="center"/>
        </w:trPr>
        <w:tc>
          <w:tcPr>
            <w:tcW w:w="141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lastRenderedPageBreak/>
              <w:t>Hercegovačko-neretvanski</w:t>
            </w:r>
          </w:p>
        </w:tc>
        <w:tc>
          <w:tcPr>
            <w:tcW w:w="66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10748</w:t>
            </w:r>
          </w:p>
        </w:tc>
        <w:tc>
          <w:tcPr>
            <w:tcW w:w="93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4778,97</w:t>
            </w:r>
          </w:p>
        </w:tc>
        <w:tc>
          <w:tcPr>
            <w:tcW w:w="68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2264</w:t>
            </w:r>
          </w:p>
        </w:tc>
        <w:tc>
          <w:tcPr>
            <w:tcW w:w="96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1007,28</w:t>
            </w:r>
          </w:p>
        </w:tc>
        <w:tc>
          <w:tcPr>
            <w:tcW w:w="69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2583</w:t>
            </w:r>
          </w:p>
        </w:tc>
        <w:tc>
          <w:tcPr>
            <w:tcW w:w="10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1151,13</w:t>
            </w:r>
          </w:p>
        </w:tc>
        <w:tc>
          <w:tcPr>
            <w:tcW w:w="69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1411</w:t>
            </w:r>
          </w:p>
        </w:tc>
        <w:tc>
          <w:tcPr>
            <w:tcW w:w="8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629,83</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2561</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1146,01</w:t>
            </w:r>
          </w:p>
        </w:tc>
      </w:tr>
      <w:tr w:rsidR="00EA7C7B" w:rsidRPr="00EA7C7B" w:rsidTr="00EA7C7B">
        <w:trPr>
          <w:trHeight w:val="377"/>
          <w:jc w:val="center"/>
        </w:trPr>
        <w:tc>
          <w:tcPr>
            <w:tcW w:w="141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Zapadno-hercegovački</w:t>
            </w:r>
          </w:p>
        </w:tc>
        <w:tc>
          <w:tcPr>
            <w:tcW w:w="66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4705</w:t>
            </w:r>
          </w:p>
        </w:tc>
        <w:tc>
          <w:tcPr>
            <w:tcW w:w="93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5779,10</w:t>
            </w:r>
          </w:p>
        </w:tc>
        <w:tc>
          <w:tcPr>
            <w:tcW w:w="68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2023</w:t>
            </w:r>
          </w:p>
        </w:tc>
        <w:tc>
          <w:tcPr>
            <w:tcW w:w="96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2482,60</w:t>
            </w:r>
          </w:p>
        </w:tc>
        <w:tc>
          <w:tcPr>
            <w:tcW w:w="69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2455</w:t>
            </w:r>
          </w:p>
        </w:tc>
        <w:tc>
          <w:tcPr>
            <w:tcW w:w="10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3009,68</w:t>
            </w:r>
          </w:p>
        </w:tc>
        <w:tc>
          <w:tcPr>
            <w:tcW w:w="69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2467</w:t>
            </w:r>
          </w:p>
        </w:tc>
        <w:tc>
          <w:tcPr>
            <w:tcW w:w="8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3022,28</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3911</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4810,05</w:t>
            </w:r>
          </w:p>
        </w:tc>
      </w:tr>
      <w:tr w:rsidR="00EA7C7B" w:rsidRPr="00EA7C7B" w:rsidTr="00EA7C7B">
        <w:trPr>
          <w:trHeight w:val="377"/>
          <w:jc w:val="center"/>
        </w:trPr>
        <w:tc>
          <w:tcPr>
            <w:tcW w:w="141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Sarajevski</w:t>
            </w:r>
          </w:p>
        </w:tc>
        <w:tc>
          <w:tcPr>
            <w:tcW w:w="66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38784</w:t>
            </w:r>
          </w:p>
        </w:tc>
        <w:tc>
          <w:tcPr>
            <w:tcW w:w="93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8839,52</w:t>
            </w:r>
          </w:p>
        </w:tc>
        <w:tc>
          <w:tcPr>
            <w:tcW w:w="68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57584</w:t>
            </w:r>
          </w:p>
        </w:tc>
        <w:tc>
          <w:tcPr>
            <w:tcW w:w="96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13065,18</w:t>
            </w:r>
          </w:p>
        </w:tc>
        <w:tc>
          <w:tcPr>
            <w:tcW w:w="69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21001</w:t>
            </w:r>
          </w:p>
        </w:tc>
        <w:tc>
          <w:tcPr>
            <w:tcW w:w="10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4744,17</w:t>
            </w:r>
          </w:p>
        </w:tc>
        <w:tc>
          <w:tcPr>
            <w:tcW w:w="69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19278</w:t>
            </w:r>
          </w:p>
        </w:tc>
        <w:tc>
          <w:tcPr>
            <w:tcW w:w="8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4333,59</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18575</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4156,85</w:t>
            </w:r>
          </w:p>
        </w:tc>
      </w:tr>
      <w:tr w:rsidR="00EA7C7B" w:rsidRPr="00EA7C7B" w:rsidTr="00EA7C7B">
        <w:trPr>
          <w:trHeight w:val="377"/>
          <w:jc w:val="center"/>
        </w:trPr>
        <w:tc>
          <w:tcPr>
            <w:tcW w:w="141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Kanton 10</w:t>
            </w:r>
          </w:p>
        </w:tc>
        <w:tc>
          <w:tcPr>
            <w:tcW w:w="66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919</w:t>
            </w:r>
          </w:p>
        </w:tc>
        <w:tc>
          <w:tcPr>
            <w:tcW w:w="93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1150,49</w:t>
            </w:r>
          </w:p>
        </w:tc>
        <w:tc>
          <w:tcPr>
            <w:tcW w:w="68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291</w:t>
            </w:r>
          </w:p>
        </w:tc>
        <w:tc>
          <w:tcPr>
            <w:tcW w:w="96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336,73</w:t>
            </w:r>
          </w:p>
        </w:tc>
        <w:tc>
          <w:tcPr>
            <w:tcW w:w="69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369</w:t>
            </w:r>
          </w:p>
        </w:tc>
        <w:tc>
          <w:tcPr>
            <w:tcW w:w="10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467,98</w:t>
            </w:r>
          </w:p>
        </w:tc>
        <w:tc>
          <w:tcPr>
            <w:tcW w:w="69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335</w:t>
            </w:r>
          </w:p>
        </w:tc>
        <w:tc>
          <w:tcPr>
            <w:tcW w:w="8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427,49</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694</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EA7C7B" w:rsidRDefault="00A131AD" w:rsidP="000C0138">
            <w:pPr>
              <w:pStyle w:val="NoSpacing"/>
              <w:spacing w:line="276" w:lineRule="auto"/>
              <w:rPr>
                <w:sz w:val="18"/>
                <w:szCs w:val="18"/>
                <w:lang w:val="de-DE"/>
              </w:rPr>
            </w:pPr>
            <w:r w:rsidRPr="00EA7C7B">
              <w:rPr>
                <w:sz w:val="18"/>
                <w:szCs w:val="18"/>
                <w:lang w:val="de-DE"/>
              </w:rPr>
              <w:t>892,52</w:t>
            </w:r>
          </w:p>
        </w:tc>
      </w:tr>
    </w:tbl>
    <w:p w:rsidR="00284F26" w:rsidRDefault="00284F26" w:rsidP="000C0138">
      <w:pPr>
        <w:pStyle w:val="CommentText"/>
        <w:spacing w:line="276" w:lineRule="auto"/>
        <w:jc w:val="both"/>
        <w:rPr>
          <w:sz w:val="22"/>
          <w:szCs w:val="22"/>
          <w:lang w:val="pl-PL"/>
        </w:rPr>
      </w:pPr>
    </w:p>
    <w:p w:rsidR="00A131AD" w:rsidRDefault="00A131AD" w:rsidP="000C0138">
      <w:pPr>
        <w:pStyle w:val="CommentText"/>
        <w:spacing w:line="276" w:lineRule="auto"/>
        <w:jc w:val="both"/>
        <w:rPr>
          <w:sz w:val="22"/>
          <w:szCs w:val="22"/>
          <w:lang w:val="pl-PL"/>
        </w:rPr>
      </w:pPr>
      <w:r w:rsidRPr="00155F80">
        <w:rPr>
          <w:sz w:val="22"/>
          <w:szCs w:val="22"/>
          <w:lang w:val="pl-PL"/>
        </w:rPr>
        <w:t>U struk</w:t>
      </w:r>
      <w:r w:rsidR="00D50847">
        <w:rPr>
          <w:sz w:val="22"/>
          <w:szCs w:val="22"/>
          <w:lang w:val="pl-PL"/>
        </w:rPr>
        <w:t>turi vodećih zaraznih oboljenja</w:t>
      </w:r>
      <w:r w:rsidRPr="00155F80">
        <w:rPr>
          <w:sz w:val="22"/>
          <w:szCs w:val="22"/>
          <w:lang w:val="pl-PL"/>
        </w:rPr>
        <w:t xml:space="preserve"> </w:t>
      </w:r>
      <w:r w:rsidRPr="00155F80">
        <w:rPr>
          <w:sz w:val="22"/>
          <w:szCs w:val="22"/>
          <w:lang w:val="sl-SI"/>
        </w:rPr>
        <w:t>nema bitnih izmjena u odnosu na prethodnu godinu.  Kao i svake godine i u 2015.</w:t>
      </w:r>
      <w:r w:rsidR="00CA5BC1">
        <w:rPr>
          <w:sz w:val="22"/>
          <w:szCs w:val="22"/>
          <w:lang w:val="sl-SI"/>
        </w:rPr>
        <w:t xml:space="preserve"> godini</w:t>
      </w:r>
      <w:r w:rsidRPr="00155F80">
        <w:rPr>
          <w:sz w:val="22"/>
          <w:szCs w:val="22"/>
          <w:lang w:val="sl-SI"/>
        </w:rPr>
        <w:t>, one imaju najveće u</w:t>
      </w:r>
      <w:r w:rsidR="00243A26">
        <w:rPr>
          <w:sz w:val="22"/>
          <w:szCs w:val="22"/>
          <w:lang w:val="sl-SI"/>
        </w:rPr>
        <w:t>dio</w:t>
      </w:r>
      <w:r w:rsidRPr="00155F80">
        <w:rPr>
          <w:sz w:val="22"/>
          <w:szCs w:val="22"/>
          <w:lang w:val="sl-SI"/>
        </w:rPr>
        <w:t xml:space="preserve"> u ukupnom morbiditetu od zarazanih bolesti (96,5%), nešto malo više nego u</w:t>
      </w:r>
      <w:r w:rsidRPr="00155F80">
        <w:rPr>
          <w:sz w:val="22"/>
          <w:szCs w:val="22"/>
          <w:lang w:val="pl-PL"/>
        </w:rPr>
        <w:t xml:space="preserve"> 2014. godini (95,73%). </w:t>
      </w:r>
    </w:p>
    <w:p w:rsidR="00284F26" w:rsidRPr="00155F80" w:rsidRDefault="00284F26" w:rsidP="000C0138">
      <w:pPr>
        <w:pStyle w:val="CommentText"/>
        <w:spacing w:line="276" w:lineRule="auto"/>
        <w:jc w:val="both"/>
        <w:rPr>
          <w:sz w:val="22"/>
          <w:szCs w:val="22"/>
          <w:lang w:val="sl-SI"/>
        </w:rPr>
      </w:pPr>
    </w:p>
    <w:p w:rsidR="00A131AD" w:rsidRDefault="00A131AD" w:rsidP="000C0138">
      <w:pPr>
        <w:spacing w:line="276" w:lineRule="auto"/>
        <w:rPr>
          <w:rFonts w:ascii="Times New Roman" w:hAnsi="Times New Roman"/>
          <w:lang w:val="pl-PL"/>
        </w:rPr>
      </w:pPr>
      <w:r w:rsidRPr="00155F80">
        <w:rPr>
          <w:rFonts w:ascii="Times New Roman" w:hAnsi="Times New Roman"/>
          <w:lang w:val="pl-PL"/>
        </w:rPr>
        <w:t>Među vodećim zaraznim bolestima najviše je onih iz grupe respiratornih zaraznih bolesti (gripa/bolesti slične gripi, varičele, streptokokna angina, TBC respiratornog sustava, morbili, scarlatina i infektivna mononukleoza). Na visokom trećem mjestu je akutni enterokolitis, te petom mjestu skabijes.</w:t>
      </w:r>
    </w:p>
    <w:p w:rsidR="00284F26" w:rsidRDefault="00284F26" w:rsidP="000C0138">
      <w:pPr>
        <w:spacing w:line="276" w:lineRule="auto"/>
        <w:rPr>
          <w:rFonts w:ascii="Times New Roman" w:hAnsi="Times New Roman"/>
          <w:lang w:val="pl-PL"/>
        </w:rPr>
      </w:pPr>
    </w:p>
    <w:p w:rsidR="00284F26" w:rsidRDefault="00284F26" w:rsidP="000C0138">
      <w:pPr>
        <w:spacing w:line="276" w:lineRule="auto"/>
        <w:rPr>
          <w:rFonts w:ascii="Times New Roman" w:hAnsi="Times New Roman"/>
          <w:lang w:val="pl-PL"/>
        </w:rPr>
      </w:pPr>
    </w:p>
    <w:p w:rsidR="00284F26" w:rsidRDefault="00284F26" w:rsidP="000C0138">
      <w:pPr>
        <w:spacing w:line="276" w:lineRule="auto"/>
        <w:rPr>
          <w:rFonts w:ascii="Times New Roman" w:hAnsi="Times New Roman"/>
          <w:lang w:val="pl-PL"/>
        </w:rPr>
      </w:pPr>
    </w:p>
    <w:p w:rsidR="00284F26" w:rsidRDefault="00284F26" w:rsidP="000C0138">
      <w:pPr>
        <w:spacing w:line="276" w:lineRule="auto"/>
        <w:rPr>
          <w:rFonts w:ascii="Times New Roman" w:hAnsi="Times New Roman"/>
          <w:lang w:val="pl-PL"/>
        </w:rPr>
      </w:pPr>
    </w:p>
    <w:p w:rsidR="00284F26" w:rsidRDefault="00284F26" w:rsidP="000C0138">
      <w:pPr>
        <w:spacing w:line="276" w:lineRule="auto"/>
        <w:rPr>
          <w:rFonts w:ascii="Times New Roman" w:hAnsi="Times New Roman"/>
          <w:lang w:val="pl-PL"/>
        </w:rPr>
      </w:pPr>
    </w:p>
    <w:p w:rsidR="00276D53" w:rsidRDefault="00276D53" w:rsidP="000C0138">
      <w:pPr>
        <w:spacing w:line="276" w:lineRule="auto"/>
        <w:rPr>
          <w:rFonts w:ascii="Times New Roman" w:hAnsi="Times New Roman"/>
          <w:lang w:val="pl-PL"/>
        </w:rPr>
      </w:pPr>
    </w:p>
    <w:p w:rsidR="00284F26" w:rsidRDefault="00284F26" w:rsidP="000C0138">
      <w:pPr>
        <w:spacing w:line="276" w:lineRule="auto"/>
        <w:rPr>
          <w:rFonts w:ascii="Times New Roman" w:hAnsi="Times New Roman"/>
          <w:lang w:val="pl-PL"/>
        </w:rPr>
      </w:pPr>
    </w:p>
    <w:p w:rsidR="00284F26" w:rsidRDefault="00284F26" w:rsidP="000C0138">
      <w:pPr>
        <w:spacing w:line="276" w:lineRule="auto"/>
        <w:rPr>
          <w:rFonts w:ascii="Times New Roman" w:hAnsi="Times New Roman"/>
          <w:lang w:val="pl-PL"/>
        </w:rPr>
      </w:pPr>
    </w:p>
    <w:p w:rsidR="00284F26" w:rsidRDefault="00284F26" w:rsidP="000C0138">
      <w:pPr>
        <w:spacing w:line="276" w:lineRule="auto"/>
        <w:rPr>
          <w:rFonts w:ascii="Times New Roman" w:hAnsi="Times New Roman"/>
          <w:lang w:val="pl-PL"/>
        </w:rPr>
      </w:pPr>
    </w:p>
    <w:p w:rsidR="00284F26" w:rsidRDefault="00284F26" w:rsidP="000C0138">
      <w:pPr>
        <w:spacing w:line="276" w:lineRule="auto"/>
        <w:rPr>
          <w:rFonts w:ascii="Times New Roman" w:hAnsi="Times New Roman"/>
          <w:lang w:val="pl-PL"/>
        </w:rPr>
      </w:pPr>
    </w:p>
    <w:p w:rsidR="00284F26" w:rsidRDefault="00284F26" w:rsidP="000C0138">
      <w:pPr>
        <w:spacing w:line="276" w:lineRule="auto"/>
        <w:rPr>
          <w:rFonts w:ascii="Times New Roman" w:hAnsi="Times New Roman"/>
          <w:lang w:val="pl-PL"/>
        </w:rPr>
      </w:pPr>
    </w:p>
    <w:p w:rsidR="00A131AD" w:rsidRPr="00155F80" w:rsidRDefault="00A131AD" w:rsidP="00EB7CC7">
      <w:pPr>
        <w:pStyle w:val="refererere"/>
        <w:rPr>
          <w:lang w:val="it-IT"/>
        </w:rPr>
      </w:pPr>
      <w:bookmarkStart w:id="26" w:name="_Toc453328504"/>
      <w:bookmarkStart w:id="27" w:name="_Toc453917694"/>
      <w:r w:rsidRPr="00155F80">
        <w:rPr>
          <w:lang w:val="it-IT"/>
        </w:rPr>
        <w:t>Tabl</w:t>
      </w:r>
      <w:r w:rsidR="00FE3B0D">
        <w:rPr>
          <w:lang w:val="it-IT"/>
        </w:rPr>
        <w:t>ic</w:t>
      </w:r>
      <w:r w:rsidRPr="00155F80">
        <w:rPr>
          <w:lang w:val="it-IT"/>
        </w:rPr>
        <w:t>a 7:  Deset  vodećih zaraznih bolesti u Federaciji BiH, 2015. i 2014.godina</w:t>
      </w:r>
      <w:bookmarkEnd w:id="26"/>
      <w:bookmarkEnd w:id="27"/>
    </w:p>
    <w:tbl>
      <w:tblPr>
        <w:tblW w:w="90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525"/>
        <w:gridCol w:w="2040"/>
        <w:gridCol w:w="802"/>
        <w:gridCol w:w="1062"/>
        <w:gridCol w:w="521"/>
        <w:gridCol w:w="2065"/>
        <w:gridCol w:w="942"/>
        <w:gridCol w:w="1044"/>
      </w:tblGrid>
      <w:tr w:rsidR="00A131AD" w:rsidRPr="00155F80" w:rsidTr="00284F26">
        <w:trPr>
          <w:trHeight w:hRule="exact" w:val="350"/>
          <w:jc w:val="center"/>
        </w:trPr>
        <w:tc>
          <w:tcPr>
            <w:tcW w:w="4429" w:type="dxa"/>
            <w:gridSpan w:val="4"/>
            <w:tcBorders>
              <w:top w:val="single" w:sz="4" w:space="0" w:color="auto"/>
              <w:left w:val="single" w:sz="4" w:space="0" w:color="auto"/>
              <w:bottom w:val="single" w:sz="4" w:space="0" w:color="auto"/>
              <w:right w:val="single" w:sz="4" w:space="0" w:color="auto"/>
            </w:tcBorders>
            <w:shd w:val="clear" w:color="auto" w:fill="E7E6E6" w:themeFill="background2"/>
            <w:hideMark/>
          </w:tcPr>
          <w:p w:rsidR="00A131AD" w:rsidRPr="00284F26" w:rsidRDefault="00A131AD" w:rsidP="000C0138">
            <w:pPr>
              <w:pStyle w:val="NoSpacing"/>
              <w:spacing w:line="276" w:lineRule="auto"/>
              <w:jc w:val="center"/>
              <w:rPr>
                <w:b/>
                <w:sz w:val="20"/>
                <w:szCs w:val="20"/>
                <w:lang w:val="it-IT"/>
              </w:rPr>
            </w:pPr>
            <w:r w:rsidRPr="00284F26">
              <w:rPr>
                <w:b/>
                <w:sz w:val="20"/>
                <w:szCs w:val="20"/>
                <w:lang w:val="it-IT"/>
              </w:rPr>
              <w:t>2015.</w:t>
            </w:r>
          </w:p>
        </w:tc>
        <w:tc>
          <w:tcPr>
            <w:tcW w:w="4572" w:type="dxa"/>
            <w:gridSpan w:val="4"/>
            <w:tcBorders>
              <w:top w:val="single" w:sz="4" w:space="0" w:color="auto"/>
              <w:left w:val="single" w:sz="4" w:space="0" w:color="auto"/>
              <w:bottom w:val="single" w:sz="4" w:space="0" w:color="auto"/>
              <w:right w:val="single" w:sz="4" w:space="0" w:color="auto"/>
            </w:tcBorders>
            <w:shd w:val="clear" w:color="auto" w:fill="E7E6E6" w:themeFill="background2"/>
            <w:hideMark/>
          </w:tcPr>
          <w:p w:rsidR="00A131AD" w:rsidRPr="00284F26" w:rsidRDefault="00A131AD" w:rsidP="000C0138">
            <w:pPr>
              <w:pStyle w:val="NoSpacing"/>
              <w:spacing w:line="276" w:lineRule="auto"/>
              <w:jc w:val="center"/>
              <w:rPr>
                <w:b/>
                <w:sz w:val="20"/>
                <w:szCs w:val="20"/>
                <w:lang w:val="it-IT"/>
              </w:rPr>
            </w:pPr>
            <w:r w:rsidRPr="00284F26">
              <w:rPr>
                <w:b/>
                <w:sz w:val="20"/>
                <w:szCs w:val="20"/>
                <w:lang w:val="it-IT"/>
              </w:rPr>
              <w:t>2014.</w:t>
            </w:r>
          </w:p>
        </w:tc>
      </w:tr>
      <w:tr w:rsidR="00A131AD" w:rsidRPr="00155F80" w:rsidTr="00284F26">
        <w:trPr>
          <w:trHeight w:hRule="exact" w:val="1581"/>
          <w:jc w:val="center"/>
        </w:trPr>
        <w:tc>
          <w:tcPr>
            <w:tcW w:w="525" w:type="dxa"/>
            <w:tcBorders>
              <w:top w:val="single" w:sz="4" w:space="0" w:color="auto"/>
              <w:left w:val="single" w:sz="4" w:space="0" w:color="auto"/>
              <w:bottom w:val="single" w:sz="4" w:space="0" w:color="auto"/>
              <w:right w:val="single" w:sz="4" w:space="0" w:color="auto"/>
            </w:tcBorders>
            <w:shd w:val="clear" w:color="auto" w:fill="E7E6E6" w:themeFill="background2"/>
            <w:textDirection w:val="btLr"/>
            <w:hideMark/>
          </w:tcPr>
          <w:p w:rsidR="00A131AD" w:rsidRPr="00284F26" w:rsidRDefault="00A131AD" w:rsidP="000C0138">
            <w:pPr>
              <w:pStyle w:val="NoSpacing"/>
              <w:spacing w:line="276" w:lineRule="auto"/>
              <w:rPr>
                <w:b/>
                <w:sz w:val="20"/>
                <w:szCs w:val="20"/>
                <w:lang w:val="it-IT"/>
              </w:rPr>
            </w:pPr>
            <w:r w:rsidRPr="00284F26">
              <w:rPr>
                <w:b/>
                <w:sz w:val="20"/>
                <w:szCs w:val="20"/>
                <w:lang w:val="it-IT"/>
              </w:rPr>
              <w:t xml:space="preserve">       Rang</w:t>
            </w:r>
          </w:p>
        </w:tc>
        <w:tc>
          <w:tcPr>
            <w:tcW w:w="2040" w:type="dxa"/>
            <w:tcBorders>
              <w:top w:val="single" w:sz="4" w:space="0" w:color="auto"/>
              <w:left w:val="single" w:sz="4" w:space="0" w:color="auto"/>
              <w:bottom w:val="single" w:sz="4" w:space="0" w:color="auto"/>
              <w:right w:val="single" w:sz="4" w:space="0" w:color="auto"/>
            </w:tcBorders>
            <w:shd w:val="clear" w:color="auto" w:fill="E7E6E6" w:themeFill="background2"/>
          </w:tcPr>
          <w:p w:rsidR="00A131AD" w:rsidRPr="00284F26" w:rsidRDefault="00A131AD" w:rsidP="000C0138">
            <w:pPr>
              <w:pStyle w:val="NoSpacing"/>
              <w:spacing w:line="276" w:lineRule="auto"/>
              <w:rPr>
                <w:b/>
                <w:sz w:val="20"/>
                <w:szCs w:val="20"/>
                <w:lang w:val="it-IT"/>
              </w:rPr>
            </w:pPr>
          </w:p>
          <w:p w:rsidR="00A131AD" w:rsidRPr="00284F26" w:rsidRDefault="00A131AD" w:rsidP="000C0138">
            <w:pPr>
              <w:pStyle w:val="NoSpacing"/>
              <w:spacing w:line="276" w:lineRule="auto"/>
              <w:rPr>
                <w:b/>
                <w:sz w:val="20"/>
                <w:szCs w:val="20"/>
                <w:lang w:val="it-IT"/>
              </w:rPr>
            </w:pPr>
          </w:p>
          <w:p w:rsidR="00A131AD" w:rsidRPr="00284F26" w:rsidRDefault="00A131AD" w:rsidP="000C0138">
            <w:pPr>
              <w:pStyle w:val="NoSpacing"/>
              <w:spacing w:line="276" w:lineRule="auto"/>
              <w:rPr>
                <w:b/>
                <w:sz w:val="20"/>
                <w:szCs w:val="20"/>
                <w:lang w:val="it-IT"/>
              </w:rPr>
            </w:pPr>
            <w:r w:rsidRPr="00284F26">
              <w:rPr>
                <w:b/>
                <w:sz w:val="20"/>
                <w:szCs w:val="20"/>
                <w:lang w:val="it-IT"/>
              </w:rPr>
              <w:t>Bolest</w:t>
            </w:r>
          </w:p>
        </w:tc>
        <w:tc>
          <w:tcPr>
            <w:tcW w:w="802" w:type="dxa"/>
            <w:tcBorders>
              <w:top w:val="single" w:sz="4" w:space="0" w:color="auto"/>
              <w:left w:val="single" w:sz="4" w:space="0" w:color="auto"/>
              <w:bottom w:val="single" w:sz="4" w:space="0" w:color="auto"/>
              <w:right w:val="single" w:sz="4" w:space="0" w:color="auto"/>
            </w:tcBorders>
            <w:shd w:val="clear" w:color="auto" w:fill="E7E6E6" w:themeFill="background2"/>
            <w:textDirection w:val="btLr"/>
            <w:hideMark/>
          </w:tcPr>
          <w:p w:rsidR="00A131AD" w:rsidRPr="00284F26" w:rsidRDefault="00A131AD" w:rsidP="000C0138">
            <w:pPr>
              <w:pStyle w:val="NoSpacing"/>
              <w:spacing w:line="276" w:lineRule="auto"/>
              <w:rPr>
                <w:b/>
                <w:sz w:val="20"/>
                <w:szCs w:val="20"/>
                <w:lang w:val="it-IT"/>
              </w:rPr>
            </w:pPr>
            <w:r w:rsidRPr="00284F26">
              <w:rPr>
                <w:b/>
                <w:sz w:val="20"/>
                <w:szCs w:val="20"/>
                <w:lang w:val="it-IT"/>
              </w:rPr>
              <w:t>Broj registriranih slučajeva</w:t>
            </w:r>
          </w:p>
        </w:tc>
        <w:tc>
          <w:tcPr>
            <w:tcW w:w="1060" w:type="dxa"/>
            <w:tcBorders>
              <w:top w:val="single" w:sz="4" w:space="0" w:color="auto"/>
              <w:left w:val="single" w:sz="4" w:space="0" w:color="auto"/>
              <w:bottom w:val="single" w:sz="4" w:space="0" w:color="auto"/>
              <w:right w:val="single" w:sz="4" w:space="0" w:color="auto"/>
            </w:tcBorders>
            <w:shd w:val="clear" w:color="auto" w:fill="E7E6E6" w:themeFill="background2"/>
            <w:textDirection w:val="btLr"/>
            <w:hideMark/>
          </w:tcPr>
          <w:p w:rsidR="00A131AD" w:rsidRPr="00284F26" w:rsidRDefault="00A131AD" w:rsidP="000C0138">
            <w:pPr>
              <w:pStyle w:val="NoSpacing"/>
              <w:spacing w:line="276" w:lineRule="auto"/>
              <w:rPr>
                <w:b/>
                <w:sz w:val="20"/>
                <w:szCs w:val="20"/>
                <w:lang w:val="it-IT"/>
              </w:rPr>
            </w:pPr>
            <w:r w:rsidRPr="00284F26">
              <w:rPr>
                <w:b/>
                <w:sz w:val="20"/>
                <w:szCs w:val="20"/>
                <w:lang w:val="it-IT"/>
              </w:rPr>
              <w:t>Mb/100</w:t>
            </w:r>
            <w:r w:rsidR="00D50847" w:rsidRPr="00284F26">
              <w:rPr>
                <w:b/>
                <w:sz w:val="20"/>
                <w:szCs w:val="20"/>
                <w:lang w:val="it-IT"/>
              </w:rPr>
              <w:t>.</w:t>
            </w:r>
            <w:r w:rsidRPr="00284F26">
              <w:rPr>
                <w:b/>
                <w:sz w:val="20"/>
                <w:szCs w:val="20"/>
                <w:lang w:val="it-IT"/>
              </w:rPr>
              <w:t>000</w:t>
            </w:r>
          </w:p>
        </w:tc>
        <w:tc>
          <w:tcPr>
            <w:tcW w:w="521" w:type="dxa"/>
            <w:tcBorders>
              <w:top w:val="single" w:sz="4" w:space="0" w:color="auto"/>
              <w:left w:val="single" w:sz="4" w:space="0" w:color="auto"/>
              <w:bottom w:val="single" w:sz="4" w:space="0" w:color="auto"/>
              <w:right w:val="single" w:sz="4" w:space="0" w:color="auto"/>
            </w:tcBorders>
            <w:shd w:val="clear" w:color="auto" w:fill="E7E6E6" w:themeFill="background2"/>
            <w:textDirection w:val="btLr"/>
            <w:hideMark/>
          </w:tcPr>
          <w:p w:rsidR="00A131AD" w:rsidRPr="00284F26" w:rsidRDefault="00A131AD" w:rsidP="000C0138">
            <w:pPr>
              <w:pStyle w:val="NoSpacing"/>
              <w:spacing w:line="276" w:lineRule="auto"/>
              <w:rPr>
                <w:b/>
                <w:sz w:val="20"/>
                <w:szCs w:val="20"/>
                <w:lang w:val="it-IT"/>
              </w:rPr>
            </w:pPr>
            <w:r w:rsidRPr="00284F26">
              <w:rPr>
                <w:b/>
                <w:sz w:val="20"/>
                <w:szCs w:val="20"/>
                <w:lang w:val="it-IT"/>
              </w:rPr>
              <w:t xml:space="preserve">    Rang</w:t>
            </w:r>
          </w:p>
        </w:tc>
        <w:tc>
          <w:tcPr>
            <w:tcW w:w="2065" w:type="dxa"/>
            <w:tcBorders>
              <w:top w:val="single" w:sz="4" w:space="0" w:color="auto"/>
              <w:left w:val="single" w:sz="4" w:space="0" w:color="auto"/>
              <w:bottom w:val="single" w:sz="4" w:space="0" w:color="auto"/>
              <w:right w:val="single" w:sz="4" w:space="0" w:color="auto"/>
            </w:tcBorders>
            <w:shd w:val="clear" w:color="auto" w:fill="E7E6E6" w:themeFill="background2"/>
          </w:tcPr>
          <w:p w:rsidR="00A131AD" w:rsidRPr="00284F26" w:rsidRDefault="00A131AD" w:rsidP="000C0138">
            <w:pPr>
              <w:pStyle w:val="NoSpacing"/>
              <w:spacing w:line="276" w:lineRule="auto"/>
              <w:rPr>
                <w:b/>
                <w:sz w:val="20"/>
                <w:szCs w:val="20"/>
                <w:lang w:val="it-IT"/>
              </w:rPr>
            </w:pPr>
          </w:p>
          <w:p w:rsidR="00A131AD" w:rsidRPr="00284F26" w:rsidRDefault="00A131AD" w:rsidP="000C0138">
            <w:pPr>
              <w:pStyle w:val="NoSpacing"/>
              <w:spacing w:line="276" w:lineRule="auto"/>
              <w:rPr>
                <w:b/>
                <w:sz w:val="20"/>
                <w:szCs w:val="20"/>
                <w:lang w:val="it-IT"/>
              </w:rPr>
            </w:pPr>
          </w:p>
          <w:p w:rsidR="00A131AD" w:rsidRPr="00284F26" w:rsidRDefault="00A131AD" w:rsidP="000C0138">
            <w:pPr>
              <w:pStyle w:val="NoSpacing"/>
              <w:spacing w:line="276" w:lineRule="auto"/>
              <w:rPr>
                <w:b/>
                <w:sz w:val="20"/>
                <w:szCs w:val="20"/>
                <w:lang w:val="it-IT"/>
              </w:rPr>
            </w:pPr>
            <w:r w:rsidRPr="00284F26">
              <w:rPr>
                <w:b/>
                <w:sz w:val="20"/>
                <w:szCs w:val="20"/>
                <w:lang w:val="it-IT"/>
              </w:rPr>
              <w:t>Bolest</w:t>
            </w:r>
          </w:p>
        </w:tc>
        <w:tc>
          <w:tcPr>
            <w:tcW w:w="942" w:type="dxa"/>
            <w:tcBorders>
              <w:top w:val="single" w:sz="4" w:space="0" w:color="auto"/>
              <w:left w:val="single" w:sz="4" w:space="0" w:color="auto"/>
              <w:bottom w:val="single" w:sz="4" w:space="0" w:color="auto"/>
              <w:right w:val="single" w:sz="4" w:space="0" w:color="auto"/>
            </w:tcBorders>
            <w:shd w:val="clear" w:color="auto" w:fill="E7E6E6" w:themeFill="background2"/>
            <w:textDirection w:val="btLr"/>
            <w:hideMark/>
          </w:tcPr>
          <w:p w:rsidR="00A131AD" w:rsidRPr="00284F26" w:rsidRDefault="00A131AD" w:rsidP="000C0138">
            <w:pPr>
              <w:pStyle w:val="NoSpacing"/>
              <w:spacing w:line="276" w:lineRule="auto"/>
              <w:rPr>
                <w:b/>
                <w:sz w:val="20"/>
                <w:szCs w:val="20"/>
                <w:lang w:val="it-IT"/>
              </w:rPr>
            </w:pPr>
            <w:r w:rsidRPr="00284F26">
              <w:rPr>
                <w:b/>
                <w:sz w:val="20"/>
                <w:szCs w:val="20"/>
                <w:lang w:val="it-IT"/>
              </w:rPr>
              <w:t>Broj registriranih slučajeva</w:t>
            </w:r>
          </w:p>
        </w:tc>
        <w:tc>
          <w:tcPr>
            <w:tcW w:w="1042" w:type="dxa"/>
            <w:tcBorders>
              <w:top w:val="single" w:sz="4" w:space="0" w:color="auto"/>
              <w:left w:val="single" w:sz="4" w:space="0" w:color="auto"/>
              <w:bottom w:val="single" w:sz="4" w:space="0" w:color="auto"/>
              <w:right w:val="single" w:sz="4" w:space="0" w:color="auto"/>
            </w:tcBorders>
            <w:shd w:val="clear" w:color="auto" w:fill="E7E6E6" w:themeFill="background2"/>
            <w:textDirection w:val="btLr"/>
            <w:hideMark/>
          </w:tcPr>
          <w:p w:rsidR="00A131AD" w:rsidRPr="00284F26" w:rsidRDefault="00A131AD" w:rsidP="000C0138">
            <w:pPr>
              <w:pStyle w:val="NoSpacing"/>
              <w:spacing w:line="276" w:lineRule="auto"/>
              <w:rPr>
                <w:b/>
                <w:sz w:val="20"/>
                <w:szCs w:val="20"/>
                <w:lang w:val="it-IT"/>
              </w:rPr>
            </w:pPr>
            <w:r w:rsidRPr="00284F26">
              <w:rPr>
                <w:b/>
                <w:sz w:val="20"/>
                <w:szCs w:val="20"/>
                <w:lang w:val="it-IT"/>
              </w:rPr>
              <w:t>Mb/100</w:t>
            </w:r>
            <w:r w:rsidR="00D50847" w:rsidRPr="00284F26">
              <w:rPr>
                <w:b/>
                <w:sz w:val="20"/>
                <w:szCs w:val="20"/>
                <w:lang w:val="it-IT"/>
              </w:rPr>
              <w:t>.</w:t>
            </w:r>
            <w:r w:rsidRPr="00284F26">
              <w:rPr>
                <w:b/>
                <w:sz w:val="20"/>
                <w:szCs w:val="20"/>
                <w:lang w:val="it-IT"/>
              </w:rPr>
              <w:t>000</w:t>
            </w:r>
          </w:p>
        </w:tc>
      </w:tr>
      <w:tr w:rsidR="00A131AD" w:rsidRPr="00155F80" w:rsidTr="001911A6">
        <w:trPr>
          <w:trHeight w:hRule="exact" w:val="350"/>
          <w:jc w:val="center"/>
        </w:trPr>
        <w:tc>
          <w:tcPr>
            <w:tcW w:w="52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155F80" w:rsidRDefault="00A131AD" w:rsidP="000C0138">
            <w:pPr>
              <w:pStyle w:val="NoSpacing"/>
              <w:spacing w:line="276" w:lineRule="auto"/>
              <w:rPr>
                <w:sz w:val="20"/>
                <w:szCs w:val="20"/>
                <w:lang w:val="it-IT"/>
              </w:rPr>
            </w:pPr>
            <w:r w:rsidRPr="00155F80">
              <w:rPr>
                <w:sz w:val="20"/>
                <w:szCs w:val="20"/>
                <w:lang w:val="it-IT"/>
              </w:rPr>
              <w:t>1</w:t>
            </w:r>
          </w:p>
        </w:tc>
        <w:tc>
          <w:tcPr>
            <w:tcW w:w="20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rPr>
                <w:sz w:val="20"/>
                <w:szCs w:val="20"/>
                <w:lang w:val="it-IT"/>
              </w:rPr>
            </w:pPr>
            <w:r w:rsidRPr="00155F80">
              <w:rPr>
                <w:sz w:val="20"/>
                <w:szCs w:val="20"/>
                <w:lang w:val="it-IT"/>
              </w:rPr>
              <w:t>ILI/ gripa</w:t>
            </w:r>
          </w:p>
        </w:tc>
        <w:tc>
          <w:tcPr>
            <w:tcW w:w="80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jc w:val="center"/>
              <w:rPr>
                <w:sz w:val="20"/>
                <w:szCs w:val="20"/>
                <w:lang w:val="it-IT"/>
              </w:rPr>
            </w:pPr>
            <w:r w:rsidRPr="00155F80">
              <w:rPr>
                <w:sz w:val="20"/>
                <w:szCs w:val="20"/>
                <w:lang w:val="it-IT"/>
              </w:rPr>
              <w:t>35048</w:t>
            </w:r>
          </w:p>
        </w:tc>
        <w:tc>
          <w:tcPr>
            <w:tcW w:w="10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jc w:val="center"/>
              <w:rPr>
                <w:sz w:val="20"/>
                <w:szCs w:val="20"/>
                <w:lang w:val="it-IT"/>
              </w:rPr>
            </w:pPr>
            <w:r w:rsidRPr="00155F80">
              <w:rPr>
                <w:sz w:val="20"/>
                <w:szCs w:val="20"/>
                <w:lang w:val="it-IT"/>
              </w:rPr>
              <w:t>1501,40</w:t>
            </w:r>
          </w:p>
        </w:tc>
        <w:tc>
          <w:tcPr>
            <w:tcW w:w="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jc w:val="center"/>
              <w:rPr>
                <w:sz w:val="20"/>
                <w:szCs w:val="20"/>
                <w:lang w:val="it-IT"/>
              </w:rPr>
            </w:pPr>
            <w:r w:rsidRPr="00155F80">
              <w:rPr>
                <w:sz w:val="20"/>
                <w:szCs w:val="20"/>
                <w:lang w:val="it-IT"/>
              </w:rPr>
              <w:t>1</w:t>
            </w:r>
          </w:p>
        </w:tc>
        <w:tc>
          <w:tcPr>
            <w:tcW w:w="20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rPr>
                <w:sz w:val="20"/>
                <w:szCs w:val="20"/>
                <w:lang w:val="it-IT"/>
              </w:rPr>
            </w:pPr>
            <w:r w:rsidRPr="00155F80">
              <w:rPr>
                <w:sz w:val="20"/>
                <w:szCs w:val="20"/>
                <w:lang w:val="it-IT"/>
              </w:rPr>
              <w:t>ILI/ gripa</w:t>
            </w:r>
          </w:p>
        </w:tc>
        <w:tc>
          <w:tcPr>
            <w:tcW w:w="9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jc w:val="center"/>
              <w:rPr>
                <w:sz w:val="20"/>
                <w:szCs w:val="20"/>
                <w:lang w:val="it-IT"/>
              </w:rPr>
            </w:pPr>
            <w:r w:rsidRPr="00155F80">
              <w:rPr>
                <w:sz w:val="20"/>
                <w:szCs w:val="20"/>
                <w:lang w:val="it-IT"/>
              </w:rPr>
              <w:t>30658</w:t>
            </w:r>
          </w:p>
        </w:tc>
        <w:tc>
          <w:tcPr>
            <w:tcW w:w="10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jc w:val="center"/>
              <w:rPr>
                <w:sz w:val="20"/>
                <w:szCs w:val="20"/>
                <w:lang w:val="it-IT"/>
              </w:rPr>
            </w:pPr>
            <w:r w:rsidRPr="00155F80">
              <w:rPr>
                <w:sz w:val="20"/>
                <w:szCs w:val="20"/>
                <w:lang w:val="it-IT"/>
              </w:rPr>
              <w:t>1312,01</w:t>
            </w:r>
          </w:p>
        </w:tc>
      </w:tr>
      <w:tr w:rsidR="00A131AD" w:rsidRPr="00155F80" w:rsidTr="001911A6">
        <w:trPr>
          <w:trHeight w:hRule="exact" w:val="350"/>
          <w:jc w:val="center"/>
        </w:trPr>
        <w:tc>
          <w:tcPr>
            <w:tcW w:w="52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155F80" w:rsidRDefault="00A131AD" w:rsidP="000C0138">
            <w:pPr>
              <w:pStyle w:val="NoSpacing"/>
              <w:spacing w:line="276" w:lineRule="auto"/>
              <w:rPr>
                <w:sz w:val="20"/>
                <w:szCs w:val="20"/>
                <w:lang w:val="it-IT"/>
              </w:rPr>
            </w:pPr>
            <w:r w:rsidRPr="00155F80">
              <w:rPr>
                <w:sz w:val="20"/>
                <w:szCs w:val="20"/>
                <w:lang w:val="it-IT"/>
              </w:rPr>
              <w:t>2</w:t>
            </w:r>
          </w:p>
        </w:tc>
        <w:tc>
          <w:tcPr>
            <w:tcW w:w="20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rPr>
                <w:sz w:val="20"/>
                <w:szCs w:val="20"/>
                <w:lang w:val="it-IT"/>
              </w:rPr>
            </w:pPr>
            <w:r w:rsidRPr="00155F80">
              <w:rPr>
                <w:sz w:val="20"/>
                <w:szCs w:val="20"/>
                <w:lang w:val="it-IT"/>
              </w:rPr>
              <w:t>Varicellae</w:t>
            </w:r>
          </w:p>
        </w:tc>
        <w:tc>
          <w:tcPr>
            <w:tcW w:w="80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jc w:val="center"/>
              <w:rPr>
                <w:sz w:val="20"/>
                <w:szCs w:val="20"/>
                <w:lang w:val="it-IT"/>
              </w:rPr>
            </w:pPr>
            <w:r w:rsidRPr="00155F80">
              <w:rPr>
                <w:sz w:val="20"/>
                <w:szCs w:val="20"/>
                <w:lang w:val="it-IT"/>
              </w:rPr>
              <w:t>6366</w:t>
            </w:r>
          </w:p>
        </w:tc>
        <w:tc>
          <w:tcPr>
            <w:tcW w:w="10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jc w:val="center"/>
              <w:rPr>
                <w:sz w:val="20"/>
                <w:szCs w:val="20"/>
                <w:lang w:val="it-IT"/>
              </w:rPr>
            </w:pPr>
            <w:r w:rsidRPr="00155F80">
              <w:rPr>
                <w:sz w:val="20"/>
                <w:szCs w:val="20"/>
                <w:lang w:val="it-IT"/>
              </w:rPr>
              <w:t>272,71</w:t>
            </w:r>
          </w:p>
        </w:tc>
        <w:tc>
          <w:tcPr>
            <w:tcW w:w="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jc w:val="center"/>
              <w:rPr>
                <w:sz w:val="20"/>
                <w:szCs w:val="20"/>
                <w:lang w:val="it-IT"/>
              </w:rPr>
            </w:pPr>
            <w:r w:rsidRPr="00155F80">
              <w:rPr>
                <w:sz w:val="20"/>
                <w:szCs w:val="20"/>
                <w:lang w:val="it-IT"/>
              </w:rPr>
              <w:t>2</w:t>
            </w:r>
          </w:p>
        </w:tc>
        <w:tc>
          <w:tcPr>
            <w:tcW w:w="20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rPr>
                <w:sz w:val="20"/>
                <w:szCs w:val="20"/>
                <w:lang w:val="it-IT"/>
              </w:rPr>
            </w:pPr>
            <w:r w:rsidRPr="00155F80">
              <w:rPr>
                <w:sz w:val="20"/>
                <w:szCs w:val="20"/>
                <w:lang w:val="it-IT"/>
              </w:rPr>
              <w:t>Varicellae</w:t>
            </w:r>
          </w:p>
        </w:tc>
        <w:tc>
          <w:tcPr>
            <w:tcW w:w="9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jc w:val="center"/>
              <w:rPr>
                <w:sz w:val="20"/>
                <w:szCs w:val="20"/>
                <w:lang w:val="it-IT"/>
              </w:rPr>
            </w:pPr>
            <w:r w:rsidRPr="00155F80">
              <w:rPr>
                <w:sz w:val="20"/>
                <w:szCs w:val="20"/>
                <w:lang w:val="it-IT"/>
              </w:rPr>
              <w:t>5350</w:t>
            </w:r>
          </w:p>
        </w:tc>
        <w:tc>
          <w:tcPr>
            <w:tcW w:w="10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jc w:val="center"/>
              <w:rPr>
                <w:sz w:val="20"/>
                <w:szCs w:val="20"/>
                <w:lang w:val="it-IT"/>
              </w:rPr>
            </w:pPr>
            <w:r w:rsidRPr="00155F80">
              <w:rPr>
                <w:sz w:val="20"/>
                <w:szCs w:val="20"/>
                <w:lang w:val="it-IT"/>
              </w:rPr>
              <w:t>228,95</w:t>
            </w:r>
          </w:p>
        </w:tc>
      </w:tr>
      <w:tr w:rsidR="00A131AD" w:rsidRPr="00155F80" w:rsidTr="001911A6">
        <w:trPr>
          <w:trHeight w:hRule="exact" w:val="350"/>
          <w:jc w:val="center"/>
        </w:trPr>
        <w:tc>
          <w:tcPr>
            <w:tcW w:w="52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155F80" w:rsidRDefault="00A131AD" w:rsidP="000C0138">
            <w:pPr>
              <w:pStyle w:val="NoSpacing"/>
              <w:spacing w:line="276" w:lineRule="auto"/>
              <w:rPr>
                <w:sz w:val="20"/>
                <w:szCs w:val="20"/>
                <w:lang w:val="it-IT"/>
              </w:rPr>
            </w:pPr>
            <w:r w:rsidRPr="00155F80">
              <w:rPr>
                <w:sz w:val="20"/>
                <w:szCs w:val="20"/>
                <w:lang w:val="it-IT"/>
              </w:rPr>
              <w:t>3</w:t>
            </w:r>
          </w:p>
        </w:tc>
        <w:tc>
          <w:tcPr>
            <w:tcW w:w="20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rPr>
                <w:sz w:val="20"/>
                <w:szCs w:val="20"/>
                <w:lang w:val="it-IT"/>
              </w:rPr>
            </w:pPr>
            <w:r w:rsidRPr="00155F80">
              <w:rPr>
                <w:sz w:val="20"/>
                <w:szCs w:val="20"/>
                <w:lang w:val="it-IT"/>
              </w:rPr>
              <w:t>Enterocolitis acuta</w:t>
            </w:r>
          </w:p>
        </w:tc>
        <w:tc>
          <w:tcPr>
            <w:tcW w:w="80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jc w:val="center"/>
              <w:rPr>
                <w:sz w:val="20"/>
                <w:szCs w:val="20"/>
                <w:lang w:val="it-IT"/>
              </w:rPr>
            </w:pPr>
            <w:r w:rsidRPr="00155F80">
              <w:rPr>
                <w:sz w:val="20"/>
                <w:szCs w:val="20"/>
                <w:lang w:val="it-IT"/>
              </w:rPr>
              <w:t>4653</w:t>
            </w:r>
          </w:p>
        </w:tc>
        <w:tc>
          <w:tcPr>
            <w:tcW w:w="10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jc w:val="center"/>
              <w:rPr>
                <w:sz w:val="20"/>
                <w:szCs w:val="20"/>
                <w:lang w:val="it-IT"/>
              </w:rPr>
            </w:pPr>
            <w:r w:rsidRPr="00155F80">
              <w:rPr>
                <w:sz w:val="20"/>
                <w:szCs w:val="20"/>
                <w:lang w:val="it-IT"/>
              </w:rPr>
              <w:t>199,33</w:t>
            </w:r>
          </w:p>
        </w:tc>
        <w:tc>
          <w:tcPr>
            <w:tcW w:w="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jc w:val="center"/>
              <w:rPr>
                <w:sz w:val="20"/>
                <w:szCs w:val="20"/>
                <w:lang w:val="it-IT"/>
              </w:rPr>
            </w:pPr>
            <w:r w:rsidRPr="00155F80">
              <w:rPr>
                <w:sz w:val="20"/>
                <w:szCs w:val="20"/>
                <w:lang w:val="it-IT"/>
              </w:rPr>
              <w:t>3</w:t>
            </w:r>
          </w:p>
        </w:tc>
        <w:tc>
          <w:tcPr>
            <w:tcW w:w="20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rPr>
                <w:sz w:val="20"/>
                <w:szCs w:val="20"/>
                <w:lang w:val="it-IT"/>
              </w:rPr>
            </w:pPr>
            <w:r w:rsidRPr="00155F80">
              <w:rPr>
                <w:sz w:val="20"/>
                <w:szCs w:val="20"/>
                <w:lang w:val="it-IT"/>
              </w:rPr>
              <w:t>Enterocolitis acuta</w:t>
            </w:r>
          </w:p>
        </w:tc>
        <w:tc>
          <w:tcPr>
            <w:tcW w:w="9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jc w:val="center"/>
              <w:rPr>
                <w:sz w:val="20"/>
                <w:szCs w:val="20"/>
                <w:lang w:val="it-IT"/>
              </w:rPr>
            </w:pPr>
            <w:r w:rsidRPr="00155F80">
              <w:rPr>
                <w:sz w:val="20"/>
                <w:szCs w:val="20"/>
                <w:lang w:val="it-IT"/>
              </w:rPr>
              <w:t>3500</w:t>
            </w:r>
          </w:p>
        </w:tc>
        <w:tc>
          <w:tcPr>
            <w:tcW w:w="10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jc w:val="center"/>
              <w:rPr>
                <w:sz w:val="20"/>
                <w:szCs w:val="20"/>
                <w:lang w:val="it-IT"/>
              </w:rPr>
            </w:pPr>
            <w:r w:rsidRPr="00155F80">
              <w:rPr>
                <w:sz w:val="20"/>
                <w:szCs w:val="20"/>
                <w:lang w:val="it-IT"/>
              </w:rPr>
              <w:t>149,78</w:t>
            </w:r>
          </w:p>
        </w:tc>
      </w:tr>
      <w:tr w:rsidR="00A131AD" w:rsidRPr="00155F80" w:rsidTr="001911A6">
        <w:trPr>
          <w:trHeight w:hRule="exact" w:val="350"/>
          <w:jc w:val="center"/>
        </w:trPr>
        <w:tc>
          <w:tcPr>
            <w:tcW w:w="52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155F80" w:rsidRDefault="00A131AD" w:rsidP="000C0138">
            <w:pPr>
              <w:pStyle w:val="NoSpacing"/>
              <w:spacing w:line="276" w:lineRule="auto"/>
              <w:rPr>
                <w:sz w:val="20"/>
                <w:szCs w:val="20"/>
                <w:lang w:val="it-IT"/>
              </w:rPr>
            </w:pPr>
            <w:r w:rsidRPr="00155F80">
              <w:rPr>
                <w:sz w:val="20"/>
                <w:szCs w:val="20"/>
                <w:lang w:val="it-IT"/>
              </w:rPr>
              <w:t>4</w:t>
            </w:r>
          </w:p>
        </w:tc>
        <w:tc>
          <w:tcPr>
            <w:tcW w:w="20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rPr>
                <w:sz w:val="20"/>
                <w:szCs w:val="20"/>
                <w:lang w:val="it-IT"/>
              </w:rPr>
            </w:pPr>
            <w:r w:rsidRPr="00155F80">
              <w:rPr>
                <w:sz w:val="20"/>
                <w:szCs w:val="20"/>
                <w:lang w:val="it-IT"/>
              </w:rPr>
              <w:t>Morbilli</w:t>
            </w:r>
          </w:p>
        </w:tc>
        <w:tc>
          <w:tcPr>
            <w:tcW w:w="80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jc w:val="center"/>
              <w:rPr>
                <w:sz w:val="20"/>
                <w:szCs w:val="20"/>
                <w:lang w:val="it-IT"/>
              </w:rPr>
            </w:pPr>
            <w:r w:rsidRPr="00155F80">
              <w:rPr>
                <w:sz w:val="20"/>
                <w:szCs w:val="20"/>
                <w:lang w:val="it-IT"/>
              </w:rPr>
              <w:t>1677</w:t>
            </w:r>
          </w:p>
        </w:tc>
        <w:tc>
          <w:tcPr>
            <w:tcW w:w="10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jc w:val="center"/>
              <w:rPr>
                <w:sz w:val="20"/>
                <w:szCs w:val="20"/>
                <w:lang w:val="it-IT"/>
              </w:rPr>
            </w:pPr>
            <w:r w:rsidRPr="00155F80">
              <w:rPr>
                <w:sz w:val="20"/>
                <w:szCs w:val="20"/>
                <w:lang w:val="it-IT"/>
              </w:rPr>
              <w:t>71,84</w:t>
            </w:r>
          </w:p>
        </w:tc>
        <w:tc>
          <w:tcPr>
            <w:tcW w:w="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jc w:val="center"/>
              <w:rPr>
                <w:sz w:val="20"/>
                <w:szCs w:val="20"/>
                <w:lang w:val="it-IT"/>
              </w:rPr>
            </w:pPr>
            <w:r w:rsidRPr="00155F80">
              <w:rPr>
                <w:sz w:val="20"/>
                <w:szCs w:val="20"/>
                <w:lang w:val="it-IT"/>
              </w:rPr>
              <w:t>4</w:t>
            </w:r>
          </w:p>
        </w:tc>
        <w:tc>
          <w:tcPr>
            <w:tcW w:w="20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rPr>
                <w:sz w:val="20"/>
                <w:szCs w:val="20"/>
                <w:lang w:val="it-IT"/>
              </w:rPr>
            </w:pPr>
            <w:r w:rsidRPr="00155F80">
              <w:rPr>
                <w:sz w:val="20"/>
                <w:szCs w:val="20"/>
                <w:lang w:val="it-IT"/>
              </w:rPr>
              <w:t>Morbilli</w:t>
            </w:r>
          </w:p>
        </w:tc>
        <w:tc>
          <w:tcPr>
            <w:tcW w:w="9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jc w:val="center"/>
              <w:rPr>
                <w:sz w:val="20"/>
                <w:szCs w:val="20"/>
                <w:lang w:val="it-IT"/>
              </w:rPr>
            </w:pPr>
            <w:r w:rsidRPr="00155F80">
              <w:rPr>
                <w:sz w:val="20"/>
                <w:szCs w:val="20"/>
                <w:lang w:val="it-IT"/>
              </w:rPr>
              <w:t>3426</w:t>
            </w:r>
          </w:p>
        </w:tc>
        <w:tc>
          <w:tcPr>
            <w:tcW w:w="10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jc w:val="center"/>
              <w:rPr>
                <w:sz w:val="20"/>
                <w:szCs w:val="20"/>
                <w:lang w:val="it-IT"/>
              </w:rPr>
            </w:pPr>
            <w:r w:rsidRPr="00155F80">
              <w:rPr>
                <w:sz w:val="20"/>
                <w:szCs w:val="20"/>
                <w:lang w:val="it-IT"/>
              </w:rPr>
              <w:t>146,62</w:t>
            </w:r>
          </w:p>
        </w:tc>
      </w:tr>
      <w:tr w:rsidR="00A131AD" w:rsidRPr="00155F80" w:rsidTr="001911A6">
        <w:trPr>
          <w:trHeight w:hRule="exact" w:val="350"/>
          <w:jc w:val="center"/>
        </w:trPr>
        <w:tc>
          <w:tcPr>
            <w:tcW w:w="52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155F80" w:rsidRDefault="00A131AD" w:rsidP="000C0138">
            <w:pPr>
              <w:pStyle w:val="NoSpacing"/>
              <w:spacing w:line="276" w:lineRule="auto"/>
              <w:rPr>
                <w:sz w:val="20"/>
                <w:szCs w:val="20"/>
                <w:lang w:val="it-IT"/>
              </w:rPr>
            </w:pPr>
            <w:r w:rsidRPr="00155F80">
              <w:rPr>
                <w:sz w:val="20"/>
                <w:szCs w:val="20"/>
                <w:lang w:val="it-IT"/>
              </w:rPr>
              <w:t>5</w:t>
            </w:r>
          </w:p>
        </w:tc>
        <w:tc>
          <w:tcPr>
            <w:tcW w:w="20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rPr>
                <w:sz w:val="20"/>
                <w:szCs w:val="20"/>
                <w:lang w:val="it-IT"/>
              </w:rPr>
            </w:pPr>
            <w:r w:rsidRPr="00155F80">
              <w:rPr>
                <w:sz w:val="20"/>
                <w:szCs w:val="20"/>
                <w:lang w:val="it-IT"/>
              </w:rPr>
              <w:t>Scabies</w:t>
            </w:r>
          </w:p>
        </w:tc>
        <w:tc>
          <w:tcPr>
            <w:tcW w:w="80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jc w:val="center"/>
              <w:rPr>
                <w:sz w:val="20"/>
                <w:szCs w:val="20"/>
                <w:lang w:val="it-IT"/>
              </w:rPr>
            </w:pPr>
            <w:r w:rsidRPr="00155F80">
              <w:rPr>
                <w:sz w:val="20"/>
                <w:szCs w:val="20"/>
                <w:lang w:val="it-IT"/>
              </w:rPr>
              <w:t>1148</w:t>
            </w:r>
          </w:p>
        </w:tc>
        <w:tc>
          <w:tcPr>
            <w:tcW w:w="10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jc w:val="center"/>
              <w:rPr>
                <w:sz w:val="20"/>
                <w:szCs w:val="20"/>
                <w:lang w:val="it-IT"/>
              </w:rPr>
            </w:pPr>
            <w:r w:rsidRPr="00155F80">
              <w:rPr>
                <w:sz w:val="20"/>
                <w:szCs w:val="20"/>
                <w:lang w:val="it-IT"/>
              </w:rPr>
              <w:t>49,18</w:t>
            </w:r>
          </w:p>
        </w:tc>
        <w:tc>
          <w:tcPr>
            <w:tcW w:w="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jc w:val="center"/>
              <w:rPr>
                <w:sz w:val="20"/>
                <w:szCs w:val="20"/>
                <w:lang w:val="it-IT"/>
              </w:rPr>
            </w:pPr>
            <w:r w:rsidRPr="00155F80">
              <w:rPr>
                <w:sz w:val="20"/>
                <w:szCs w:val="20"/>
                <w:lang w:val="it-IT"/>
              </w:rPr>
              <w:t>5</w:t>
            </w:r>
          </w:p>
        </w:tc>
        <w:tc>
          <w:tcPr>
            <w:tcW w:w="20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rPr>
                <w:sz w:val="20"/>
                <w:szCs w:val="20"/>
                <w:lang w:val="it-IT"/>
              </w:rPr>
            </w:pPr>
            <w:r w:rsidRPr="00155F80">
              <w:rPr>
                <w:sz w:val="20"/>
                <w:szCs w:val="20"/>
                <w:lang w:val="it-IT"/>
              </w:rPr>
              <w:t>Scabies</w:t>
            </w:r>
          </w:p>
        </w:tc>
        <w:tc>
          <w:tcPr>
            <w:tcW w:w="9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jc w:val="center"/>
              <w:rPr>
                <w:sz w:val="20"/>
                <w:szCs w:val="20"/>
                <w:lang w:val="it-IT"/>
              </w:rPr>
            </w:pPr>
            <w:r w:rsidRPr="00155F80">
              <w:rPr>
                <w:sz w:val="20"/>
                <w:szCs w:val="20"/>
                <w:lang w:val="it-IT"/>
              </w:rPr>
              <w:t>1463</w:t>
            </w:r>
          </w:p>
        </w:tc>
        <w:tc>
          <w:tcPr>
            <w:tcW w:w="10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jc w:val="center"/>
              <w:rPr>
                <w:sz w:val="20"/>
                <w:szCs w:val="20"/>
                <w:lang w:val="it-IT"/>
              </w:rPr>
            </w:pPr>
            <w:r w:rsidRPr="00155F80">
              <w:rPr>
                <w:sz w:val="20"/>
                <w:szCs w:val="20"/>
                <w:lang w:val="it-IT"/>
              </w:rPr>
              <w:t>62,61</w:t>
            </w:r>
          </w:p>
        </w:tc>
      </w:tr>
      <w:tr w:rsidR="00A131AD" w:rsidRPr="00155F80" w:rsidTr="001911A6">
        <w:trPr>
          <w:trHeight w:hRule="exact" w:val="350"/>
          <w:jc w:val="center"/>
        </w:trPr>
        <w:tc>
          <w:tcPr>
            <w:tcW w:w="52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155F80" w:rsidRDefault="00A131AD" w:rsidP="000C0138">
            <w:pPr>
              <w:pStyle w:val="NoSpacing"/>
              <w:spacing w:line="276" w:lineRule="auto"/>
              <w:rPr>
                <w:sz w:val="20"/>
                <w:szCs w:val="20"/>
                <w:lang w:val="it-IT"/>
              </w:rPr>
            </w:pPr>
            <w:r w:rsidRPr="00155F80">
              <w:rPr>
                <w:sz w:val="20"/>
                <w:szCs w:val="20"/>
                <w:lang w:val="it-IT"/>
              </w:rPr>
              <w:t>6</w:t>
            </w:r>
          </w:p>
        </w:tc>
        <w:tc>
          <w:tcPr>
            <w:tcW w:w="20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rPr>
                <w:sz w:val="20"/>
                <w:szCs w:val="20"/>
                <w:lang w:val="it-IT"/>
              </w:rPr>
            </w:pPr>
            <w:r w:rsidRPr="00155F80">
              <w:rPr>
                <w:sz w:val="20"/>
                <w:szCs w:val="20"/>
                <w:lang w:val="it-IT"/>
              </w:rPr>
              <w:t>Herpes zoster</w:t>
            </w:r>
          </w:p>
        </w:tc>
        <w:tc>
          <w:tcPr>
            <w:tcW w:w="80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jc w:val="center"/>
              <w:rPr>
                <w:sz w:val="20"/>
                <w:szCs w:val="20"/>
                <w:lang w:val="it-IT"/>
              </w:rPr>
            </w:pPr>
            <w:r w:rsidRPr="00155F80">
              <w:rPr>
                <w:sz w:val="20"/>
                <w:szCs w:val="20"/>
                <w:lang w:val="it-IT"/>
              </w:rPr>
              <w:t>904</w:t>
            </w:r>
          </w:p>
        </w:tc>
        <w:tc>
          <w:tcPr>
            <w:tcW w:w="10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jc w:val="center"/>
              <w:rPr>
                <w:sz w:val="20"/>
                <w:szCs w:val="20"/>
                <w:lang w:val="it-IT"/>
              </w:rPr>
            </w:pPr>
            <w:r w:rsidRPr="00155F80">
              <w:rPr>
                <w:sz w:val="20"/>
                <w:szCs w:val="20"/>
                <w:lang w:val="it-IT"/>
              </w:rPr>
              <w:t>38,73</w:t>
            </w:r>
          </w:p>
        </w:tc>
        <w:tc>
          <w:tcPr>
            <w:tcW w:w="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jc w:val="center"/>
              <w:rPr>
                <w:sz w:val="20"/>
                <w:szCs w:val="20"/>
                <w:lang w:val="it-IT"/>
              </w:rPr>
            </w:pPr>
            <w:r w:rsidRPr="00155F80">
              <w:rPr>
                <w:sz w:val="20"/>
                <w:szCs w:val="20"/>
                <w:lang w:val="it-IT"/>
              </w:rPr>
              <w:t>6</w:t>
            </w:r>
          </w:p>
        </w:tc>
        <w:tc>
          <w:tcPr>
            <w:tcW w:w="20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rPr>
                <w:sz w:val="20"/>
                <w:szCs w:val="20"/>
                <w:lang w:val="it-IT"/>
              </w:rPr>
            </w:pPr>
            <w:r w:rsidRPr="00155F80">
              <w:rPr>
                <w:sz w:val="20"/>
                <w:szCs w:val="20"/>
                <w:lang w:val="it-IT"/>
              </w:rPr>
              <w:t>Angina streptococcica</w:t>
            </w:r>
          </w:p>
        </w:tc>
        <w:tc>
          <w:tcPr>
            <w:tcW w:w="9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jc w:val="center"/>
              <w:rPr>
                <w:sz w:val="20"/>
                <w:szCs w:val="20"/>
                <w:lang w:val="it-IT"/>
              </w:rPr>
            </w:pPr>
            <w:r w:rsidRPr="00155F80">
              <w:rPr>
                <w:sz w:val="20"/>
                <w:szCs w:val="20"/>
                <w:lang w:val="it-IT"/>
              </w:rPr>
              <w:t>807</w:t>
            </w:r>
          </w:p>
        </w:tc>
        <w:tc>
          <w:tcPr>
            <w:tcW w:w="10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jc w:val="center"/>
              <w:rPr>
                <w:sz w:val="20"/>
                <w:szCs w:val="20"/>
                <w:lang w:val="it-IT"/>
              </w:rPr>
            </w:pPr>
            <w:r w:rsidRPr="00155F80">
              <w:rPr>
                <w:sz w:val="20"/>
                <w:szCs w:val="20"/>
                <w:lang w:val="it-IT"/>
              </w:rPr>
              <w:t>34,54</w:t>
            </w:r>
          </w:p>
        </w:tc>
      </w:tr>
      <w:tr w:rsidR="00A131AD" w:rsidRPr="00155F80" w:rsidTr="001911A6">
        <w:trPr>
          <w:trHeight w:hRule="exact" w:val="350"/>
          <w:jc w:val="center"/>
        </w:trPr>
        <w:tc>
          <w:tcPr>
            <w:tcW w:w="52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155F80" w:rsidRDefault="00A131AD" w:rsidP="000C0138">
            <w:pPr>
              <w:pStyle w:val="NoSpacing"/>
              <w:spacing w:line="276" w:lineRule="auto"/>
              <w:rPr>
                <w:sz w:val="20"/>
                <w:szCs w:val="20"/>
                <w:lang w:val="it-IT"/>
              </w:rPr>
            </w:pPr>
            <w:r w:rsidRPr="00155F80">
              <w:rPr>
                <w:sz w:val="20"/>
                <w:szCs w:val="20"/>
                <w:lang w:val="it-IT"/>
              </w:rPr>
              <w:t>7</w:t>
            </w:r>
          </w:p>
        </w:tc>
        <w:tc>
          <w:tcPr>
            <w:tcW w:w="20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rPr>
                <w:sz w:val="20"/>
                <w:szCs w:val="20"/>
                <w:lang w:val="it-IT"/>
              </w:rPr>
            </w:pPr>
            <w:r w:rsidRPr="00155F80">
              <w:rPr>
                <w:sz w:val="20"/>
                <w:szCs w:val="20"/>
                <w:lang w:val="it-IT"/>
              </w:rPr>
              <w:t>TBC resp. sustava</w:t>
            </w:r>
          </w:p>
        </w:tc>
        <w:tc>
          <w:tcPr>
            <w:tcW w:w="80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jc w:val="center"/>
              <w:rPr>
                <w:sz w:val="20"/>
                <w:szCs w:val="20"/>
                <w:lang w:val="it-IT"/>
              </w:rPr>
            </w:pPr>
            <w:r w:rsidRPr="00155F80">
              <w:rPr>
                <w:sz w:val="20"/>
                <w:szCs w:val="20"/>
                <w:lang w:val="it-IT"/>
              </w:rPr>
              <w:t>664</w:t>
            </w:r>
          </w:p>
        </w:tc>
        <w:tc>
          <w:tcPr>
            <w:tcW w:w="10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jc w:val="center"/>
              <w:rPr>
                <w:sz w:val="20"/>
                <w:szCs w:val="20"/>
                <w:lang w:val="it-IT"/>
              </w:rPr>
            </w:pPr>
            <w:r w:rsidRPr="00155F80">
              <w:rPr>
                <w:sz w:val="20"/>
                <w:szCs w:val="20"/>
                <w:lang w:val="it-IT"/>
              </w:rPr>
              <w:t>28,44</w:t>
            </w:r>
          </w:p>
        </w:tc>
        <w:tc>
          <w:tcPr>
            <w:tcW w:w="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jc w:val="center"/>
              <w:rPr>
                <w:sz w:val="20"/>
                <w:szCs w:val="20"/>
                <w:lang w:val="it-IT"/>
              </w:rPr>
            </w:pPr>
            <w:r w:rsidRPr="00155F80">
              <w:rPr>
                <w:sz w:val="20"/>
                <w:szCs w:val="20"/>
                <w:lang w:val="it-IT"/>
              </w:rPr>
              <w:t>7</w:t>
            </w:r>
          </w:p>
        </w:tc>
        <w:tc>
          <w:tcPr>
            <w:tcW w:w="20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rPr>
                <w:sz w:val="20"/>
                <w:szCs w:val="20"/>
                <w:lang w:val="it-IT"/>
              </w:rPr>
            </w:pPr>
            <w:r w:rsidRPr="00155F80">
              <w:rPr>
                <w:sz w:val="20"/>
                <w:szCs w:val="20"/>
                <w:lang w:val="it-IT"/>
              </w:rPr>
              <w:t>Herpes zoster</w:t>
            </w:r>
          </w:p>
        </w:tc>
        <w:tc>
          <w:tcPr>
            <w:tcW w:w="9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jc w:val="center"/>
              <w:rPr>
                <w:sz w:val="20"/>
                <w:szCs w:val="20"/>
                <w:lang w:val="it-IT"/>
              </w:rPr>
            </w:pPr>
            <w:r w:rsidRPr="00155F80">
              <w:rPr>
                <w:sz w:val="20"/>
                <w:szCs w:val="20"/>
                <w:lang w:val="it-IT"/>
              </w:rPr>
              <w:t>791</w:t>
            </w:r>
          </w:p>
        </w:tc>
        <w:tc>
          <w:tcPr>
            <w:tcW w:w="10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jc w:val="center"/>
              <w:rPr>
                <w:sz w:val="20"/>
                <w:szCs w:val="20"/>
                <w:lang w:val="it-IT"/>
              </w:rPr>
            </w:pPr>
            <w:r w:rsidRPr="00155F80">
              <w:rPr>
                <w:sz w:val="20"/>
                <w:szCs w:val="20"/>
                <w:lang w:val="it-IT"/>
              </w:rPr>
              <w:t>33,85</w:t>
            </w:r>
          </w:p>
        </w:tc>
      </w:tr>
      <w:tr w:rsidR="00A131AD" w:rsidRPr="00155F80" w:rsidTr="001911A6">
        <w:trPr>
          <w:trHeight w:hRule="exact" w:val="350"/>
          <w:jc w:val="center"/>
        </w:trPr>
        <w:tc>
          <w:tcPr>
            <w:tcW w:w="52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155F80" w:rsidRDefault="00A131AD" w:rsidP="000C0138">
            <w:pPr>
              <w:pStyle w:val="NoSpacing"/>
              <w:spacing w:line="276" w:lineRule="auto"/>
              <w:rPr>
                <w:sz w:val="20"/>
                <w:szCs w:val="20"/>
                <w:lang w:val="it-IT"/>
              </w:rPr>
            </w:pPr>
            <w:r w:rsidRPr="00155F80">
              <w:rPr>
                <w:sz w:val="20"/>
                <w:szCs w:val="20"/>
                <w:lang w:val="it-IT"/>
              </w:rPr>
              <w:t>8</w:t>
            </w:r>
          </w:p>
        </w:tc>
        <w:tc>
          <w:tcPr>
            <w:tcW w:w="20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rPr>
                <w:sz w:val="20"/>
                <w:szCs w:val="20"/>
                <w:lang w:val="it-IT"/>
              </w:rPr>
            </w:pPr>
            <w:r w:rsidRPr="00155F80">
              <w:rPr>
                <w:sz w:val="20"/>
                <w:szCs w:val="20"/>
                <w:lang w:val="it-IT"/>
              </w:rPr>
              <w:t>Angina streptococcica</w:t>
            </w:r>
          </w:p>
        </w:tc>
        <w:tc>
          <w:tcPr>
            <w:tcW w:w="80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jc w:val="center"/>
              <w:rPr>
                <w:sz w:val="20"/>
                <w:szCs w:val="20"/>
                <w:lang w:val="it-IT"/>
              </w:rPr>
            </w:pPr>
            <w:r w:rsidRPr="00155F80">
              <w:rPr>
                <w:sz w:val="20"/>
                <w:szCs w:val="20"/>
                <w:lang w:val="it-IT"/>
              </w:rPr>
              <w:t>648</w:t>
            </w:r>
          </w:p>
        </w:tc>
        <w:tc>
          <w:tcPr>
            <w:tcW w:w="10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jc w:val="center"/>
              <w:rPr>
                <w:sz w:val="20"/>
                <w:szCs w:val="20"/>
                <w:lang w:val="it-IT"/>
              </w:rPr>
            </w:pPr>
            <w:r w:rsidRPr="00155F80">
              <w:rPr>
                <w:sz w:val="20"/>
                <w:szCs w:val="20"/>
                <w:lang w:val="it-IT"/>
              </w:rPr>
              <w:t>27,76</w:t>
            </w:r>
          </w:p>
        </w:tc>
        <w:tc>
          <w:tcPr>
            <w:tcW w:w="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jc w:val="center"/>
              <w:rPr>
                <w:sz w:val="20"/>
                <w:szCs w:val="20"/>
                <w:lang w:val="it-IT"/>
              </w:rPr>
            </w:pPr>
            <w:r w:rsidRPr="00155F80">
              <w:rPr>
                <w:sz w:val="20"/>
                <w:szCs w:val="20"/>
                <w:lang w:val="it-IT"/>
              </w:rPr>
              <w:t>8</w:t>
            </w:r>
          </w:p>
        </w:tc>
        <w:tc>
          <w:tcPr>
            <w:tcW w:w="20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rPr>
                <w:sz w:val="20"/>
                <w:szCs w:val="20"/>
                <w:lang w:val="it-IT"/>
              </w:rPr>
            </w:pPr>
            <w:r w:rsidRPr="00155F80">
              <w:rPr>
                <w:sz w:val="20"/>
                <w:szCs w:val="20"/>
                <w:lang w:val="it-IT"/>
              </w:rPr>
              <w:t>TBC resp. sustava</w:t>
            </w:r>
          </w:p>
        </w:tc>
        <w:tc>
          <w:tcPr>
            <w:tcW w:w="9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jc w:val="center"/>
              <w:rPr>
                <w:sz w:val="20"/>
                <w:szCs w:val="20"/>
                <w:lang w:val="it-IT"/>
              </w:rPr>
            </w:pPr>
            <w:r w:rsidRPr="00155F80">
              <w:rPr>
                <w:sz w:val="20"/>
                <w:szCs w:val="20"/>
                <w:lang w:val="it-IT"/>
              </w:rPr>
              <w:t>773</w:t>
            </w:r>
          </w:p>
        </w:tc>
        <w:tc>
          <w:tcPr>
            <w:tcW w:w="10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jc w:val="center"/>
              <w:rPr>
                <w:sz w:val="20"/>
                <w:szCs w:val="20"/>
                <w:lang w:val="it-IT"/>
              </w:rPr>
            </w:pPr>
            <w:r w:rsidRPr="00155F80">
              <w:rPr>
                <w:sz w:val="20"/>
                <w:szCs w:val="20"/>
                <w:lang w:val="it-IT"/>
              </w:rPr>
              <w:t>33,08</w:t>
            </w:r>
          </w:p>
        </w:tc>
      </w:tr>
      <w:tr w:rsidR="00A131AD" w:rsidRPr="00155F80" w:rsidTr="001911A6">
        <w:trPr>
          <w:trHeight w:hRule="exact" w:val="350"/>
          <w:jc w:val="center"/>
        </w:trPr>
        <w:tc>
          <w:tcPr>
            <w:tcW w:w="52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155F80" w:rsidRDefault="00A131AD" w:rsidP="000C0138">
            <w:pPr>
              <w:pStyle w:val="NoSpacing"/>
              <w:spacing w:line="276" w:lineRule="auto"/>
              <w:rPr>
                <w:sz w:val="20"/>
                <w:szCs w:val="20"/>
                <w:lang w:val="it-IT"/>
              </w:rPr>
            </w:pPr>
            <w:r w:rsidRPr="00155F80">
              <w:rPr>
                <w:sz w:val="20"/>
                <w:szCs w:val="20"/>
                <w:lang w:val="it-IT"/>
              </w:rPr>
              <w:t>9</w:t>
            </w:r>
          </w:p>
        </w:tc>
        <w:tc>
          <w:tcPr>
            <w:tcW w:w="20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rPr>
                <w:sz w:val="20"/>
                <w:szCs w:val="20"/>
                <w:lang w:val="it-IT"/>
              </w:rPr>
            </w:pPr>
            <w:r w:rsidRPr="00155F80">
              <w:rPr>
                <w:sz w:val="20"/>
                <w:szCs w:val="20"/>
                <w:lang w:val="it-IT"/>
              </w:rPr>
              <w:t>Scarlatina</w:t>
            </w:r>
          </w:p>
        </w:tc>
        <w:tc>
          <w:tcPr>
            <w:tcW w:w="80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jc w:val="center"/>
              <w:rPr>
                <w:sz w:val="20"/>
                <w:szCs w:val="20"/>
                <w:lang w:val="it-IT"/>
              </w:rPr>
            </w:pPr>
            <w:r w:rsidRPr="00155F80">
              <w:rPr>
                <w:sz w:val="20"/>
                <w:szCs w:val="20"/>
                <w:lang w:val="it-IT"/>
              </w:rPr>
              <w:t>606</w:t>
            </w:r>
          </w:p>
        </w:tc>
        <w:tc>
          <w:tcPr>
            <w:tcW w:w="10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jc w:val="center"/>
              <w:rPr>
                <w:sz w:val="20"/>
                <w:szCs w:val="20"/>
                <w:lang w:val="it-IT"/>
              </w:rPr>
            </w:pPr>
            <w:r w:rsidRPr="00155F80">
              <w:rPr>
                <w:sz w:val="20"/>
                <w:szCs w:val="20"/>
                <w:lang w:val="it-IT"/>
              </w:rPr>
              <w:t>25,96</w:t>
            </w:r>
          </w:p>
        </w:tc>
        <w:tc>
          <w:tcPr>
            <w:tcW w:w="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jc w:val="center"/>
              <w:rPr>
                <w:sz w:val="20"/>
                <w:szCs w:val="20"/>
                <w:lang w:val="it-IT"/>
              </w:rPr>
            </w:pPr>
            <w:r w:rsidRPr="00155F80">
              <w:rPr>
                <w:sz w:val="20"/>
                <w:szCs w:val="20"/>
                <w:lang w:val="it-IT"/>
              </w:rPr>
              <w:t>9</w:t>
            </w:r>
          </w:p>
        </w:tc>
        <w:tc>
          <w:tcPr>
            <w:tcW w:w="20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rPr>
                <w:sz w:val="20"/>
                <w:szCs w:val="20"/>
                <w:lang w:val="it-IT"/>
              </w:rPr>
            </w:pPr>
            <w:r w:rsidRPr="00155F80">
              <w:rPr>
                <w:sz w:val="20"/>
                <w:szCs w:val="20"/>
                <w:lang w:val="it-IT"/>
              </w:rPr>
              <w:t>Scarlatina</w:t>
            </w:r>
          </w:p>
        </w:tc>
        <w:tc>
          <w:tcPr>
            <w:tcW w:w="9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jc w:val="center"/>
              <w:rPr>
                <w:sz w:val="20"/>
                <w:szCs w:val="20"/>
                <w:lang w:val="it-IT"/>
              </w:rPr>
            </w:pPr>
            <w:r w:rsidRPr="00155F80">
              <w:rPr>
                <w:sz w:val="20"/>
                <w:szCs w:val="20"/>
                <w:lang w:val="it-IT"/>
              </w:rPr>
              <w:t>525</w:t>
            </w:r>
          </w:p>
        </w:tc>
        <w:tc>
          <w:tcPr>
            <w:tcW w:w="10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jc w:val="center"/>
              <w:rPr>
                <w:sz w:val="20"/>
                <w:szCs w:val="20"/>
                <w:lang w:val="it-IT"/>
              </w:rPr>
            </w:pPr>
            <w:r w:rsidRPr="00155F80">
              <w:rPr>
                <w:sz w:val="20"/>
                <w:szCs w:val="20"/>
                <w:lang w:val="it-IT"/>
              </w:rPr>
              <w:t>22,47</w:t>
            </w:r>
          </w:p>
        </w:tc>
      </w:tr>
      <w:tr w:rsidR="00A131AD" w:rsidRPr="00155F80" w:rsidTr="001911A6">
        <w:trPr>
          <w:trHeight w:hRule="exact" w:val="484"/>
          <w:jc w:val="center"/>
        </w:trPr>
        <w:tc>
          <w:tcPr>
            <w:tcW w:w="52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155F80" w:rsidRDefault="00A131AD" w:rsidP="000C0138">
            <w:pPr>
              <w:pStyle w:val="NoSpacing"/>
              <w:spacing w:line="276" w:lineRule="auto"/>
              <w:rPr>
                <w:sz w:val="20"/>
                <w:szCs w:val="20"/>
                <w:lang w:val="it-IT"/>
              </w:rPr>
            </w:pPr>
            <w:r w:rsidRPr="00155F80">
              <w:rPr>
                <w:sz w:val="20"/>
                <w:szCs w:val="20"/>
                <w:lang w:val="it-IT"/>
              </w:rPr>
              <w:t>10</w:t>
            </w:r>
          </w:p>
        </w:tc>
        <w:tc>
          <w:tcPr>
            <w:tcW w:w="20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rPr>
                <w:sz w:val="20"/>
                <w:szCs w:val="20"/>
                <w:lang w:val="it-IT"/>
              </w:rPr>
            </w:pPr>
            <w:r w:rsidRPr="00155F80">
              <w:rPr>
                <w:sz w:val="20"/>
                <w:szCs w:val="20"/>
                <w:lang w:val="it-IT"/>
              </w:rPr>
              <w:t>Salmonellosis</w:t>
            </w:r>
          </w:p>
        </w:tc>
        <w:tc>
          <w:tcPr>
            <w:tcW w:w="80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jc w:val="center"/>
              <w:rPr>
                <w:sz w:val="20"/>
                <w:szCs w:val="20"/>
                <w:lang w:val="it-IT"/>
              </w:rPr>
            </w:pPr>
            <w:r w:rsidRPr="00155F80">
              <w:rPr>
                <w:sz w:val="20"/>
                <w:szCs w:val="20"/>
                <w:lang w:val="it-IT"/>
              </w:rPr>
              <w:t>439</w:t>
            </w:r>
          </w:p>
        </w:tc>
        <w:tc>
          <w:tcPr>
            <w:tcW w:w="10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jc w:val="center"/>
              <w:rPr>
                <w:sz w:val="20"/>
                <w:szCs w:val="20"/>
                <w:lang w:val="it-IT"/>
              </w:rPr>
            </w:pPr>
            <w:r w:rsidRPr="00155F80">
              <w:rPr>
                <w:sz w:val="20"/>
                <w:szCs w:val="20"/>
                <w:lang w:val="it-IT"/>
              </w:rPr>
              <w:t>18,81</w:t>
            </w:r>
          </w:p>
        </w:tc>
        <w:tc>
          <w:tcPr>
            <w:tcW w:w="5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jc w:val="center"/>
              <w:rPr>
                <w:sz w:val="20"/>
                <w:szCs w:val="20"/>
                <w:lang w:val="it-IT"/>
              </w:rPr>
            </w:pPr>
            <w:r w:rsidRPr="00155F80">
              <w:rPr>
                <w:sz w:val="20"/>
                <w:szCs w:val="20"/>
                <w:lang w:val="it-IT"/>
              </w:rPr>
              <w:t>10</w:t>
            </w:r>
          </w:p>
        </w:tc>
        <w:tc>
          <w:tcPr>
            <w:tcW w:w="20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rPr>
                <w:sz w:val="20"/>
                <w:szCs w:val="20"/>
                <w:lang w:val="it-IT"/>
              </w:rPr>
            </w:pPr>
            <w:r w:rsidRPr="00155F80">
              <w:rPr>
                <w:sz w:val="20"/>
                <w:szCs w:val="20"/>
                <w:lang w:val="it-IT"/>
              </w:rPr>
              <w:t>Toxiinfectio alimentaris</w:t>
            </w:r>
          </w:p>
        </w:tc>
        <w:tc>
          <w:tcPr>
            <w:tcW w:w="9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jc w:val="center"/>
              <w:rPr>
                <w:sz w:val="20"/>
                <w:szCs w:val="20"/>
                <w:lang w:val="it-IT"/>
              </w:rPr>
            </w:pPr>
            <w:r w:rsidRPr="00155F80">
              <w:rPr>
                <w:sz w:val="20"/>
                <w:szCs w:val="20"/>
                <w:lang w:val="it-IT"/>
              </w:rPr>
              <w:t>423</w:t>
            </w:r>
          </w:p>
        </w:tc>
        <w:tc>
          <w:tcPr>
            <w:tcW w:w="10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pStyle w:val="NoSpacing"/>
              <w:spacing w:line="276" w:lineRule="auto"/>
              <w:jc w:val="center"/>
              <w:rPr>
                <w:sz w:val="20"/>
                <w:szCs w:val="20"/>
                <w:lang w:val="it-IT"/>
              </w:rPr>
            </w:pPr>
            <w:r w:rsidRPr="00155F80">
              <w:rPr>
                <w:sz w:val="20"/>
                <w:szCs w:val="20"/>
                <w:lang w:val="it-IT"/>
              </w:rPr>
              <w:t>18,10</w:t>
            </w:r>
          </w:p>
        </w:tc>
      </w:tr>
    </w:tbl>
    <w:p w:rsidR="00284F26" w:rsidRDefault="00284F26" w:rsidP="000C0138">
      <w:pPr>
        <w:spacing w:line="276" w:lineRule="auto"/>
        <w:rPr>
          <w:rFonts w:ascii="Times New Roman" w:hAnsi="Times New Roman"/>
          <w:color w:val="000000"/>
          <w:shd w:val="clear" w:color="auto" w:fill="FFFFFF"/>
        </w:rPr>
      </w:pPr>
    </w:p>
    <w:p w:rsidR="00A131AD" w:rsidRPr="00155F80" w:rsidRDefault="00A131AD" w:rsidP="000C0138">
      <w:pPr>
        <w:spacing w:line="276" w:lineRule="auto"/>
        <w:rPr>
          <w:rFonts w:ascii="Times New Roman" w:hAnsi="Times New Roman"/>
          <w:lang w:val="sl-SI"/>
        </w:rPr>
      </w:pPr>
      <w:r w:rsidRPr="00155F80">
        <w:rPr>
          <w:rFonts w:ascii="Times New Roman" w:hAnsi="Times New Roman"/>
          <w:color w:val="000000"/>
          <w:shd w:val="clear" w:color="auto" w:fill="FFFFFF"/>
        </w:rPr>
        <w:t xml:space="preserve">Akutne respiratorne infekcije su najčešće infekcije modernog društva. U ovu grupu oboljenja svrstavaju se infekcije respiratornog </w:t>
      </w:r>
      <w:r w:rsidR="00AB0E1C">
        <w:rPr>
          <w:rFonts w:ascii="Times New Roman" w:hAnsi="Times New Roman"/>
          <w:color w:val="000000"/>
          <w:shd w:val="clear" w:color="auto" w:fill="FFFFFF"/>
        </w:rPr>
        <w:t>s</w:t>
      </w:r>
      <w:r w:rsidR="006816BD">
        <w:rPr>
          <w:rFonts w:ascii="Times New Roman" w:hAnsi="Times New Roman"/>
          <w:color w:val="000000"/>
          <w:shd w:val="clear" w:color="auto" w:fill="FFFFFF"/>
        </w:rPr>
        <w:t>ustava</w:t>
      </w:r>
      <w:r w:rsidRPr="00155F80">
        <w:rPr>
          <w:rFonts w:ascii="Times New Roman" w:hAnsi="Times New Roman"/>
          <w:color w:val="000000"/>
          <w:shd w:val="clear" w:color="auto" w:fill="FFFFFF"/>
        </w:rPr>
        <w:t xml:space="preserve"> izazvane različitim mikroorganizmima, ali u najvećoj </w:t>
      </w:r>
      <w:r w:rsidRPr="00155F80">
        <w:rPr>
          <w:rFonts w:ascii="Times New Roman" w:hAnsi="Times New Roman"/>
          <w:color w:val="000000"/>
          <w:shd w:val="clear" w:color="auto" w:fill="FFFFFF"/>
        </w:rPr>
        <w:lastRenderedPageBreak/>
        <w:t>mjeri r</w:t>
      </w:r>
      <w:r w:rsidR="004B5A9E" w:rsidRPr="00155F80">
        <w:rPr>
          <w:rFonts w:ascii="Times New Roman" w:hAnsi="Times New Roman"/>
          <w:color w:val="000000"/>
          <w:shd w:val="clear" w:color="auto" w:fill="FFFFFF"/>
        </w:rPr>
        <w:t>ij</w:t>
      </w:r>
      <w:r w:rsidRPr="00155F80">
        <w:rPr>
          <w:rFonts w:ascii="Times New Roman" w:hAnsi="Times New Roman"/>
          <w:color w:val="000000"/>
          <w:shd w:val="clear" w:color="auto" w:fill="FFFFFF"/>
        </w:rPr>
        <w:t xml:space="preserve">eč je o virusnim infekcijama. Svake godine ova grupa oboljenja ima najveći </w:t>
      </w:r>
      <w:r w:rsidRPr="00155F80">
        <w:rPr>
          <w:rFonts w:ascii="Times New Roman" w:hAnsi="Times New Roman"/>
          <w:lang w:val="sl-SI"/>
        </w:rPr>
        <w:t xml:space="preserve"> udio u ukupnom obol</w:t>
      </w:r>
      <w:r w:rsidR="006816BD">
        <w:rPr>
          <w:rFonts w:ascii="Times New Roman" w:hAnsi="Times New Roman"/>
          <w:lang w:val="sl-SI"/>
        </w:rPr>
        <w:t>i</w:t>
      </w:r>
      <w:r w:rsidRPr="00155F80">
        <w:rPr>
          <w:rFonts w:ascii="Times New Roman" w:hAnsi="Times New Roman"/>
          <w:lang w:val="sl-SI"/>
        </w:rPr>
        <w:t>jevanju od zaraznih bolesti, tako u 2015. godini u ukupnoj strukturi zaraz</w:t>
      </w:r>
      <w:r w:rsidR="004B5A9E" w:rsidRPr="00155F80">
        <w:rPr>
          <w:rFonts w:ascii="Times New Roman" w:hAnsi="Times New Roman"/>
          <w:lang w:val="sl-SI"/>
        </w:rPr>
        <w:t>nih bolesti učestvuje sa 83,8%,</w:t>
      </w:r>
      <w:r w:rsidRPr="00155F80">
        <w:rPr>
          <w:rFonts w:ascii="Times New Roman" w:hAnsi="Times New Roman"/>
          <w:lang w:val="sl-SI"/>
        </w:rPr>
        <w:t xml:space="preserve"> nešto manje nego u 2014. godini (84,09%). </w:t>
      </w:r>
    </w:p>
    <w:p w:rsidR="00A131AD" w:rsidRPr="00155F80" w:rsidRDefault="00A131AD" w:rsidP="000C0138">
      <w:pPr>
        <w:spacing w:line="276" w:lineRule="auto"/>
        <w:rPr>
          <w:rFonts w:ascii="Times New Roman" w:hAnsi="Times New Roman"/>
          <w:lang w:val="sl-SI"/>
        </w:rPr>
      </w:pPr>
      <w:r w:rsidRPr="00155F80">
        <w:rPr>
          <w:rFonts w:ascii="Times New Roman" w:hAnsi="Times New Roman"/>
          <w:lang w:val="sl-SI"/>
        </w:rPr>
        <w:t xml:space="preserve">Udio crijevnih zaraznih bolesti (10,23%) je veći nego 2014. godine (8,60%), dok je udio grupe oboljenja koja se klasificiraju kao Ostale zarazne bolesti, gotovo isti 3,2% u obje izvještajne godine. U 2015. godini je registrirano manje parazitarnih bolesti (2,18%) nego prethodne godine (3,01%), prije svega zbog manjeg broja slučajeva skabijesa. </w:t>
      </w:r>
    </w:p>
    <w:p w:rsidR="00A131AD" w:rsidRPr="00155F80" w:rsidRDefault="00A131AD" w:rsidP="000C0138">
      <w:pPr>
        <w:spacing w:line="276" w:lineRule="auto"/>
        <w:rPr>
          <w:rFonts w:ascii="Times New Roman" w:hAnsi="Times New Roman"/>
          <w:lang w:val="sl-SI"/>
        </w:rPr>
      </w:pPr>
      <w:r w:rsidRPr="00155F80">
        <w:rPr>
          <w:rFonts w:ascii="Times New Roman" w:hAnsi="Times New Roman"/>
          <w:lang w:val="sl-SI"/>
        </w:rPr>
        <w:t>Slijede antropozoonoze koje učestvuju sa 0,28%, koje, bez obzira na mali broj r</w:t>
      </w:r>
      <w:r w:rsidR="004B5A9E" w:rsidRPr="00155F80">
        <w:rPr>
          <w:rFonts w:ascii="Times New Roman" w:hAnsi="Times New Roman"/>
          <w:lang w:val="sl-SI"/>
        </w:rPr>
        <w:t>egistriranih slučajeva, već dugo</w:t>
      </w:r>
      <w:r w:rsidRPr="00155F80">
        <w:rPr>
          <w:rFonts w:ascii="Times New Roman" w:hAnsi="Times New Roman"/>
          <w:lang w:val="sl-SI"/>
        </w:rPr>
        <w:t xml:space="preserve"> imaju ozbiljne posljedice </w:t>
      </w:r>
      <w:r w:rsidR="009E2387">
        <w:rPr>
          <w:rFonts w:ascii="Times New Roman" w:hAnsi="Times New Roman"/>
          <w:lang w:val="sl-SI"/>
        </w:rPr>
        <w:t xml:space="preserve">na javno zdravstvo i </w:t>
      </w:r>
      <w:r w:rsidR="006816BD">
        <w:rPr>
          <w:rFonts w:ascii="Times New Roman" w:hAnsi="Times New Roman"/>
          <w:lang w:val="sl-SI"/>
        </w:rPr>
        <w:t>gospodarstvo</w:t>
      </w:r>
      <w:r w:rsidR="009E2387">
        <w:rPr>
          <w:rFonts w:ascii="Times New Roman" w:hAnsi="Times New Roman"/>
          <w:lang w:val="sl-SI"/>
        </w:rPr>
        <w:t xml:space="preserve"> </w:t>
      </w:r>
      <w:r w:rsidRPr="00155F80">
        <w:rPr>
          <w:rFonts w:ascii="Times New Roman" w:hAnsi="Times New Roman"/>
          <w:lang w:val="sl-SI"/>
        </w:rPr>
        <w:t>zemlje.</w:t>
      </w:r>
    </w:p>
    <w:p w:rsidR="00A131AD" w:rsidRPr="00155F80" w:rsidRDefault="00A131AD" w:rsidP="000C0138">
      <w:pPr>
        <w:spacing w:line="276" w:lineRule="auto"/>
        <w:rPr>
          <w:rFonts w:ascii="Times New Roman" w:hAnsi="Times New Roman"/>
          <w:lang w:val="sl-SI"/>
        </w:rPr>
      </w:pPr>
      <w:r w:rsidRPr="00155F80">
        <w:rPr>
          <w:rFonts w:ascii="Times New Roman" w:hAnsi="Times New Roman"/>
          <w:lang w:val="sl-SI"/>
        </w:rPr>
        <w:t>Neznatan udio registriranih krvlju/spolno prenosivih zaraznih bolesti (0,25%) treba uzeti s rezervom (podprijavljivanje/stigmatizacija kao mogući problem).</w:t>
      </w:r>
    </w:p>
    <w:p w:rsidR="00A131AD" w:rsidRPr="00155F80" w:rsidRDefault="00284F26" w:rsidP="000C0138">
      <w:pPr>
        <w:spacing w:line="276" w:lineRule="auto"/>
        <w:jc w:val="center"/>
        <w:rPr>
          <w:rFonts w:ascii="Times New Roman" w:hAnsi="Times New Roman"/>
          <w:b/>
          <w:bCs/>
          <w:lang w:val="sl-SI"/>
        </w:rPr>
      </w:pPr>
      <w:r>
        <w:rPr>
          <w:rFonts w:ascii="Times New Roman" w:hAnsi="Times New Roman"/>
          <w:noProof/>
          <w:lang w:val="bs-Latn-BA" w:eastAsia="bs-Latn-BA"/>
        </w:rPr>
        <mc:AlternateContent>
          <mc:Choice Requires="wps">
            <w:drawing>
              <wp:anchor distT="0" distB="0" distL="114300" distR="114300" simplePos="0" relativeHeight="251675648" behindDoc="0" locked="0" layoutInCell="1" allowOverlap="1" wp14:anchorId="63B4B543" wp14:editId="269AC5A0">
                <wp:simplePos x="0" y="0"/>
                <wp:positionH relativeFrom="margin">
                  <wp:posOffset>-95885</wp:posOffset>
                </wp:positionH>
                <wp:positionV relativeFrom="paragraph">
                  <wp:posOffset>425260</wp:posOffset>
                </wp:positionV>
                <wp:extent cx="5770880" cy="2238375"/>
                <wp:effectExtent l="0" t="0" r="20320" b="28575"/>
                <wp:wrapNone/>
                <wp:docPr id="51" name="Rectangle 51"/>
                <wp:cNvGraphicFramePr/>
                <a:graphic xmlns:a="http://schemas.openxmlformats.org/drawingml/2006/main">
                  <a:graphicData uri="http://schemas.microsoft.com/office/word/2010/wordprocessingShape">
                    <wps:wsp>
                      <wps:cNvSpPr/>
                      <wps:spPr>
                        <a:xfrm>
                          <a:off x="0" y="0"/>
                          <a:ext cx="5770880" cy="22383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2CCA0C45" id="Rectangle 51" o:spid="_x0000_s1026" style="position:absolute;margin-left:-7.55pt;margin-top:33.5pt;width:454.4pt;height:176.2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" filled="f" strokecolor="black [3213]" strokeweight="1pt">
                <w10:wrap anchorx="margin"/>
              </v:rect>
            </w:pict>
          </mc:Fallback>
        </mc:AlternateContent>
      </w:r>
    </w:p>
    <w:p w:rsidR="006816BD" w:rsidRPr="006816BD" w:rsidRDefault="00284F26" w:rsidP="00284F26">
      <w:pPr>
        <w:pStyle w:val="refererere"/>
        <w:rPr>
          <w:lang w:val="sl-SI"/>
        </w:rPr>
      </w:pPr>
      <w:r w:rsidRPr="00155F80">
        <w:rPr>
          <w:lang w:val="sl-SI"/>
        </w:rPr>
        <w:t>Grafikon 44: Zarazne bolesti u Federaciji BiH, za period 2011.-2015. godina, prema putu pr</w:t>
      </w:r>
      <w:r w:rsidR="006816BD">
        <w:rPr>
          <w:lang w:val="sl-SI"/>
        </w:rPr>
        <w:t>ij</w:t>
      </w:r>
      <w:r w:rsidRPr="00155F80">
        <w:rPr>
          <w:lang w:val="sl-SI"/>
        </w:rPr>
        <w:t>enosa, indeks strukture</w:t>
      </w:r>
    </w:p>
    <w:p w:rsidR="00A131AD" w:rsidRPr="00155F80" w:rsidRDefault="00284F26" w:rsidP="000C0138">
      <w:pPr>
        <w:spacing w:line="276" w:lineRule="auto"/>
        <w:jc w:val="center"/>
        <w:rPr>
          <w:rFonts w:ascii="Times New Roman" w:hAnsi="Times New Roman"/>
          <w:lang w:val="pl-PL"/>
        </w:rPr>
      </w:pPr>
      <w:r w:rsidRPr="00155F80">
        <w:rPr>
          <w:rFonts w:ascii="Times New Roman" w:hAnsi="Times New Roman"/>
          <w:noProof/>
          <w:lang w:val="bs-Latn-BA" w:eastAsia="bs-Latn-BA"/>
        </w:rPr>
        <w:drawing>
          <wp:anchor distT="0" distB="0" distL="114300" distR="114300" simplePos="0" relativeHeight="251677696" behindDoc="0" locked="0" layoutInCell="1" allowOverlap="1" wp14:anchorId="1A9C4F63" wp14:editId="799E4EA5">
            <wp:simplePos x="0" y="0"/>
            <wp:positionH relativeFrom="margin">
              <wp:align>left</wp:align>
            </wp:positionH>
            <wp:positionV relativeFrom="paragraph">
              <wp:posOffset>163780</wp:posOffset>
            </wp:positionV>
            <wp:extent cx="5521960" cy="2078990"/>
            <wp:effectExtent l="0" t="0" r="2540" b="0"/>
            <wp:wrapTopAndBottom/>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521960" cy="20789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131AD" w:rsidRPr="00155F80" w:rsidRDefault="00A131AD" w:rsidP="000C0138">
      <w:pPr>
        <w:spacing w:line="276" w:lineRule="auto"/>
        <w:rPr>
          <w:rFonts w:ascii="Times New Roman" w:hAnsi="Times New Roman"/>
          <w:lang w:val="sl-SI"/>
        </w:rPr>
      </w:pPr>
      <w:r w:rsidRPr="00155F80">
        <w:rPr>
          <w:rFonts w:ascii="Times New Roman" w:hAnsi="Times New Roman"/>
          <w:lang w:val="sl-SI"/>
        </w:rPr>
        <w:t xml:space="preserve">Analizom podataka u proteklom petogodišnjem razdoblju, broj umrlih od zaraznih bolesti se kretao u rasponu od 37 (2013. godina) do 53 umrle osobe (2014. godina). </w:t>
      </w:r>
    </w:p>
    <w:p w:rsidR="00A131AD" w:rsidRPr="00155F80" w:rsidRDefault="00A131AD" w:rsidP="000C0138">
      <w:pPr>
        <w:spacing w:line="276" w:lineRule="auto"/>
        <w:rPr>
          <w:rFonts w:ascii="Times New Roman" w:hAnsi="Times New Roman"/>
          <w:b/>
          <w:lang w:val="sl-SI"/>
        </w:rPr>
      </w:pPr>
    </w:p>
    <w:p w:rsidR="00A131AD" w:rsidRPr="00155F80" w:rsidRDefault="00A131AD" w:rsidP="00EB7CC7">
      <w:pPr>
        <w:pStyle w:val="refererere"/>
        <w:rPr>
          <w:lang w:val="sl-SI"/>
        </w:rPr>
      </w:pPr>
      <w:r w:rsidRPr="00155F80">
        <w:rPr>
          <w:lang w:val="sl-SI"/>
        </w:rPr>
        <w:t>Tabl</w:t>
      </w:r>
      <w:r w:rsidR="00FE3B0D">
        <w:rPr>
          <w:lang w:val="sl-SI"/>
        </w:rPr>
        <w:t>ic</w:t>
      </w:r>
      <w:r w:rsidRPr="00155F80">
        <w:rPr>
          <w:lang w:val="sl-SI"/>
        </w:rPr>
        <w:t>a 8: Oboljeli/umrli od zaraznih bolesti u Federaciji BiH, po prijavama s terena</w:t>
      </w:r>
    </w:p>
    <w:tbl>
      <w:tblPr>
        <w:tblW w:w="9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2115"/>
        <w:gridCol w:w="1948"/>
        <w:gridCol w:w="1830"/>
        <w:gridCol w:w="1731"/>
        <w:gridCol w:w="1726"/>
      </w:tblGrid>
      <w:tr w:rsidR="00A131AD" w:rsidRPr="00D41A86" w:rsidTr="00D41A86">
        <w:trPr>
          <w:trHeight w:hRule="exact" w:val="362"/>
        </w:trPr>
        <w:tc>
          <w:tcPr>
            <w:tcW w:w="2115" w:type="dxa"/>
            <w:tcBorders>
              <w:top w:val="single" w:sz="4" w:space="0" w:color="auto"/>
              <w:left w:val="single" w:sz="4" w:space="0" w:color="auto"/>
              <w:bottom w:val="single" w:sz="4" w:space="0" w:color="auto"/>
              <w:right w:val="single" w:sz="4" w:space="0" w:color="auto"/>
            </w:tcBorders>
            <w:shd w:val="clear" w:color="auto" w:fill="E7E6E6" w:themeFill="background2"/>
            <w:hideMark/>
          </w:tcPr>
          <w:p w:rsidR="00A131AD" w:rsidRPr="00D41A86" w:rsidRDefault="00A131AD" w:rsidP="000C0138">
            <w:pPr>
              <w:spacing w:line="276" w:lineRule="auto"/>
              <w:jc w:val="center"/>
              <w:rPr>
                <w:rFonts w:ascii="Times New Roman" w:hAnsi="Times New Roman"/>
                <w:b/>
                <w:bCs/>
                <w:lang w:val="sl-SI"/>
              </w:rPr>
            </w:pPr>
            <w:r w:rsidRPr="00D41A86">
              <w:rPr>
                <w:rFonts w:ascii="Times New Roman" w:hAnsi="Times New Roman"/>
                <w:b/>
                <w:bCs/>
                <w:lang w:val="sl-SI"/>
              </w:rPr>
              <w:t>Godina</w:t>
            </w:r>
          </w:p>
        </w:tc>
        <w:tc>
          <w:tcPr>
            <w:tcW w:w="1948" w:type="dxa"/>
            <w:tcBorders>
              <w:top w:val="single" w:sz="4" w:space="0" w:color="auto"/>
              <w:left w:val="single" w:sz="4" w:space="0" w:color="auto"/>
              <w:bottom w:val="single" w:sz="4" w:space="0" w:color="auto"/>
              <w:right w:val="single" w:sz="4" w:space="0" w:color="auto"/>
            </w:tcBorders>
            <w:shd w:val="clear" w:color="auto" w:fill="E7E6E6" w:themeFill="background2"/>
            <w:hideMark/>
          </w:tcPr>
          <w:p w:rsidR="00A131AD" w:rsidRPr="00D41A86" w:rsidRDefault="00A131AD" w:rsidP="000C0138">
            <w:pPr>
              <w:spacing w:line="276" w:lineRule="auto"/>
              <w:jc w:val="center"/>
              <w:rPr>
                <w:rFonts w:ascii="Times New Roman" w:hAnsi="Times New Roman"/>
                <w:b/>
                <w:bCs/>
                <w:lang w:val="sl-SI"/>
              </w:rPr>
            </w:pPr>
            <w:r w:rsidRPr="00D41A86">
              <w:rPr>
                <w:rFonts w:ascii="Times New Roman" w:hAnsi="Times New Roman"/>
                <w:b/>
                <w:bCs/>
                <w:lang w:val="sl-SI"/>
              </w:rPr>
              <w:t>Broj oboljelih</w:t>
            </w:r>
          </w:p>
        </w:tc>
        <w:tc>
          <w:tcPr>
            <w:tcW w:w="1830" w:type="dxa"/>
            <w:tcBorders>
              <w:top w:val="single" w:sz="4" w:space="0" w:color="auto"/>
              <w:left w:val="single" w:sz="4" w:space="0" w:color="auto"/>
              <w:bottom w:val="single" w:sz="4" w:space="0" w:color="auto"/>
              <w:right w:val="single" w:sz="4" w:space="0" w:color="auto"/>
            </w:tcBorders>
            <w:shd w:val="clear" w:color="auto" w:fill="E7E6E6" w:themeFill="background2"/>
            <w:hideMark/>
          </w:tcPr>
          <w:p w:rsidR="00A131AD" w:rsidRPr="00D41A86" w:rsidRDefault="00A131AD" w:rsidP="000C0138">
            <w:pPr>
              <w:spacing w:line="276" w:lineRule="auto"/>
              <w:jc w:val="center"/>
              <w:rPr>
                <w:rFonts w:ascii="Times New Roman" w:hAnsi="Times New Roman"/>
                <w:b/>
                <w:bCs/>
                <w:lang w:val="sl-SI"/>
              </w:rPr>
            </w:pPr>
            <w:r w:rsidRPr="00D41A86">
              <w:rPr>
                <w:rFonts w:ascii="Times New Roman" w:hAnsi="Times New Roman"/>
                <w:b/>
                <w:bCs/>
                <w:lang w:val="sl-SI"/>
              </w:rPr>
              <w:t>Mb/100000</w:t>
            </w:r>
          </w:p>
        </w:tc>
        <w:tc>
          <w:tcPr>
            <w:tcW w:w="1731" w:type="dxa"/>
            <w:tcBorders>
              <w:top w:val="single" w:sz="4" w:space="0" w:color="auto"/>
              <w:left w:val="single" w:sz="4" w:space="0" w:color="auto"/>
              <w:bottom w:val="single" w:sz="4" w:space="0" w:color="auto"/>
              <w:right w:val="single" w:sz="4" w:space="0" w:color="auto"/>
            </w:tcBorders>
            <w:shd w:val="clear" w:color="auto" w:fill="E7E6E6" w:themeFill="background2"/>
            <w:hideMark/>
          </w:tcPr>
          <w:p w:rsidR="00A131AD" w:rsidRPr="00D41A86" w:rsidRDefault="00A131AD" w:rsidP="000C0138">
            <w:pPr>
              <w:spacing w:line="276" w:lineRule="auto"/>
              <w:jc w:val="center"/>
              <w:rPr>
                <w:rFonts w:ascii="Times New Roman" w:hAnsi="Times New Roman"/>
                <w:b/>
                <w:bCs/>
                <w:lang w:val="sl-SI"/>
              </w:rPr>
            </w:pPr>
            <w:r w:rsidRPr="00D41A86">
              <w:rPr>
                <w:rFonts w:ascii="Times New Roman" w:hAnsi="Times New Roman"/>
                <w:b/>
                <w:bCs/>
                <w:lang w:val="sl-SI"/>
              </w:rPr>
              <w:t>Broj umrlih</w:t>
            </w:r>
          </w:p>
        </w:tc>
        <w:tc>
          <w:tcPr>
            <w:tcW w:w="1726" w:type="dxa"/>
            <w:tcBorders>
              <w:top w:val="single" w:sz="4" w:space="0" w:color="auto"/>
              <w:left w:val="single" w:sz="4" w:space="0" w:color="auto"/>
              <w:bottom w:val="single" w:sz="4" w:space="0" w:color="auto"/>
              <w:right w:val="single" w:sz="4" w:space="0" w:color="auto"/>
            </w:tcBorders>
            <w:shd w:val="clear" w:color="auto" w:fill="E7E6E6" w:themeFill="background2"/>
          </w:tcPr>
          <w:p w:rsidR="00A131AD" w:rsidRPr="00D41A86" w:rsidRDefault="00A131AD" w:rsidP="000C0138">
            <w:pPr>
              <w:spacing w:line="276" w:lineRule="auto"/>
              <w:jc w:val="center"/>
              <w:rPr>
                <w:rFonts w:ascii="Times New Roman" w:hAnsi="Times New Roman"/>
                <w:b/>
                <w:bCs/>
                <w:lang w:val="sl-SI"/>
              </w:rPr>
            </w:pPr>
            <w:r w:rsidRPr="00D41A86">
              <w:rPr>
                <w:rFonts w:ascii="Times New Roman" w:hAnsi="Times New Roman"/>
                <w:b/>
                <w:bCs/>
                <w:lang w:val="sl-SI"/>
              </w:rPr>
              <w:t>Mt/100000</w:t>
            </w:r>
          </w:p>
          <w:p w:rsidR="00A131AD" w:rsidRPr="00D41A86" w:rsidRDefault="00A131AD" w:rsidP="000C0138">
            <w:pPr>
              <w:spacing w:line="276" w:lineRule="auto"/>
              <w:jc w:val="center"/>
              <w:rPr>
                <w:rFonts w:ascii="Times New Roman" w:hAnsi="Times New Roman"/>
                <w:b/>
                <w:bCs/>
                <w:lang w:val="sl-SI"/>
              </w:rPr>
            </w:pPr>
          </w:p>
        </w:tc>
      </w:tr>
      <w:tr w:rsidR="00A131AD" w:rsidRPr="00CF430D" w:rsidTr="001911A6">
        <w:trPr>
          <w:trHeight w:hRule="exact" w:val="324"/>
        </w:trPr>
        <w:tc>
          <w:tcPr>
            <w:tcW w:w="211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CF430D" w:rsidRDefault="00A131AD" w:rsidP="000C0138">
            <w:pPr>
              <w:spacing w:line="276" w:lineRule="auto"/>
              <w:jc w:val="center"/>
              <w:rPr>
                <w:rFonts w:ascii="Times New Roman" w:hAnsi="Times New Roman"/>
                <w:bCs/>
                <w:lang w:val="sl-SI"/>
              </w:rPr>
            </w:pPr>
            <w:r w:rsidRPr="00CF430D">
              <w:rPr>
                <w:rFonts w:ascii="Times New Roman" w:hAnsi="Times New Roman"/>
                <w:bCs/>
                <w:lang w:val="sl-SI"/>
              </w:rPr>
              <w:t>2015.</w:t>
            </w:r>
          </w:p>
        </w:tc>
        <w:tc>
          <w:tcPr>
            <w:tcW w:w="194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CF430D" w:rsidRDefault="00A131AD" w:rsidP="000C0138">
            <w:pPr>
              <w:spacing w:line="276" w:lineRule="auto"/>
              <w:jc w:val="center"/>
              <w:rPr>
                <w:rFonts w:ascii="Times New Roman" w:hAnsi="Times New Roman"/>
                <w:bCs/>
                <w:lang w:val="sl-SI"/>
              </w:rPr>
            </w:pPr>
            <w:r w:rsidRPr="00CF430D">
              <w:rPr>
                <w:rFonts w:ascii="Times New Roman" w:hAnsi="Times New Roman"/>
                <w:bCs/>
                <w:lang w:val="sl-SI"/>
              </w:rPr>
              <w:t>54064</w:t>
            </w:r>
          </w:p>
        </w:tc>
        <w:tc>
          <w:tcPr>
            <w:tcW w:w="1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CF430D" w:rsidRDefault="00A131AD" w:rsidP="000C0138">
            <w:pPr>
              <w:spacing w:line="276" w:lineRule="auto"/>
              <w:jc w:val="center"/>
              <w:rPr>
                <w:rFonts w:ascii="Times New Roman" w:hAnsi="Times New Roman"/>
                <w:bCs/>
                <w:lang w:val="sl-SI"/>
              </w:rPr>
            </w:pPr>
            <w:r w:rsidRPr="00CF430D">
              <w:rPr>
                <w:rFonts w:ascii="Times New Roman" w:hAnsi="Times New Roman"/>
                <w:bCs/>
                <w:lang w:val="sl-SI"/>
              </w:rPr>
              <w:t>2316,02</w:t>
            </w:r>
          </w:p>
        </w:tc>
        <w:tc>
          <w:tcPr>
            <w:tcW w:w="17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CF430D" w:rsidRDefault="00A131AD" w:rsidP="000C0138">
            <w:pPr>
              <w:spacing w:line="276" w:lineRule="auto"/>
              <w:jc w:val="center"/>
              <w:rPr>
                <w:rFonts w:ascii="Times New Roman" w:hAnsi="Times New Roman"/>
                <w:bCs/>
                <w:lang w:val="sl-SI"/>
              </w:rPr>
            </w:pPr>
            <w:r w:rsidRPr="00CF430D">
              <w:rPr>
                <w:rFonts w:ascii="Times New Roman" w:hAnsi="Times New Roman"/>
                <w:bCs/>
                <w:lang w:val="sl-SI"/>
              </w:rPr>
              <w:t>42</w:t>
            </w:r>
          </w:p>
        </w:tc>
        <w:tc>
          <w:tcPr>
            <w:tcW w:w="172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CF430D" w:rsidRDefault="00A131AD" w:rsidP="000C0138">
            <w:pPr>
              <w:spacing w:line="276" w:lineRule="auto"/>
              <w:jc w:val="center"/>
              <w:rPr>
                <w:rFonts w:ascii="Times New Roman" w:hAnsi="Times New Roman"/>
                <w:bCs/>
                <w:lang w:val="sl-SI"/>
              </w:rPr>
            </w:pPr>
            <w:r w:rsidRPr="00CF430D">
              <w:rPr>
                <w:rFonts w:ascii="Times New Roman" w:hAnsi="Times New Roman"/>
                <w:bCs/>
                <w:lang w:val="sl-SI"/>
              </w:rPr>
              <w:t>1,79</w:t>
            </w:r>
          </w:p>
        </w:tc>
      </w:tr>
      <w:tr w:rsidR="00A131AD" w:rsidRPr="00CF430D" w:rsidTr="001911A6">
        <w:trPr>
          <w:trHeight w:hRule="exact" w:val="324"/>
        </w:trPr>
        <w:tc>
          <w:tcPr>
            <w:tcW w:w="211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CF430D" w:rsidRDefault="00A131AD" w:rsidP="000C0138">
            <w:pPr>
              <w:spacing w:line="276" w:lineRule="auto"/>
              <w:jc w:val="center"/>
              <w:rPr>
                <w:rFonts w:ascii="Times New Roman" w:hAnsi="Times New Roman"/>
                <w:bCs/>
                <w:lang w:val="sl-SI"/>
              </w:rPr>
            </w:pPr>
            <w:r w:rsidRPr="00CF430D">
              <w:rPr>
                <w:rFonts w:ascii="Times New Roman" w:hAnsi="Times New Roman"/>
                <w:bCs/>
                <w:lang w:val="sl-SI"/>
              </w:rPr>
              <w:t>2014.</w:t>
            </w:r>
          </w:p>
        </w:tc>
        <w:tc>
          <w:tcPr>
            <w:tcW w:w="194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CF430D" w:rsidRDefault="00A131AD" w:rsidP="000C0138">
            <w:pPr>
              <w:spacing w:line="276" w:lineRule="auto"/>
              <w:jc w:val="center"/>
              <w:rPr>
                <w:rFonts w:ascii="Times New Roman" w:hAnsi="Times New Roman"/>
                <w:bCs/>
                <w:lang w:val="sl-SI"/>
              </w:rPr>
            </w:pPr>
            <w:r w:rsidRPr="00CF430D">
              <w:rPr>
                <w:rFonts w:ascii="Times New Roman" w:hAnsi="Times New Roman"/>
                <w:bCs/>
                <w:lang w:val="sl-SI"/>
              </w:rPr>
              <w:t>49840</w:t>
            </w:r>
          </w:p>
        </w:tc>
        <w:tc>
          <w:tcPr>
            <w:tcW w:w="1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CF430D" w:rsidRDefault="00A131AD" w:rsidP="000C0138">
            <w:pPr>
              <w:spacing w:line="276" w:lineRule="auto"/>
              <w:jc w:val="center"/>
              <w:rPr>
                <w:rFonts w:ascii="Times New Roman" w:hAnsi="Times New Roman"/>
                <w:bCs/>
                <w:lang w:val="sl-SI"/>
              </w:rPr>
            </w:pPr>
            <w:r w:rsidRPr="00CF430D">
              <w:rPr>
                <w:rFonts w:ascii="Times New Roman" w:hAnsi="Times New Roman"/>
                <w:bCs/>
                <w:lang w:val="sl-SI"/>
              </w:rPr>
              <w:t>2132,90</w:t>
            </w:r>
          </w:p>
        </w:tc>
        <w:tc>
          <w:tcPr>
            <w:tcW w:w="17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CF430D" w:rsidRDefault="00A131AD" w:rsidP="000C0138">
            <w:pPr>
              <w:spacing w:line="276" w:lineRule="auto"/>
              <w:jc w:val="center"/>
              <w:rPr>
                <w:rFonts w:ascii="Times New Roman" w:hAnsi="Times New Roman"/>
                <w:bCs/>
                <w:lang w:val="sl-SI"/>
              </w:rPr>
            </w:pPr>
            <w:r w:rsidRPr="00CF430D">
              <w:rPr>
                <w:rFonts w:ascii="Times New Roman" w:hAnsi="Times New Roman"/>
                <w:bCs/>
                <w:lang w:val="sl-SI"/>
              </w:rPr>
              <w:t>53</w:t>
            </w:r>
          </w:p>
        </w:tc>
        <w:tc>
          <w:tcPr>
            <w:tcW w:w="172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CF430D" w:rsidRDefault="00A131AD" w:rsidP="000C0138">
            <w:pPr>
              <w:spacing w:line="276" w:lineRule="auto"/>
              <w:jc w:val="center"/>
              <w:rPr>
                <w:rFonts w:ascii="Times New Roman" w:hAnsi="Times New Roman"/>
                <w:bCs/>
                <w:lang w:val="sl-SI"/>
              </w:rPr>
            </w:pPr>
            <w:r w:rsidRPr="00CF430D">
              <w:rPr>
                <w:rFonts w:ascii="Times New Roman" w:hAnsi="Times New Roman"/>
                <w:bCs/>
                <w:lang w:val="sl-SI"/>
              </w:rPr>
              <w:t>2,26</w:t>
            </w:r>
          </w:p>
        </w:tc>
      </w:tr>
      <w:tr w:rsidR="00A131AD" w:rsidRPr="00CF430D" w:rsidTr="001911A6">
        <w:trPr>
          <w:trHeight w:hRule="exact" w:val="324"/>
        </w:trPr>
        <w:tc>
          <w:tcPr>
            <w:tcW w:w="211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CF430D" w:rsidRDefault="00A131AD" w:rsidP="000C0138">
            <w:pPr>
              <w:spacing w:line="276" w:lineRule="auto"/>
              <w:jc w:val="center"/>
              <w:rPr>
                <w:rFonts w:ascii="Times New Roman" w:hAnsi="Times New Roman"/>
                <w:bCs/>
                <w:lang w:val="sl-SI"/>
              </w:rPr>
            </w:pPr>
            <w:r w:rsidRPr="00CF430D">
              <w:rPr>
                <w:rFonts w:ascii="Times New Roman" w:hAnsi="Times New Roman"/>
                <w:bCs/>
                <w:lang w:val="sl-SI"/>
              </w:rPr>
              <w:t>2013.</w:t>
            </w:r>
          </w:p>
        </w:tc>
        <w:tc>
          <w:tcPr>
            <w:tcW w:w="194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CF430D" w:rsidRDefault="00A131AD" w:rsidP="000C0138">
            <w:pPr>
              <w:spacing w:line="276" w:lineRule="auto"/>
              <w:jc w:val="center"/>
              <w:rPr>
                <w:rFonts w:ascii="Times New Roman" w:hAnsi="Times New Roman"/>
                <w:bCs/>
                <w:lang w:val="sl-SI"/>
              </w:rPr>
            </w:pPr>
            <w:r w:rsidRPr="00CF430D">
              <w:rPr>
                <w:rFonts w:ascii="Times New Roman" w:hAnsi="Times New Roman"/>
                <w:bCs/>
                <w:lang w:val="sl-SI"/>
              </w:rPr>
              <w:t>49375</w:t>
            </w:r>
          </w:p>
        </w:tc>
        <w:tc>
          <w:tcPr>
            <w:tcW w:w="1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CF430D" w:rsidRDefault="00A131AD" w:rsidP="000C0138">
            <w:pPr>
              <w:spacing w:line="276" w:lineRule="auto"/>
              <w:jc w:val="center"/>
              <w:rPr>
                <w:rFonts w:ascii="Times New Roman" w:hAnsi="Times New Roman"/>
                <w:bCs/>
                <w:lang w:val="sl-SI"/>
              </w:rPr>
            </w:pPr>
            <w:r w:rsidRPr="00CF430D">
              <w:rPr>
                <w:rFonts w:ascii="Times New Roman" w:hAnsi="Times New Roman"/>
                <w:bCs/>
                <w:lang w:val="sl-SI"/>
              </w:rPr>
              <w:t>2112,57</w:t>
            </w:r>
          </w:p>
        </w:tc>
        <w:tc>
          <w:tcPr>
            <w:tcW w:w="17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CF430D" w:rsidRDefault="00A131AD" w:rsidP="000C0138">
            <w:pPr>
              <w:spacing w:line="276" w:lineRule="auto"/>
              <w:jc w:val="center"/>
              <w:rPr>
                <w:rFonts w:ascii="Times New Roman" w:hAnsi="Times New Roman"/>
                <w:bCs/>
                <w:lang w:val="sl-SI"/>
              </w:rPr>
            </w:pPr>
            <w:r w:rsidRPr="00CF430D">
              <w:rPr>
                <w:rFonts w:ascii="Times New Roman" w:hAnsi="Times New Roman"/>
                <w:bCs/>
                <w:lang w:val="sl-SI"/>
              </w:rPr>
              <w:t>37</w:t>
            </w:r>
          </w:p>
        </w:tc>
        <w:tc>
          <w:tcPr>
            <w:tcW w:w="172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CF430D" w:rsidRDefault="00A131AD" w:rsidP="000C0138">
            <w:pPr>
              <w:spacing w:line="276" w:lineRule="auto"/>
              <w:jc w:val="center"/>
              <w:rPr>
                <w:rFonts w:ascii="Times New Roman" w:hAnsi="Times New Roman"/>
                <w:bCs/>
                <w:lang w:val="sl-SI"/>
              </w:rPr>
            </w:pPr>
            <w:r w:rsidRPr="00CF430D">
              <w:rPr>
                <w:rFonts w:ascii="Times New Roman" w:hAnsi="Times New Roman"/>
                <w:bCs/>
                <w:lang w:val="sl-SI"/>
              </w:rPr>
              <w:t>1,45</w:t>
            </w:r>
          </w:p>
        </w:tc>
      </w:tr>
      <w:tr w:rsidR="00A131AD" w:rsidRPr="00CF430D" w:rsidTr="001911A6">
        <w:trPr>
          <w:trHeight w:hRule="exact" w:val="324"/>
        </w:trPr>
        <w:tc>
          <w:tcPr>
            <w:tcW w:w="211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CF430D" w:rsidRDefault="00A131AD" w:rsidP="000C0138">
            <w:pPr>
              <w:spacing w:line="276" w:lineRule="auto"/>
              <w:jc w:val="center"/>
              <w:rPr>
                <w:rFonts w:ascii="Times New Roman" w:hAnsi="Times New Roman"/>
                <w:bCs/>
                <w:lang w:val="sl-SI"/>
              </w:rPr>
            </w:pPr>
            <w:r w:rsidRPr="00CF430D">
              <w:rPr>
                <w:rFonts w:ascii="Times New Roman" w:hAnsi="Times New Roman"/>
                <w:bCs/>
                <w:lang w:val="sl-SI"/>
              </w:rPr>
              <w:t>2012.</w:t>
            </w:r>
          </w:p>
        </w:tc>
        <w:tc>
          <w:tcPr>
            <w:tcW w:w="194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CF430D" w:rsidRDefault="00A131AD" w:rsidP="000C0138">
            <w:pPr>
              <w:spacing w:line="276" w:lineRule="auto"/>
              <w:jc w:val="center"/>
              <w:rPr>
                <w:rFonts w:ascii="Times New Roman" w:hAnsi="Times New Roman"/>
                <w:bCs/>
                <w:lang w:val="sl-SI"/>
              </w:rPr>
            </w:pPr>
            <w:r w:rsidRPr="00CF430D">
              <w:rPr>
                <w:rFonts w:ascii="Times New Roman" w:hAnsi="Times New Roman"/>
                <w:bCs/>
                <w:lang w:val="sl-SI"/>
              </w:rPr>
              <w:t>53878</w:t>
            </w:r>
          </w:p>
        </w:tc>
        <w:tc>
          <w:tcPr>
            <w:tcW w:w="1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CF430D" w:rsidRDefault="00A131AD" w:rsidP="000C0138">
            <w:pPr>
              <w:spacing w:line="276" w:lineRule="auto"/>
              <w:jc w:val="center"/>
              <w:rPr>
                <w:rFonts w:ascii="Times New Roman" w:hAnsi="Times New Roman"/>
                <w:bCs/>
                <w:lang w:val="sl-SI"/>
              </w:rPr>
            </w:pPr>
            <w:r w:rsidRPr="00CF430D">
              <w:rPr>
                <w:rFonts w:ascii="Times New Roman" w:hAnsi="Times New Roman"/>
                <w:bCs/>
                <w:lang w:val="sl-SI"/>
              </w:rPr>
              <w:t>2304,17</w:t>
            </w:r>
          </w:p>
        </w:tc>
        <w:tc>
          <w:tcPr>
            <w:tcW w:w="17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CF430D" w:rsidRDefault="00A131AD" w:rsidP="000C0138">
            <w:pPr>
              <w:spacing w:line="276" w:lineRule="auto"/>
              <w:jc w:val="center"/>
              <w:rPr>
                <w:rFonts w:ascii="Times New Roman" w:hAnsi="Times New Roman"/>
                <w:bCs/>
                <w:lang w:val="sl-SI"/>
              </w:rPr>
            </w:pPr>
            <w:r w:rsidRPr="00CF430D">
              <w:rPr>
                <w:rFonts w:ascii="Times New Roman" w:hAnsi="Times New Roman"/>
                <w:bCs/>
                <w:lang w:val="sl-SI"/>
              </w:rPr>
              <w:t>51</w:t>
            </w:r>
          </w:p>
        </w:tc>
        <w:tc>
          <w:tcPr>
            <w:tcW w:w="172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CF430D" w:rsidRDefault="00A131AD" w:rsidP="000C0138">
            <w:pPr>
              <w:spacing w:line="276" w:lineRule="auto"/>
              <w:jc w:val="center"/>
              <w:rPr>
                <w:rFonts w:ascii="Times New Roman" w:hAnsi="Times New Roman"/>
                <w:bCs/>
                <w:lang w:val="sl-SI"/>
              </w:rPr>
            </w:pPr>
            <w:r w:rsidRPr="00CF430D">
              <w:rPr>
                <w:rFonts w:ascii="Times New Roman" w:hAnsi="Times New Roman"/>
                <w:bCs/>
                <w:lang w:val="sl-SI"/>
              </w:rPr>
              <w:t>2,18</w:t>
            </w:r>
          </w:p>
        </w:tc>
      </w:tr>
      <w:tr w:rsidR="00A131AD" w:rsidRPr="00CF430D" w:rsidTr="001911A6">
        <w:trPr>
          <w:trHeight w:hRule="exact" w:val="324"/>
        </w:trPr>
        <w:tc>
          <w:tcPr>
            <w:tcW w:w="211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CF430D" w:rsidRDefault="00A131AD" w:rsidP="000C0138">
            <w:pPr>
              <w:spacing w:line="276" w:lineRule="auto"/>
              <w:jc w:val="center"/>
              <w:rPr>
                <w:rFonts w:ascii="Times New Roman" w:hAnsi="Times New Roman"/>
                <w:bCs/>
                <w:lang w:val="sl-SI"/>
              </w:rPr>
            </w:pPr>
            <w:r w:rsidRPr="00CF430D">
              <w:rPr>
                <w:rFonts w:ascii="Times New Roman" w:hAnsi="Times New Roman"/>
                <w:bCs/>
                <w:lang w:val="sl-SI"/>
              </w:rPr>
              <w:t>2011.</w:t>
            </w:r>
          </w:p>
        </w:tc>
        <w:tc>
          <w:tcPr>
            <w:tcW w:w="194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CF430D" w:rsidRDefault="00A131AD" w:rsidP="000C0138">
            <w:pPr>
              <w:spacing w:line="276" w:lineRule="auto"/>
              <w:jc w:val="center"/>
              <w:rPr>
                <w:rFonts w:ascii="Times New Roman" w:hAnsi="Times New Roman"/>
                <w:bCs/>
                <w:lang w:val="sl-SI"/>
              </w:rPr>
            </w:pPr>
            <w:r w:rsidRPr="00CF430D">
              <w:rPr>
                <w:rFonts w:ascii="Times New Roman" w:hAnsi="Times New Roman"/>
                <w:bCs/>
                <w:lang w:val="sl-SI"/>
              </w:rPr>
              <w:t>89731</w:t>
            </w:r>
          </w:p>
        </w:tc>
        <w:tc>
          <w:tcPr>
            <w:tcW w:w="1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CF430D" w:rsidRDefault="00A131AD" w:rsidP="000C0138">
            <w:pPr>
              <w:spacing w:line="276" w:lineRule="auto"/>
              <w:jc w:val="center"/>
              <w:rPr>
                <w:rFonts w:ascii="Times New Roman" w:hAnsi="Times New Roman"/>
                <w:bCs/>
                <w:lang w:val="sl-SI"/>
              </w:rPr>
            </w:pPr>
            <w:r w:rsidRPr="00CF430D">
              <w:rPr>
                <w:rFonts w:ascii="Times New Roman" w:hAnsi="Times New Roman"/>
                <w:bCs/>
                <w:lang w:val="sl-SI"/>
              </w:rPr>
              <w:t>3837,50</w:t>
            </w:r>
          </w:p>
        </w:tc>
        <w:tc>
          <w:tcPr>
            <w:tcW w:w="17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CF430D" w:rsidRDefault="00A131AD" w:rsidP="000C0138">
            <w:pPr>
              <w:spacing w:line="276" w:lineRule="auto"/>
              <w:jc w:val="center"/>
              <w:rPr>
                <w:rFonts w:ascii="Times New Roman" w:hAnsi="Times New Roman"/>
                <w:bCs/>
                <w:lang w:val="sl-SI"/>
              </w:rPr>
            </w:pPr>
            <w:r w:rsidRPr="00CF430D">
              <w:rPr>
                <w:rFonts w:ascii="Times New Roman" w:hAnsi="Times New Roman"/>
                <w:bCs/>
                <w:lang w:val="sl-SI"/>
              </w:rPr>
              <w:t>40</w:t>
            </w:r>
          </w:p>
        </w:tc>
        <w:tc>
          <w:tcPr>
            <w:tcW w:w="172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CF430D" w:rsidRDefault="00A131AD" w:rsidP="000C0138">
            <w:pPr>
              <w:spacing w:line="276" w:lineRule="auto"/>
              <w:jc w:val="center"/>
              <w:rPr>
                <w:rFonts w:ascii="Times New Roman" w:hAnsi="Times New Roman"/>
                <w:bCs/>
                <w:lang w:val="sl-SI"/>
              </w:rPr>
            </w:pPr>
            <w:r w:rsidRPr="00CF430D">
              <w:rPr>
                <w:rFonts w:ascii="Times New Roman" w:hAnsi="Times New Roman"/>
                <w:bCs/>
                <w:lang w:val="sl-SI"/>
              </w:rPr>
              <w:t>1,71</w:t>
            </w:r>
          </w:p>
        </w:tc>
      </w:tr>
    </w:tbl>
    <w:p w:rsidR="00B4366E" w:rsidRDefault="00B4366E" w:rsidP="000C0138">
      <w:pPr>
        <w:autoSpaceDE w:val="0"/>
        <w:autoSpaceDN w:val="0"/>
        <w:adjustRightInd w:val="0"/>
        <w:spacing w:line="276" w:lineRule="auto"/>
        <w:outlineLvl w:val="0"/>
        <w:rPr>
          <w:rFonts w:ascii="Times New Roman" w:hAnsi="Times New Roman"/>
          <w:b/>
          <w:lang w:val="hr-BA" w:eastAsia="hr-BA"/>
        </w:rPr>
      </w:pPr>
      <w:bookmarkStart w:id="28" w:name="_Toc453328505"/>
      <w:bookmarkStart w:id="29" w:name="_Toc453917695"/>
    </w:p>
    <w:p w:rsidR="00CF430D" w:rsidRPr="004164E4" w:rsidRDefault="00A131AD" w:rsidP="004164E4">
      <w:pPr>
        <w:rPr>
          <w:rFonts w:ascii="Times New Roman" w:hAnsi="Times New Roman"/>
          <w:b/>
          <w:lang w:val="hr-BA" w:eastAsia="hr-BA"/>
        </w:rPr>
      </w:pPr>
      <w:bookmarkStart w:id="30" w:name="_Toc454797795"/>
      <w:bookmarkStart w:id="31" w:name="_Toc454799692"/>
      <w:bookmarkStart w:id="32" w:name="_Toc454803303"/>
      <w:r w:rsidRPr="004164E4">
        <w:rPr>
          <w:rFonts w:ascii="Times New Roman" w:hAnsi="Times New Roman"/>
          <w:b/>
          <w:lang w:val="hr-BA" w:eastAsia="hr-BA"/>
        </w:rPr>
        <w:t>G</w:t>
      </w:r>
      <w:bookmarkEnd w:id="28"/>
      <w:bookmarkEnd w:id="29"/>
      <w:r w:rsidR="00B560D0" w:rsidRPr="004164E4">
        <w:rPr>
          <w:rFonts w:ascii="Times New Roman" w:hAnsi="Times New Roman"/>
          <w:b/>
          <w:lang w:val="hr-BA" w:eastAsia="hr-BA"/>
        </w:rPr>
        <w:t>RIPA</w:t>
      </w:r>
      <w:bookmarkEnd w:id="30"/>
      <w:bookmarkEnd w:id="31"/>
      <w:bookmarkEnd w:id="32"/>
    </w:p>
    <w:p w:rsidR="00CF430D" w:rsidRPr="004164E4" w:rsidRDefault="00CF430D" w:rsidP="004164E4">
      <w:pPr>
        <w:spacing w:line="276" w:lineRule="auto"/>
        <w:rPr>
          <w:rFonts w:ascii="Times New Roman" w:hAnsi="Times New Roman"/>
          <w:lang w:val="hr-BA" w:eastAsia="hr-BA"/>
        </w:rPr>
      </w:pPr>
    </w:p>
    <w:p w:rsidR="00A131AD" w:rsidRPr="004164E4" w:rsidRDefault="00A131AD" w:rsidP="004164E4">
      <w:pPr>
        <w:spacing w:line="276" w:lineRule="auto"/>
        <w:rPr>
          <w:rFonts w:ascii="Times New Roman" w:hAnsi="Times New Roman"/>
          <w:lang w:eastAsia="bs-Latn-BA"/>
        </w:rPr>
      </w:pPr>
      <w:bookmarkStart w:id="33" w:name="_Toc453917696"/>
      <w:bookmarkStart w:id="34" w:name="_Toc454797080"/>
      <w:bookmarkStart w:id="35" w:name="_Toc454797796"/>
      <w:bookmarkStart w:id="36" w:name="_Toc454799693"/>
      <w:bookmarkStart w:id="37" w:name="_Toc454803304"/>
      <w:r w:rsidRPr="004164E4">
        <w:rPr>
          <w:rFonts w:ascii="Times New Roman" w:hAnsi="Times New Roman"/>
          <w:bCs/>
        </w:rPr>
        <w:t>Gripa uzrokuje znatan morbiditet i mortalitet svake godine</w:t>
      </w:r>
      <w:r w:rsidRPr="004164E4">
        <w:rPr>
          <w:rFonts w:ascii="Times New Roman" w:hAnsi="Times New Roman"/>
        </w:rPr>
        <w:t xml:space="preserve"> i na listi deset vodećih zaraznih oboljenja zauzima vodeće mjesto u svakoj izvještajnoj godini. </w:t>
      </w:r>
      <w:r w:rsidRPr="004164E4">
        <w:rPr>
          <w:rFonts w:ascii="Times New Roman" w:hAnsi="Times New Roman"/>
          <w:lang w:val="sr-Latn-BA"/>
        </w:rPr>
        <w:t xml:space="preserve">Stoga, praćenje kretanja gripe zauzima posebnu pažnju, </w:t>
      </w:r>
      <w:r w:rsidR="00C125EF">
        <w:rPr>
          <w:rFonts w:ascii="Times New Roman" w:hAnsi="Times New Roman"/>
          <w:lang w:val="sr-Latn-BA"/>
        </w:rPr>
        <w:t>osobito</w:t>
      </w:r>
      <w:r w:rsidRPr="004164E4">
        <w:rPr>
          <w:rFonts w:ascii="Times New Roman" w:hAnsi="Times New Roman"/>
          <w:lang w:val="sr-Latn-BA"/>
        </w:rPr>
        <w:t xml:space="preserve"> nakon pandemije 2009. godine. </w:t>
      </w:r>
      <w:r w:rsidRPr="004164E4">
        <w:rPr>
          <w:rFonts w:ascii="Times New Roman" w:hAnsi="Times New Roman"/>
        </w:rPr>
        <w:t>Kao jedan od odgovora na pandemiju gripe, 2009. godine u FBiH je bio redizajniran postojeći pasivni s</w:t>
      </w:r>
      <w:r w:rsidR="00C125EF">
        <w:rPr>
          <w:rFonts w:ascii="Times New Roman" w:hAnsi="Times New Roman"/>
        </w:rPr>
        <w:t>ustav</w:t>
      </w:r>
      <w:r w:rsidRPr="004164E4">
        <w:rPr>
          <w:rFonts w:ascii="Times New Roman" w:hAnsi="Times New Roman"/>
        </w:rPr>
        <w:t xml:space="preserve"> nadzora. Uveden je epidemiološki i bolnički nadzor nad </w:t>
      </w:r>
      <w:r w:rsidRPr="004164E4">
        <w:rPr>
          <w:rFonts w:ascii="Times New Roman" w:hAnsi="Times New Roman"/>
          <w:lang w:eastAsia="bs-Latn-BA"/>
        </w:rPr>
        <w:t>oboljenjima sličnim gripi (ILI), akutnim respiratornim infekcijama (ARI), kao i nadzor nad  teškim neobjašnjenim akutnim respiratornim bolestima (SARI) i  mortalitetom povezanim s gripom,  korištenjem standardnih definicija slučaja.</w:t>
      </w:r>
      <w:bookmarkEnd w:id="33"/>
      <w:bookmarkEnd w:id="34"/>
      <w:bookmarkEnd w:id="35"/>
      <w:bookmarkEnd w:id="36"/>
      <w:bookmarkEnd w:id="37"/>
    </w:p>
    <w:p w:rsidR="00B560D0" w:rsidRPr="004164E4" w:rsidRDefault="00B560D0" w:rsidP="004164E4">
      <w:pPr>
        <w:spacing w:line="276" w:lineRule="auto"/>
        <w:rPr>
          <w:rFonts w:ascii="Times New Roman" w:hAnsi="Times New Roman"/>
          <w:lang w:val="hr-BA" w:eastAsia="hr-BA"/>
        </w:rPr>
      </w:pPr>
    </w:p>
    <w:p w:rsidR="00A131AD" w:rsidRPr="004164E4" w:rsidRDefault="00A131AD" w:rsidP="004164E4">
      <w:pPr>
        <w:spacing w:line="276" w:lineRule="auto"/>
        <w:rPr>
          <w:rFonts w:ascii="Times New Roman" w:hAnsi="Times New Roman"/>
        </w:rPr>
      </w:pPr>
      <w:r w:rsidRPr="004164E4">
        <w:rPr>
          <w:rFonts w:ascii="Times New Roman" w:hAnsi="Times New Roman"/>
        </w:rPr>
        <w:t xml:space="preserve">Iskustva su pokazala da postoje problemi u prijavljivanju i lošem protoku podataka, te ukazala  na važnost uspostave integriranog nadzora utemeljenog na epidemiološkoj, kliničkoj i laboratorijskoj analizi. </w:t>
      </w:r>
      <w:r w:rsidRPr="004164E4">
        <w:rPr>
          <w:rFonts w:ascii="Times New Roman" w:hAnsi="Times New Roman"/>
          <w:lang w:eastAsia="bs-Latn-BA"/>
        </w:rPr>
        <w:t>Iskustva s pandemijom (2009/2010), kao i međunarodne inicijative (2002 globalne smjernice o nadzoru i kontroli gripe WHO, IHR 2005)  su kao jednu od  prioritetnih aktivnosti svake zemlje definirale korištenje više vrsta nadzora nad gripom i jačanje s</w:t>
      </w:r>
      <w:r w:rsidR="00C125EF">
        <w:rPr>
          <w:rFonts w:ascii="Times New Roman" w:hAnsi="Times New Roman"/>
          <w:lang w:eastAsia="bs-Latn-BA"/>
        </w:rPr>
        <w:t>ustava</w:t>
      </w:r>
      <w:r w:rsidRPr="004164E4">
        <w:rPr>
          <w:rFonts w:ascii="Times New Roman" w:hAnsi="Times New Roman"/>
          <w:lang w:eastAsia="bs-Latn-BA"/>
        </w:rPr>
        <w:t xml:space="preserve"> nadzora</w:t>
      </w:r>
      <w:r w:rsidRPr="004164E4">
        <w:rPr>
          <w:rFonts w:ascii="Times New Roman" w:hAnsi="Times New Roman"/>
        </w:rPr>
        <w:t>.</w:t>
      </w:r>
    </w:p>
    <w:p w:rsidR="00B560D0" w:rsidRPr="004164E4" w:rsidRDefault="00B560D0" w:rsidP="004164E4">
      <w:pPr>
        <w:spacing w:line="276" w:lineRule="auto"/>
        <w:rPr>
          <w:rFonts w:ascii="Times New Roman" w:hAnsi="Times New Roman"/>
        </w:rPr>
      </w:pPr>
    </w:p>
    <w:p w:rsidR="00A131AD" w:rsidRPr="004164E4" w:rsidRDefault="00A131AD" w:rsidP="004164E4">
      <w:pPr>
        <w:spacing w:line="276" w:lineRule="auto"/>
        <w:rPr>
          <w:rFonts w:ascii="Times New Roman" w:hAnsi="Times New Roman"/>
          <w:color w:val="000000"/>
        </w:rPr>
      </w:pPr>
      <w:r w:rsidRPr="004164E4">
        <w:rPr>
          <w:rFonts w:ascii="Times New Roman" w:hAnsi="Times New Roman"/>
        </w:rPr>
        <w:t>Kako bi osigurali bolj</w:t>
      </w:r>
      <w:r w:rsidR="00C125EF">
        <w:rPr>
          <w:rFonts w:ascii="Times New Roman" w:hAnsi="Times New Roman"/>
        </w:rPr>
        <w:t>u</w:t>
      </w:r>
      <w:r w:rsidRPr="004164E4">
        <w:rPr>
          <w:rFonts w:ascii="Times New Roman" w:hAnsi="Times New Roman"/>
        </w:rPr>
        <w:t xml:space="preserve"> kvalitet</w:t>
      </w:r>
      <w:r w:rsidR="00C125EF">
        <w:rPr>
          <w:rFonts w:ascii="Times New Roman" w:hAnsi="Times New Roman"/>
        </w:rPr>
        <w:t>u</w:t>
      </w:r>
      <w:r w:rsidRPr="004164E4">
        <w:rPr>
          <w:rFonts w:ascii="Times New Roman" w:hAnsi="Times New Roman"/>
        </w:rPr>
        <w:t xml:space="preserve"> podataka i</w:t>
      </w:r>
      <w:r w:rsidRPr="004164E4">
        <w:rPr>
          <w:rFonts w:ascii="Times New Roman" w:hAnsi="Times New Roman"/>
          <w:color w:val="000000"/>
        </w:rPr>
        <w:t xml:space="preserve"> u potpunosti </w:t>
      </w:r>
      <w:r w:rsidR="00C125EF">
        <w:rPr>
          <w:rFonts w:ascii="Times New Roman" w:hAnsi="Times New Roman"/>
          <w:color w:val="000000"/>
        </w:rPr>
        <w:t>sudjelovali</w:t>
      </w:r>
      <w:r w:rsidRPr="004164E4">
        <w:rPr>
          <w:rFonts w:ascii="Times New Roman" w:hAnsi="Times New Roman"/>
          <w:color w:val="000000"/>
        </w:rPr>
        <w:t xml:space="preserve"> u WHO globalnom s</w:t>
      </w:r>
      <w:r w:rsidR="00C125EF">
        <w:rPr>
          <w:rFonts w:ascii="Times New Roman" w:hAnsi="Times New Roman"/>
          <w:color w:val="000000"/>
        </w:rPr>
        <w:t xml:space="preserve">ustavu </w:t>
      </w:r>
      <w:r w:rsidRPr="004164E4">
        <w:rPr>
          <w:rFonts w:ascii="Times New Roman" w:hAnsi="Times New Roman"/>
          <w:color w:val="000000"/>
        </w:rPr>
        <w:t xml:space="preserve">nadzora i odgovoru  na influencu </w:t>
      </w:r>
      <w:r w:rsidRPr="004164E4">
        <w:rPr>
          <w:rFonts w:ascii="Times New Roman" w:hAnsi="Times New Roman"/>
        </w:rPr>
        <w:t xml:space="preserve">(GISRS), </w:t>
      </w:r>
      <w:r w:rsidRPr="004164E4">
        <w:rPr>
          <w:rFonts w:ascii="Times New Roman" w:hAnsi="Times New Roman"/>
          <w:bCs/>
        </w:rPr>
        <w:t>u sezoni 2014/2015, r</w:t>
      </w:r>
      <w:r w:rsidRPr="004164E4">
        <w:rPr>
          <w:rFonts w:ascii="Times New Roman" w:hAnsi="Times New Roman"/>
          <w:lang w:val="sr-Latn-BA"/>
        </w:rPr>
        <w:t xml:space="preserve">utinski nadzor upotpunjen je sentinel nadzorom </w:t>
      </w:r>
      <w:r w:rsidRPr="004164E4">
        <w:rPr>
          <w:rStyle w:val="Strong"/>
          <w:b w:val="0"/>
          <w:bCs w:val="0"/>
        </w:rPr>
        <w:t>nad oboljenjima sličnim gripi (ILI), akutnim respiratornim infekcijama (ARI), teškim akutnim respiratornim infekcijama (SARI), i mortalitetom vezanim za gripu. Kao sentinel mjesto za nadzor ILI/influenza (simptomi slični gripi/gripa) određen je Dom zdravlja Novi Grad</w:t>
      </w:r>
      <w:r w:rsidR="009E2387" w:rsidRPr="004164E4">
        <w:rPr>
          <w:rStyle w:val="Strong"/>
          <w:b w:val="0"/>
          <w:bCs w:val="0"/>
        </w:rPr>
        <w:t xml:space="preserve"> Sarajevo</w:t>
      </w:r>
      <w:r w:rsidRPr="004164E4">
        <w:rPr>
          <w:rStyle w:val="Strong"/>
          <w:b w:val="0"/>
          <w:bCs w:val="0"/>
        </w:rPr>
        <w:t>, a za nadzor SARI (teških respiratornih infekcija), UKC Sarajevo, sa učešćem i UKC Tuzla.</w:t>
      </w:r>
      <w:r w:rsidR="009E2387" w:rsidRPr="004164E4">
        <w:rPr>
          <w:rStyle w:val="Strong"/>
          <w:b w:val="0"/>
          <w:bCs w:val="0"/>
        </w:rPr>
        <w:t xml:space="preserve"> </w:t>
      </w:r>
      <w:r w:rsidR="009E2387" w:rsidRPr="004164E4">
        <w:rPr>
          <w:rFonts w:ascii="Times New Roman" w:hAnsi="Times New Roman"/>
          <w:color w:val="000000"/>
        </w:rPr>
        <w:t>Cilj unapr</w:t>
      </w:r>
      <w:r w:rsidRPr="004164E4">
        <w:rPr>
          <w:rFonts w:ascii="Times New Roman" w:hAnsi="Times New Roman"/>
          <w:color w:val="000000"/>
        </w:rPr>
        <w:t>eđenja nadzora nad gripom je da se razviju epidemiološki, klinički i virusološki  kapaciteti, da  se  otkriju i prate promjene influenca virusa, otkriju visoko patogeni virusi, identifiraju sindromi ozbiljne respiratorne bolesti, kao i da se izgrade kapaciteti za odgovor na epidemiju/pandemiju.</w:t>
      </w:r>
    </w:p>
    <w:p w:rsidR="00B560D0" w:rsidRPr="004164E4" w:rsidRDefault="00B560D0" w:rsidP="004164E4">
      <w:pPr>
        <w:spacing w:line="276" w:lineRule="auto"/>
        <w:rPr>
          <w:rFonts w:ascii="Times New Roman" w:hAnsi="Times New Roman"/>
          <w:color w:val="000000"/>
        </w:rPr>
      </w:pPr>
    </w:p>
    <w:p w:rsidR="00284F26" w:rsidRPr="004164E4" w:rsidRDefault="00A131AD" w:rsidP="004164E4">
      <w:pPr>
        <w:spacing w:line="276" w:lineRule="auto"/>
        <w:rPr>
          <w:rFonts w:ascii="Times New Roman" w:hAnsi="Times New Roman"/>
          <w:lang w:val="bs-Latn-BA" w:eastAsia="bs-Latn-BA"/>
        </w:rPr>
      </w:pPr>
      <w:r w:rsidRPr="004164E4">
        <w:rPr>
          <w:rFonts w:ascii="Times New Roman" w:hAnsi="Times New Roman"/>
        </w:rPr>
        <w:t xml:space="preserve">Od 2009. godine, kretanje gripe u Federaciji BiH analizira se po sezonama.Najveća aktivnost gripe u posljednjih 5 sezona gripe, registrirana je u sezoni,  2012/2013.  </w:t>
      </w:r>
    </w:p>
    <w:p w:rsidR="00284F26" w:rsidRPr="004164E4" w:rsidRDefault="00284F26" w:rsidP="00EB7CC7">
      <w:pPr>
        <w:pStyle w:val="refererere"/>
        <w:rPr>
          <w:lang w:val="bs-Latn-BA" w:eastAsia="bs-Latn-BA"/>
        </w:rPr>
      </w:pPr>
    </w:p>
    <w:p w:rsidR="00B560D0" w:rsidRDefault="00B560D0" w:rsidP="00EB7CC7">
      <w:pPr>
        <w:pStyle w:val="refererere"/>
        <w:rPr>
          <w:lang w:val="bs-Latn-BA" w:eastAsia="bs-Latn-BA"/>
        </w:rPr>
      </w:pPr>
    </w:p>
    <w:p w:rsidR="00B560D0" w:rsidRDefault="00B560D0" w:rsidP="00EB7CC7">
      <w:pPr>
        <w:pStyle w:val="refererere"/>
        <w:rPr>
          <w:lang w:val="bs-Latn-BA" w:eastAsia="bs-Latn-BA"/>
        </w:rPr>
      </w:pPr>
    </w:p>
    <w:p w:rsidR="00B560D0" w:rsidRDefault="00B560D0" w:rsidP="00EB7CC7">
      <w:pPr>
        <w:pStyle w:val="refererere"/>
        <w:rPr>
          <w:lang w:val="bs-Latn-BA" w:eastAsia="bs-Latn-BA"/>
        </w:rPr>
      </w:pPr>
    </w:p>
    <w:p w:rsidR="00B560D0" w:rsidRDefault="00B560D0" w:rsidP="00EB7CC7">
      <w:pPr>
        <w:pStyle w:val="refererere"/>
        <w:rPr>
          <w:lang w:val="bs-Latn-BA" w:eastAsia="bs-Latn-BA"/>
        </w:rPr>
      </w:pPr>
    </w:p>
    <w:p w:rsidR="00B560D0" w:rsidRDefault="00B560D0" w:rsidP="00EB7CC7">
      <w:pPr>
        <w:pStyle w:val="refererere"/>
        <w:rPr>
          <w:lang w:val="bs-Latn-BA" w:eastAsia="bs-Latn-BA"/>
        </w:rPr>
      </w:pPr>
    </w:p>
    <w:p w:rsidR="004164E4" w:rsidRDefault="004164E4" w:rsidP="00EB7CC7">
      <w:pPr>
        <w:pStyle w:val="refererere"/>
        <w:rPr>
          <w:lang w:val="bs-Latn-BA" w:eastAsia="bs-Latn-BA"/>
        </w:rPr>
      </w:pPr>
    </w:p>
    <w:p w:rsidR="004164E4" w:rsidRDefault="004164E4" w:rsidP="00EB7CC7">
      <w:pPr>
        <w:pStyle w:val="refererere"/>
        <w:rPr>
          <w:lang w:val="bs-Latn-BA" w:eastAsia="bs-Latn-BA"/>
        </w:rPr>
      </w:pPr>
    </w:p>
    <w:p w:rsidR="004164E4" w:rsidRDefault="004164E4" w:rsidP="00EB7CC7">
      <w:pPr>
        <w:pStyle w:val="refererere"/>
        <w:rPr>
          <w:lang w:val="bs-Latn-BA" w:eastAsia="bs-Latn-BA"/>
        </w:rPr>
      </w:pPr>
    </w:p>
    <w:p w:rsidR="004164E4" w:rsidRDefault="004164E4" w:rsidP="00EB7CC7">
      <w:pPr>
        <w:pStyle w:val="refererere"/>
        <w:rPr>
          <w:lang w:val="bs-Latn-BA" w:eastAsia="bs-Latn-BA"/>
        </w:rPr>
      </w:pPr>
    </w:p>
    <w:p w:rsidR="00B560D0" w:rsidRDefault="00B560D0" w:rsidP="00EB7CC7">
      <w:pPr>
        <w:pStyle w:val="refererere"/>
        <w:rPr>
          <w:lang w:val="bs-Latn-BA" w:eastAsia="bs-Latn-BA"/>
        </w:rPr>
      </w:pPr>
    </w:p>
    <w:p w:rsidR="00B560D0" w:rsidRDefault="00B560D0" w:rsidP="00EB7CC7">
      <w:pPr>
        <w:pStyle w:val="refererere"/>
        <w:rPr>
          <w:lang w:val="bs-Latn-BA" w:eastAsia="bs-Latn-BA"/>
        </w:rPr>
      </w:pPr>
    </w:p>
    <w:p w:rsidR="00A131AD" w:rsidRPr="00155F80" w:rsidRDefault="00A131AD" w:rsidP="00EB7CC7">
      <w:pPr>
        <w:pStyle w:val="refererere"/>
        <w:rPr>
          <w:lang w:val="bs-Latn-BA" w:eastAsia="bs-Latn-BA"/>
        </w:rPr>
      </w:pPr>
      <w:r w:rsidRPr="00155F80">
        <w:rPr>
          <w:lang w:val="bs-Latn-BA" w:eastAsia="bs-Latn-BA"/>
        </w:rPr>
        <w:t xml:space="preserve">Grafikon 45: Kretanje ILI </w:t>
      </w:r>
      <w:r w:rsidR="00CF430D" w:rsidRPr="00155F80">
        <w:rPr>
          <w:lang w:val="bs-Latn-BA" w:eastAsia="bs-Latn-BA"/>
        </w:rPr>
        <w:t xml:space="preserve">u Federaciji BiH </w:t>
      </w:r>
      <w:r w:rsidR="00CF430D">
        <w:rPr>
          <w:lang w:val="bs-Latn-BA" w:eastAsia="bs-Latn-BA"/>
        </w:rPr>
        <w:t xml:space="preserve">za </w:t>
      </w:r>
      <w:r w:rsidR="00C125EF">
        <w:rPr>
          <w:lang w:val="bs-Latn-BA" w:eastAsia="bs-Latn-BA"/>
        </w:rPr>
        <w:t>razdoblje</w:t>
      </w:r>
      <w:r w:rsidR="00CF430D">
        <w:rPr>
          <w:lang w:val="bs-Latn-BA" w:eastAsia="bs-Latn-BA"/>
        </w:rPr>
        <w:t xml:space="preserve"> 2010.-2015. godina </w:t>
      </w:r>
      <w:r w:rsidRPr="00155F80">
        <w:rPr>
          <w:lang w:val="bs-Latn-BA" w:eastAsia="bs-Latn-BA"/>
        </w:rPr>
        <w:t>po sezonama</w:t>
      </w:r>
      <w:r w:rsidR="00CF430D">
        <w:rPr>
          <w:lang w:val="bs-Latn-BA" w:eastAsia="bs-Latn-BA"/>
        </w:rPr>
        <w:t xml:space="preserve">, </w:t>
      </w:r>
      <w:r w:rsidRPr="00155F80">
        <w:rPr>
          <w:lang w:val="bs-Latn-BA" w:eastAsia="bs-Latn-BA"/>
        </w:rPr>
        <w:t>stopa mo</w:t>
      </w:r>
      <w:r w:rsidR="00CF430D">
        <w:rPr>
          <w:lang w:val="bs-Latn-BA" w:eastAsia="bs-Latn-BA"/>
        </w:rPr>
        <w:t>rbiditeta na 100.000 stanovnika</w:t>
      </w:r>
    </w:p>
    <w:p w:rsidR="00A131AD" w:rsidRPr="00155F80" w:rsidRDefault="00A131AD" w:rsidP="000C0138">
      <w:pPr>
        <w:autoSpaceDE w:val="0"/>
        <w:autoSpaceDN w:val="0"/>
        <w:adjustRightInd w:val="0"/>
        <w:spacing w:line="276" w:lineRule="auto"/>
        <w:rPr>
          <w:rFonts w:ascii="Times New Roman" w:hAnsi="Times New Roman"/>
          <w:lang w:val="hr-HR"/>
        </w:rPr>
      </w:pPr>
      <w:r w:rsidRPr="00155F80">
        <w:rPr>
          <w:rFonts w:ascii="Times New Roman" w:hAnsi="Times New Roman"/>
          <w:noProof/>
          <w:lang w:val="bs-Latn-BA" w:eastAsia="bs-Latn-BA"/>
        </w:rPr>
        <mc:AlternateContent>
          <mc:Choice Requires="wps">
            <w:drawing>
              <wp:anchor distT="0" distB="0" distL="114300" distR="114300" simplePos="0" relativeHeight="251659264" behindDoc="0" locked="0" layoutInCell="1" allowOverlap="1" wp14:anchorId="493C0D4C" wp14:editId="1FD6F21B">
                <wp:simplePos x="0" y="0"/>
                <wp:positionH relativeFrom="margin">
                  <wp:posOffset>372414</wp:posOffset>
                </wp:positionH>
                <wp:positionV relativeFrom="paragraph">
                  <wp:posOffset>1528390</wp:posOffset>
                </wp:positionV>
                <wp:extent cx="5184250" cy="32136"/>
                <wp:effectExtent l="0" t="0" r="35560" b="25400"/>
                <wp:wrapNone/>
                <wp:docPr id="28" name="Straight Connector 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184250" cy="32136"/>
                        </a:xfrm>
                        <a:prstGeom prst="line">
                          <a:avLst/>
                        </a:prstGeom>
                        <a:noFill/>
                        <a:ln w="25400" cap="flat" cmpd="sng" algn="ctr">
                          <a:solidFill>
                            <a:srgbClr val="FF0000"/>
                          </a:solidFill>
                          <a:prstDash val="solid"/>
                        </a:ln>
                        <a:effec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2A8E23E" id="Straight Connector 28"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9.3pt,120.35pt" to="437.5pt,12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" strokecolor="red" strokeweight="2pt">
                <o:lock v:ext="edit" shapetype="f"/>
                <w10:wrap anchorx="margin"/>
              </v:line>
            </w:pict>
          </mc:Fallback>
        </mc:AlternateContent>
      </w:r>
      <w:r w:rsidRPr="00155F80">
        <w:rPr>
          <w:rFonts w:ascii="Times New Roman" w:hAnsi="Times New Roman"/>
          <w:noProof/>
          <w:lang w:val="bs-Latn-BA" w:eastAsia="bs-Latn-BA"/>
        </w:rPr>
        <w:drawing>
          <wp:inline distT="0" distB="0" distL="0" distR="0" wp14:anchorId="1412B2F4" wp14:editId="2C67F683">
            <wp:extent cx="5657850" cy="2196935"/>
            <wp:effectExtent l="0" t="0" r="0" b="0"/>
            <wp:docPr id="25" name="Picture 25" descr="cid:image001.png@01D16E1D.D4458D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01.png@01D16E1D.D4458D90"/>
                    <pic:cNvPicPr>
                      <a:picLocks noChangeAspect="1" noChangeArrowheads="1"/>
                    </pic:cNvPicPr>
                  </pic:nvPicPr>
                  <pic:blipFill>
                    <a:blip r:embed="rId56" r:link="rId57">
                      <a:extLst>
                        <a:ext uri="{28A0092B-C50C-407E-A947-70E740481C1C}">
                          <a14:useLocalDpi xmlns:a14="http://schemas.microsoft.com/office/drawing/2010/main" val="0"/>
                        </a:ext>
                      </a:extLst>
                    </a:blip>
                    <a:srcRect/>
                    <a:stretch>
                      <a:fillRect/>
                    </a:stretch>
                  </pic:blipFill>
                  <pic:spPr bwMode="auto">
                    <a:xfrm>
                      <a:off x="0" y="0"/>
                      <a:ext cx="5667945" cy="2200855"/>
                    </a:xfrm>
                    <a:prstGeom prst="rect">
                      <a:avLst/>
                    </a:prstGeom>
                    <a:noFill/>
                    <a:ln>
                      <a:noFill/>
                    </a:ln>
                  </pic:spPr>
                </pic:pic>
              </a:graphicData>
            </a:graphic>
          </wp:inline>
        </w:drawing>
      </w:r>
    </w:p>
    <w:p w:rsidR="00A131AD" w:rsidRPr="00155F80" w:rsidRDefault="00A131AD" w:rsidP="000C0138">
      <w:pPr>
        <w:autoSpaceDE w:val="0"/>
        <w:autoSpaceDN w:val="0"/>
        <w:adjustRightInd w:val="0"/>
        <w:spacing w:line="276" w:lineRule="auto"/>
        <w:rPr>
          <w:rFonts w:ascii="Times New Roman" w:hAnsi="Times New Roman"/>
        </w:rPr>
      </w:pPr>
      <w:r w:rsidRPr="00155F80">
        <w:rPr>
          <w:rFonts w:ascii="Times New Roman" w:hAnsi="Times New Roman"/>
        </w:rPr>
        <w:t xml:space="preserve"> </w:t>
      </w:r>
    </w:p>
    <w:p w:rsidR="00A131AD" w:rsidRPr="004164E4" w:rsidRDefault="00A131AD" w:rsidP="004164E4">
      <w:pPr>
        <w:spacing w:line="276" w:lineRule="auto"/>
        <w:rPr>
          <w:rFonts w:ascii="Times New Roman" w:hAnsi="Times New Roman"/>
          <w:u w:val="single"/>
        </w:rPr>
      </w:pPr>
      <w:r w:rsidRPr="004164E4">
        <w:rPr>
          <w:rFonts w:ascii="Times New Roman" w:hAnsi="Times New Roman"/>
        </w:rPr>
        <w:t>U sezoni 2</w:t>
      </w:r>
      <w:r w:rsidR="009E2387" w:rsidRPr="004164E4">
        <w:rPr>
          <w:rFonts w:ascii="Times New Roman" w:hAnsi="Times New Roman"/>
        </w:rPr>
        <w:t>014/15., prema poda</w:t>
      </w:r>
      <w:r w:rsidR="00C125EF">
        <w:rPr>
          <w:rFonts w:ascii="Times New Roman" w:hAnsi="Times New Roman"/>
        </w:rPr>
        <w:t>t</w:t>
      </w:r>
      <w:r w:rsidR="009E2387" w:rsidRPr="004164E4">
        <w:rPr>
          <w:rFonts w:ascii="Times New Roman" w:hAnsi="Times New Roman"/>
        </w:rPr>
        <w:t xml:space="preserve">cima </w:t>
      </w:r>
      <w:r w:rsidR="00C861DA">
        <w:rPr>
          <w:rFonts w:ascii="Times New Roman" w:hAnsi="Times New Roman"/>
        </w:rPr>
        <w:t>tjednog</w:t>
      </w:r>
      <w:r w:rsidRPr="004164E4">
        <w:rPr>
          <w:rFonts w:ascii="Times New Roman" w:hAnsi="Times New Roman"/>
        </w:rPr>
        <w:t xml:space="preserve"> nadzora (od </w:t>
      </w:r>
      <w:r w:rsidR="009E2387" w:rsidRPr="004164E4">
        <w:rPr>
          <w:rFonts w:ascii="Times New Roman" w:hAnsi="Times New Roman"/>
        </w:rPr>
        <w:t xml:space="preserve">40. </w:t>
      </w:r>
      <w:r w:rsidR="00C125EF">
        <w:rPr>
          <w:rFonts w:ascii="Times New Roman" w:hAnsi="Times New Roman"/>
        </w:rPr>
        <w:t>tjedna</w:t>
      </w:r>
      <w:r w:rsidR="009E2387" w:rsidRPr="004164E4">
        <w:rPr>
          <w:rFonts w:ascii="Times New Roman" w:hAnsi="Times New Roman"/>
        </w:rPr>
        <w:t xml:space="preserve">, 2014.-20 </w:t>
      </w:r>
      <w:r w:rsidR="00C125EF">
        <w:rPr>
          <w:rFonts w:ascii="Times New Roman" w:hAnsi="Times New Roman"/>
        </w:rPr>
        <w:t>tjedna</w:t>
      </w:r>
      <w:r w:rsidRPr="004164E4">
        <w:rPr>
          <w:rFonts w:ascii="Times New Roman" w:hAnsi="Times New Roman"/>
        </w:rPr>
        <w:t>, 2015.god</w:t>
      </w:r>
      <w:r w:rsidR="002053DE" w:rsidRPr="004164E4">
        <w:rPr>
          <w:rFonts w:ascii="Times New Roman" w:hAnsi="Times New Roman"/>
        </w:rPr>
        <w:t>ine), prijavljeno je ukupno 37.</w:t>
      </w:r>
      <w:r w:rsidRPr="004164E4">
        <w:rPr>
          <w:rFonts w:ascii="Times New Roman" w:hAnsi="Times New Roman"/>
        </w:rPr>
        <w:t>435 slučajeva oboljenja sličnih gripi</w:t>
      </w:r>
      <w:r w:rsidR="002053DE" w:rsidRPr="004164E4">
        <w:rPr>
          <w:rFonts w:ascii="Times New Roman" w:hAnsi="Times New Roman"/>
        </w:rPr>
        <w:t xml:space="preserve"> </w:t>
      </w:r>
      <w:r w:rsidRPr="004164E4">
        <w:rPr>
          <w:rFonts w:ascii="Times New Roman" w:hAnsi="Times New Roman"/>
        </w:rPr>
        <w:t>(ILI), odnosno gripe (Morbiditet; 1</w:t>
      </w:r>
      <w:r w:rsidR="009E2387" w:rsidRPr="004164E4">
        <w:rPr>
          <w:rFonts w:ascii="Times New Roman" w:hAnsi="Times New Roman"/>
        </w:rPr>
        <w:t>.</w:t>
      </w:r>
      <w:r w:rsidRPr="004164E4">
        <w:rPr>
          <w:rFonts w:ascii="Times New Roman" w:hAnsi="Times New Roman"/>
        </w:rPr>
        <w:t>603,2/100</w:t>
      </w:r>
      <w:r w:rsidR="009E2387" w:rsidRPr="004164E4">
        <w:rPr>
          <w:rFonts w:ascii="Times New Roman" w:hAnsi="Times New Roman"/>
        </w:rPr>
        <w:t>.</w:t>
      </w:r>
      <w:r w:rsidRPr="004164E4">
        <w:rPr>
          <w:rFonts w:ascii="Times New Roman" w:hAnsi="Times New Roman"/>
        </w:rPr>
        <w:t>000 stanovnika). Vrhunac aktivnos</w:t>
      </w:r>
      <w:r w:rsidR="009E2387" w:rsidRPr="004164E4">
        <w:rPr>
          <w:rFonts w:ascii="Times New Roman" w:hAnsi="Times New Roman"/>
        </w:rPr>
        <w:t>ti influence je bio u 4</w:t>
      </w:r>
      <w:r w:rsidR="00C125EF">
        <w:rPr>
          <w:rFonts w:ascii="Times New Roman" w:hAnsi="Times New Roman"/>
        </w:rPr>
        <w:t>.</w:t>
      </w:r>
      <w:r w:rsidR="009E2387" w:rsidRPr="004164E4">
        <w:rPr>
          <w:rFonts w:ascii="Times New Roman" w:hAnsi="Times New Roman"/>
        </w:rPr>
        <w:t xml:space="preserve"> </w:t>
      </w:r>
      <w:r w:rsidR="00C125EF">
        <w:rPr>
          <w:rFonts w:ascii="Times New Roman" w:hAnsi="Times New Roman"/>
        </w:rPr>
        <w:t>tjednu</w:t>
      </w:r>
      <w:r w:rsidRPr="004164E4">
        <w:rPr>
          <w:rFonts w:ascii="Times New Roman" w:hAnsi="Times New Roman"/>
        </w:rPr>
        <w:t xml:space="preserve"> 2015</w:t>
      </w:r>
      <w:r w:rsidR="002053DE" w:rsidRPr="004164E4">
        <w:rPr>
          <w:rFonts w:ascii="Times New Roman" w:hAnsi="Times New Roman"/>
        </w:rPr>
        <w:t>.</w:t>
      </w:r>
      <w:r w:rsidRPr="004164E4">
        <w:rPr>
          <w:rFonts w:ascii="Times New Roman" w:hAnsi="Times New Roman"/>
        </w:rPr>
        <w:t xml:space="preserve"> godine (kraj </w:t>
      </w:r>
      <w:r w:rsidR="00C125EF">
        <w:rPr>
          <w:rFonts w:ascii="Times New Roman" w:hAnsi="Times New Roman"/>
        </w:rPr>
        <w:lastRenderedPageBreak/>
        <w:t>siječnja</w:t>
      </w:r>
      <w:r w:rsidRPr="004164E4">
        <w:rPr>
          <w:rFonts w:ascii="Times New Roman" w:hAnsi="Times New Roman"/>
        </w:rPr>
        <w:t xml:space="preserve"> i početak </w:t>
      </w:r>
      <w:r w:rsidR="00C125EF">
        <w:rPr>
          <w:rFonts w:ascii="Times New Roman" w:hAnsi="Times New Roman"/>
        </w:rPr>
        <w:t>veljače</w:t>
      </w:r>
      <w:r w:rsidRPr="004164E4">
        <w:rPr>
          <w:rFonts w:ascii="Times New Roman" w:hAnsi="Times New Roman"/>
        </w:rPr>
        <w:t>, sa najvećim p</w:t>
      </w:r>
      <w:r w:rsidR="00C125EF">
        <w:rPr>
          <w:rFonts w:ascii="Times New Roman" w:hAnsi="Times New Roman"/>
        </w:rPr>
        <w:t>rocentom</w:t>
      </w:r>
      <w:r w:rsidRPr="004164E4">
        <w:rPr>
          <w:rFonts w:ascii="Times New Roman" w:hAnsi="Times New Roman"/>
        </w:rPr>
        <w:t xml:space="preserve"> pozitivnih uzoraka testiranih na virus gripe u tom </w:t>
      </w:r>
      <w:r w:rsidR="00C125EF">
        <w:rPr>
          <w:rFonts w:ascii="Times New Roman" w:hAnsi="Times New Roman"/>
        </w:rPr>
        <w:t>razdoblju</w:t>
      </w:r>
      <w:r w:rsidRPr="004164E4">
        <w:rPr>
          <w:rFonts w:ascii="Times New Roman" w:hAnsi="Times New Roman"/>
        </w:rPr>
        <w:t>).</w:t>
      </w:r>
    </w:p>
    <w:p w:rsidR="00A131AD" w:rsidRPr="004164E4" w:rsidRDefault="00A131AD" w:rsidP="004164E4">
      <w:pPr>
        <w:spacing w:line="276" w:lineRule="auto"/>
        <w:rPr>
          <w:rFonts w:ascii="Times New Roman" w:hAnsi="Times New Roman"/>
          <w:color w:val="FF0000"/>
        </w:rPr>
      </w:pPr>
      <w:r w:rsidRPr="004164E4">
        <w:rPr>
          <w:rFonts w:ascii="Times New Roman" w:hAnsi="Times New Roman"/>
        </w:rPr>
        <w:t>Aktivnost gripe u sezoni 2014/2015. započel</w:t>
      </w:r>
      <w:r w:rsidR="009E2387" w:rsidRPr="004164E4">
        <w:rPr>
          <w:rFonts w:ascii="Times New Roman" w:hAnsi="Times New Roman"/>
        </w:rPr>
        <w:t xml:space="preserve">a posljednjih nekoliko </w:t>
      </w:r>
      <w:r w:rsidR="00C125EF">
        <w:rPr>
          <w:rFonts w:ascii="Times New Roman" w:hAnsi="Times New Roman"/>
        </w:rPr>
        <w:t>tjedana</w:t>
      </w:r>
      <w:r w:rsidRPr="004164E4">
        <w:rPr>
          <w:rFonts w:ascii="Times New Roman" w:hAnsi="Times New Roman"/>
        </w:rPr>
        <w:t>, 201</w:t>
      </w:r>
      <w:r w:rsidR="009E2387" w:rsidRPr="004164E4">
        <w:rPr>
          <w:rFonts w:ascii="Times New Roman" w:hAnsi="Times New Roman"/>
        </w:rPr>
        <w:t xml:space="preserve">4. godine. Aktivnost  je rasla od </w:t>
      </w:r>
      <w:r w:rsidR="00C125EF">
        <w:rPr>
          <w:rFonts w:ascii="Times New Roman" w:hAnsi="Times New Roman"/>
        </w:rPr>
        <w:t>prosinca</w:t>
      </w:r>
      <w:r w:rsidRPr="004164E4">
        <w:rPr>
          <w:rFonts w:ascii="Times New Roman" w:hAnsi="Times New Roman"/>
        </w:rPr>
        <w:t>, počela op</w:t>
      </w:r>
      <w:r w:rsidR="009E2387" w:rsidRPr="004164E4">
        <w:rPr>
          <w:rFonts w:ascii="Times New Roman" w:hAnsi="Times New Roman"/>
        </w:rPr>
        <w:t xml:space="preserve">adati krajem </w:t>
      </w:r>
      <w:r w:rsidR="00C125EF">
        <w:rPr>
          <w:rFonts w:ascii="Times New Roman" w:hAnsi="Times New Roman"/>
        </w:rPr>
        <w:t>veljače</w:t>
      </w:r>
      <w:r w:rsidRPr="004164E4">
        <w:rPr>
          <w:rFonts w:ascii="Times New Roman" w:hAnsi="Times New Roman"/>
        </w:rPr>
        <w:t>,</w:t>
      </w:r>
      <w:r w:rsidR="009E2387" w:rsidRPr="004164E4">
        <w:rPr>
          <w:rFonts w:ascii="Times New Roman" w:hAnsi="Times New Roman"/>
        </w:rPr>
        <w:t xml:space="preserve"> uz stalno smanjenje u </w:t>
      </w:r>
      <w:r w:rsidR="00C125EF">
        <w:rPr>
          <w:rFonts w:ascii="Times New Roman" w:hAnsi="Times New Roman"/>
        </w:rPr>
        <w:t>ožujku</w:t>
      </w:r>
      <w:r w:rsidR="009E2387" w:rsidRPr="004164E4">
        <w:rPr>
          <w:rFonts w:ascii="Times New Roman" w:hAnsi="Times New Roman"/>
        </w:rPr>
        <w:t xml:space="preserve">, odnosno u </w:t>
      </w:r>
      <w:r w:rsidR="00C125EF">
        <w:rPr>
          <w:rFonts w:ascii="Times New Roman" w:hAnsi="Times New Roman"/>
        </w:rPr>
        <w:t>travnju</w:t>
      </w:r>
      <w:r w:rsidRPr="004164E4">
        <w:rPr>
          <w:rFonts w:ascii="Times New Roman" w:hAnsi="Times New Roman"/>
        </w:rPr>
        <w:t>.</w:t>
      </w:r>
      <w:bookmarkStart w:id="38" w:name="_Toc169494974"/>
    </w:p>
    <w:p w:rsidR="00A131AD" w:rsidRPr="004164E4" w:rsidRDefault="00A131AD" w:rsidP="004164E4">
      <w:pPr>
        <w:spacing w:line="276" w:lineRule="auto"/>
        <w:rPr>
          <w:rFonts w:ascii="Times New Roman" w:hAnsi="Times New Roman"/>
          <w:lang w:val="bs-Latn-BA"/>
        </w:rPr>
      </w:pPr>
      <w:r w:rsidRPr="004164E4">
        <w:rPr>
          <w:rFonts w:ascii="Times New Roman" w:hAnsi="Times New Roman"/>
          <w:lang w:val="bs-Latn-BA"/>
        </w:rPr>
        <w:t>Prema poda</w:t>
      </w:r>
      <w:r w:rsidR="00C125EF">
        <w:rPr>
          <w:rFonts w:ascii="Times New Roman" w:hAnsi="Times New Roman"/>
          <w:lang w:val="bs-Latn-BA"/>
        </w:rPr>
        <w:t>t</w:t>
      </w:r>
      <w:r w:rsidRPr="004164E4">
        <w:rPr>
          <w:rFonts w:ascii="Times New Roman" w:hAnsi="Times New Roman"/>
          <w:lang w:val="bs-Latn-BA"/>
        </w:rPr>
        <w:t>cima testiranih uzoraka (sentinel/non sentinel) na virus gripe, kao i u drugim zemljama, u sezoni 2014/2015, registrirana su 3 tipa virusa influence, Tip A H3N2, A H1N1/pdm09  i tip B.</w:t>
      </w:r>
    </w:p>
    <w:p w:rsidR="00A131AD" w:rsidRPr="004164E4" w:rsidRDefault="00A131AD" w:rsidP="004164E4">
      <w:pPr>
        <w:spacing w:line="276" w:lineRule="auto"/>
        <w:rPr>
          <w:rFonts w:ascii="Times New Roman" w:hAnsi="Times New Roman"/>
          <w:lang w:val="bs-Latn-BA"/>
        </w:rPr>
      </w:pPr>
      <w:r w:rsidRPr="004164E4">
        <w:rPr>
          <w:rFonts w:ascii="Times New Roman" w:hAnsi="Times New Roman"/>
          <w:lang w:val="bs-Latn-BA"/>
        </w:rPr>
        <w:t xml:space="preserve">U sentinel SARI nadzoru, registrirana su 34 slučaja teške respiratorne infekcije, </w:t>
      </w:r>
      <w:r w:rsidR="009E2387" w:rsidRPr="004164E4">
        <w:rPr>
          <w:rFonts w:ascii="Times New Roman" w:hAnsi="Times New Roman"/>
          <w:lang w:val="bs-Latn-BA"/>
        </w:rPr>
        <w:t>koji su hospitalizirani na KC</w:t>
      </w:r>
      <w:r w:rsidR="00C125EF">
        <w:rPr>
          <w:rFonts w:ascii="Times New Roman" w:hAnsi="Times New Roman"/>
          <w:lang w:val="bs-Latn-BA"/>
        </w:rPr>
        <w:t>U</w:t>
      </w:r>
      <w:r w:rsidR="009E2387" w:rsidRPr="004164E4">
        <w:rPr>
          <w:rFonts w:ascii="Times New Roman" w:hAnsi="Times New Roman"/>
          <w:lang w:val="bs-Latn-BA"/>
        </w:rPr>
        <w:t xml:space="preserve"> </w:t>
      </w:r>
      <w:r w:rsidRPr="004164E4">
        <w:rPr>
          <w:rFonts w:ascii="Times New Roman" w:hAnsi="Times New Roman"/>
          <w:lang w:val="bs-Latn-BA"/>
        </w:rPr>
        <w:t>Sarajevo i Tuzla. Kod hospitaliziranih slučajeva teških respiratornih infekcija (SARI) dominirao je pandemijski virus influence, Tip A H1N1/pdm09 .</w:t>
      </w:r>
    </w:p>
    <w:p w:rsidR="00A131AD" w:rsidRPr="004164E4" w:rsidRDefault="00A131AD" w:rsidP="004164E4">
      <w:pPr>
        <w:spacing w:line="276" w:lineRule="auto"/>
        <w:rPr>
          <w:rFonts w:ascii="Times New Roman" w:hAnsi="Times New Roman"/>
          <w:lang w:val="hr-HR"/>
        </w:rPr>
      </w:pPr>
      <w:r w:rsidRPr="004164E4">
        <w:rPr>
          <w:rFonts w:ascii="Times New Roman" w:hAnsi="Times New Roman"/>
        </w:rPr>
        <w:t xml:space="preserve">U sezoni 2014/2015.godine, u Federaciji BiH je registrirano 15 umrlih od gripe, (medijan 51 godina). Teška respiratorna infekcija i smrt od gripe je najčešće bila povezana sa </w:t>
      </w:r>
      <w:r w:rsidR="00C125EF">
        <w:rPr>
          <w:rFonts w:ascii="Times New Roman" w:hAnsi="Times New Roman"/>
        </w:rPr>
        <w:t>k</w:t>
      </w:r>
      <w:r w:rsidRPr="004164E4">
        <w:rPr>
          <w:rFonts w:ascii="Times New Roman" w:hAnsi="Times New Roman"/>
        </w:rPr>
        <w:t xml:space="preserve">roničnim oboljenjima, i to sa respiratornim i kardiovaskularnim oboljenjima, a najčešće izoliran virus je također bio pandemijski, </w:t>
      </w:r>
      <w:r w:rsidRPr="004164E4">
        <w:rPr>
          <w:rFonts w:ascii="Times New Roman" w:hAnsi="Times New Roman"/>
          <w:lang w:val="bs-Latn-BA"/>
        </w:rPr>
        <w:t>Tip A H1N1/pdm09</w:t>
      </w:r>
      <w:r w:rsidRPr="004164E4">
        <w:rPr>
          <w:rFonts w:ascii="Times New Roman" w:hAnsi="Times New Roman"/>
        </w:rPr>
        <w:t>.</w:t>
      </w:r>
    </w:p>
    <w:p w:rsidR="00A131AD" w:rsidRPr="004164E4" w:rsidRDefault="00C125EF" w:rsidP="004164E4">
      <w:pPr>
        <w:spacing w:line="276" w:lineRule="auto"/>
        <w:rPr>
          <w:rFonts w:ascii="Times New Roman" w:hAnsi="Times New Roman"/>
          <w:b/>
        </w:rPr>
      </w:pPr>
      <w:r>
        <w:rPr>
          <w:rFonts w:ascii="Times New Roman" w:hAnsi="Times New Roman"/>
        </w:rPr>
        <w:t>Cijepljenje</w:t>
      </w:r>
      <w:r w:rsidR="00A131AD" w:rsidRPr="004164E4">
        <w:rPr>
          <w:rFonts w:ascii="Times New Roman" w:hAnsi="Times New Roman"/>
        </w:rPr>
        <w:t xml:space="preserve"> protiv grip</w:t>
      </w:r>
      <w:r>
        <w:rPr>
          <w:rFonts w:ascii="Times New Roman" w:hAnsi="Times New Roman"/>
        </w:rPr>
        <w:t>a</w:t>
      </w:r>
      <w:r w:rsidR="00A131AD" w:rsidRPr="004164E4">
        <w:rPr>
          <w:rFonts w:ascii="Times New Roman" w:hAnsi="Times New Roman"/>
        </w:rPr>
        <w:t xml:space="preserve"> je u nadležnosti kantonalnih fondova, ali ona kao najbolja preventivna mjera se  ne primjenjuje na preporučeni način, </w:t>
      </w:r>
      <w:r w:rsidR="009E2387" w:rsidRPr="004164E4">
        <w:rPr>
          <w:rFonts w:ascii="Times New Roman" w:hAnsi="Times New Roman"/>
        </w:rPr>
        <w:t>zbog problema nabave kao i</w:t>
      </w:r>
      <w:r w:rsidR="00A131AD" w:rsidRPr="004164E4">
        <w:rPr>
          <w:rFonts w:ascii="Times New Roman" w:hAnsi="Times New Roman"/>
        </w:rPr>
        <w:t xml:space="preserve"> sumnji u kvalitet nako</w:t>
      </w:r>
      <w:r w:rsidR="009E2387" w:rsidRPr="004164E4">
        <w:rPr>
          <w:rFonts w:ascii="Times New Roman" w:hAnsi="Times New Roman"/>
        </w:rPr>
        <w:t>n</w:t>
      </w:r>
      <w:r w:rsidR="00A131AD" w:rsidRPr="004164E4">
        <w:rPr>
          <w:rFonts w:ascii="Times New Roman" w:hAnsi="Times New Roman"/>
        </w:rPr>
        <w:t xml:space="preserve"> 2009. godine (pandemijsk</w:t>
      </w:r>
      <w:r>
        <w:rPr>
          <w:rFonts w:ascii="Times New Roman" w:hAnsi="Times New Roman"/>
        </w:rPr>
        <w:t>og</w:t>
      </w:r>
      <w:r w:rsidR="00A131AD" w:rsidRPr="004164E4">
        <w:rPr>
          <w:rFonts w:ascii="Times New Roman" w:hAnsi="Times New Roman"/>
        </w:rPr>
        <w:t xml:space="preserve"> </w:t>
      </w:r>
      <w:r>
        <w:rPr>
          <w:rFonts w:ascii="Times New Roman" w:hAnsi="Times New Roman"/>
        </w:rPr>
        <w:t>cjepiva</w:t>
      </w:r>
      <w:r w:rsidR="00A131AD" w:rsidRPr="004164E4">
        <w:rPr>
          <w:rFonts w:ascii="Times New Roman" w:hAnsi="Times New Roman"/>
        </w:rPr>
        <w:t>) i nedovoljne promocije.</w:t>
      </w:r>
    </w:p>
    <w:p w:rsidR="00A131AD" w:rsidRPr="00155F80" w:rsidRDefault="00A131AD" w:rsidP="000C0138">
      <w:pPr>
        <w:pStyle w:val="Header"/>
        <w:spacing w:line="276" w:lineRule="auto"/>
        <w:outlineLvl w:val="0"/>
        <w:rPr>
          <w:b/>
          <w:sz w:val="22"/>
          <w:szCs w:val="22"/>
        </w:rPr>
      </w:pPr>
    </w:p>
    <w:p w:rsidR="00A131AD" w:rsidRDefault="00A131AD" w:rsidP="00FA3644">
      <w:pPr>
        <w:rPr>
          <w:rFonts w:ascii="Times New Roman" w:hAnsi="Times New Roman"/>
          <w:b/>
        </w:rPr>
      </w:pPr>
      <w:bookmarkStart w:id="39" w:name="_Toc453328506"/>
      <w:bookmarkStart w:id="40" w:name="_Toc453917697"/>
      <w:bookmarkStart w:id="41" w:name="_Toc454797797"/>
      <w:bookmarkStart w:id="42" w:name="_Toc454799694"/>
      <w:bookmarkStart w:id="43" w:name="_Toc454803305"/>
      <w:r w:rsidRPr="00FA3644">
        <w:rPr>
          <w:rFonts w:ascii="Times New Roman" w:hAnsi="Times New Roman"/>
          <w:b/>
        </w:rPr>
        <w:t>TUBERKULOZA</w:t>
      </w:r>
      <w:bookmarkEnd w:id="39"/>
      <w:bookmarkEnd w:id="40"/>
      <w:bookmarkEnd w:id="41"/>
      <w:bookmarkEnd w:id="42"/>
      <w:bookmarkEnd w:id="43"/>
    </w:p>
    <w:p w:rsidR="00FA3644" w:rsidRPr="00FA3644" w:rsidRDefault="00FA3644" w:rsidP="00FA3644">
      <w:pPr>
        <w:rPr>
          <w:rFonts w:ascii="Times New Roman" w:hAnsi="Times New Roman"/>
          <w:b/>
          <w:lang w:val="bs-Latn-BA"/>
        </w:rPr>
      </w:pPr>
    </w:p>
    <w:p w:rsidR="00A131AD" w:rsidRPr="00155F80" w:rsidRDefault="00A131AD" w:rsidP="000C0138">
      <w:pPr>
        <w:autoSpaceDE w:val="0"/>
        <w:autoSpaceDN w:val="0"/>
        <w:adjustRightInd w:val="0"/>
        <w:spacing w:line="276" w:lineRule="auto"/>
        <w:rPr>
          <w:rFonts w:ascii="Times New Roman" w:hAnsi="Times New Roman"/>
        </w:rPr>
      </w:pPr>
      <w:r w:rsidRPr="00155F80">
        <w:rPr>
          <w:rFonts w:ascii="Times New Roman" w:hAnsi="Times New Roman"/>
        </w:rPr>
        <w:t>U Federaciji BiH dva su s</w:t>
      </w:r>
      <w:r w:rsidR="00C125EF">
        <w:rPr>
          <w:rFonts w:ascii="Times New Roman" w:hAnsi="Times New Roman"/>
        </w:rPr>
        <w:t>ustava</w:t>
      </w:r>
      <w:r w:rsidRPr="00155F80">
        <w:rPr>
          <w:rFonts w:ascii="Times New Roman" w:hAnsi="Times New Roman"/>
        </w:rPr>
        <w:t xml:space="preserve"> nadzora nad tuberkulozom, pasivni i aktivni. Prema rezultatima pasivnog nadzora, u 2015. godini, registrirane su 664 osobe oboljele od tuberkuloze (28,4/100.000 stanovnika), dok je prema poda</w:t>
      </w:r>
      <w:r w:rsidR="00C125EF">
        <w:rPr>
          <w:rFonts w:ascii="Times New Roman" w:hAnsi="Times New Roman"/>
        </w:rPr>
        <w:t>t</w:t>
      </w:r>
      <w:r w:rsidRPr="00155F80">
        <w:rPr>
          <w:rFonts w:ascii="Times New Roman" w:hAnsi="Times New Roman"/>
        </w:rPr>
        <w:t>cima Federalnog registra za tuberkulozu, koji se vodi u sklopu Federalno</w:t>
      </w:r>
      <w:r w:rsidR="00C125EF">
        <w:rPr>
          <w:rFonts w:ascii="Times New Roman" w:hAnsi="Times New Roman"/>
        </w:rPr>
        <w:t>g</w:t>
      </w:r>
      <w:r w:rsidRPr="00155F80">
        <w:rPr>
          <w:rFonts w:ascii="Times New Roman" w:hAnsi="Times New Roman"/>
        </w:rPr>
        <w:t xml:space="preserve"> program</w:t>
      </w:r>
      <w:r w:rsidR="00C125EF">
        <w:rPr>
          <w:rFonts w:ascii="Times New Roman" w:hAnsi="Times New Roman"/>
        </w:rPr>
        <w:t>a</w:t>
      </w:r>
      <w:r w:rsidRPr="00155F80">
        <w:rPr>
          <w:rFonts w:ascii="Times New Roman" w:hAnsi="Times New Roman"/>
        </w:rPr>
        <w:t xml:space="preserve"> za kontrolu tuberkuloze, u 2015. godini, prijavljeno 727 slučajeva tuberkuloze (Morbiditet 31/100.000).</w:t>
      </w:r>
    </w:p>
    <w:p w:rsidR="00A131AD" w:rsidRPr="00155F80" w:rsidRDefault="00A131AD" w:rsidP="000C0138">
      <w:pPr>
        <w:autoSpaceDE w:val="0"/>
        <w:autoSpaceDN w:val="0"/>
        <w:adjustRightInd w:val="0"/>
        <w:spacing w:line="276" w:lineRule="auto"/>
        <w:rPr>
          <w:rFonts w:ascii="Times New Roman" w:hAnsi="Times New Roman"/>
        </w:rPr>
      </w:pPr>
    </w:p>
    <w:p w:rsidR="009A5B2B" w:rsidRPr="00155F80" w:rsidRDefault="00A131AD" w:rsidP="000C0138">
      <w:pPr>
        <w:autoSpaceDE w:val="0"/>
        <w:autoSpaceDN w:val="0"/>
        <w:adjustRightInd w:val="0"/>
        <w:spacing w:line="276" w:lineRule="auto"/>
        <w:rPr>
          <w:rFonts w:ascii="Times New Roman" w:hAnsi="Times New Roman"/>
          <w:lang w:val="sr-Latn-BA"/>
        </w:rPr>
      </w:pPr>
      <w:r w:rsidRPr="00155F80">
        <w:rPr>
          <w:rFonts w:ascii="Times New Roman" w:hAnsi="Times New Roman"/>
        </w:rPr>
        <w:t>Tuberkuloza je oboljenje koje se prema Pravilniku o načinu prijavljivanja zaraznih bolesti prijavljuje prema posebnim propisima, odnosno prema Federalnom programu za kontrolu tuberkuloze. Prema poda</w:t>
      </w:r>
      <w:r w:rsidR="00C125EF">
        <w:rPr>
          <w:rFonts w:ascii="Times New Roman" w:hAnsi="Times New Roman"/>
        </w:rPr>
        <w:t>t</w:t>
      </w:r>
      <w:r w:rsidRPr="00155F80">
        <w:rPr>
          <w:rFonts w:ascii="Times New Roman" w:hAnsi="Times New Roman"/>
        </w:rPr>
        <w:t>cima Federalnog registra za tuberkulozu, u 2015. godini prijavljeno je 727 slučajeva tuberkuloze.</w:t>
      </w:r>
      <w:r w:rsidRPr="00155F80">
        <w:rPr>
          <w:rFonts w:ascii="Times New Roman" w:hAnsi="Times New Roman"/>
          <w:lang w:val="sr-Latn-BA"/>
        </w:rPr>
        <w:t xml:space="preserve"> Među prijavljenim slučajevima tuberkuloze u 2015. godini, 90,1% (655 slučaj) su novootkriveni slučajevi, dok su 9,9% (72 slučaja) recidivi. Od ukupnog broja slučajeva tuberkuloze prijavljenih u 2015. godini, 84,7% (616) čini plućna tuberkuloza, 12,8% (93) vanplućna tuberkuloza i 2,5% (18) plućna i vanplućna tuberkuloza.</w:t>
      </w:r>
    </w:p>
    <w:p w:rsidR="00B4366E" w:rsidRDefault="00A131AD" w:rsidP="000C0138">
      <w:pPr>
        <w:autoSpaceDE w:val="0"/>
        <w:autoSpaceDN w:val="0"/>
        <w:adjustRightInd w:val="0"/>
        <w:spacing w:line="276" w:lineRule="auto"/>
        <w:rPr>
          <w:rFonts w:ascii="Times New Roman" w:hAnsi="Times New Roman"/>
        </w:rPr>
      </w:pPr>
      <w:r w:rsidRPr="00155F80">
        <w:rPr>
          <w:rFonts w:ascii="Times New Roman" w:hAnsi="Times New Roman"/>
        </w:rPr>
        <w:t>Prijavljena stopa obol</w:t>
      </w:r>
      <w:r w:rsidR="00C125EF">
        <w:rPr>
          <w:rFonts w:ascii="Times New Roman" w:hAnsi="Times New Roman"/>
        </w:rPr>
        <w:t>i</w:t>
      </w:r>
      <w:r w:rsidRPr="00155F80">
        <w:rPr>
          <w:rFonts w:ascii="Times New Roman" w:hAnsi="Times New Roman"/>
        </w:rPr>
        <w:t>jevanja iznosi 31,1/100.000 stanovnika. U razdoblju 1996-2015. godina, u Federaciji Bosne i Hercegovine, stopa obol</w:t>
      </w:r>
      <w:r w:rsidR="00C125EF">
        <w:rPr>
          <w:rFonts w:ascii="Times New Roman" w:hAnsi="Times New Roman"/>
        </w:rPr>
        <w:t>i</w:t>
      </w:r>
      <w:r w:rsidRPr="00155F80">
        <w:rPr>
          <w:rFonts w:ascii="Times New Roman" w:hAnsi="Times New Roman"/>
        </w:rPr>
        <w:t>jevanja od tuberkuloze se kretala u rasponu od 93/100.000 slučaja (1998.) do 31/100.000 stanovnika (2015.).</w:t>
      </w:r>
    </w:p>
    <w:p w:rsidR="00B4366E" w:rsidRDefault="00B4366E" w:rsidP="000C0138">
      <w:pPr>
        <w:autoSpaceDE w:val="0"/>
        <w:autoSpaceDN w:val="0"/>
        <w:adjustRightInd w:val="0"/>
        <w:spacing w:line="276" w:lineRule="auto"/>
        <w:rPr>
          <w:rFonts w:ascii="Times New Roman" w:hAnsi="Times New Roman"/>
        </w:rPr>
      </w:pPr>
    </w:p>
    <w:p w:rsidR="00A131AD" w:rsidRPr="00155F80" w:rsidRDefault="00A131AD" w:rsidP="00EB7CC7">
      <w:pPr>
        <w:pStyle w:val="refererere"/>
        <w:rPr>
          <w:b/>
        </w:rPr>
      </w:pPr>
      <w:r w:rsidRPr="00155F80">
        <w:rPr>
          <w:rStyle w:val="Strong"/>
          <w:b w:val="0"/>
          <w:sz w:val="22"/>
          <w:szCs w:val="22"/>
        </w:rPr>
        <w:t>Grafikon 46:</w:t>
      </w:r>
      <w:r w:rsidRPr="00155F80">
        <w:rPr>
          <w:b/>
        </w:rPr>
        <w:t xml:space="preserve"> </w:t>
      </w:r>
      <w:r w:rsidRPr="00155F80">
        <w:t>Incidenc</w:t>
      </w:r>
      <w:r w:rsidR="00C125EF">
        <w:t>ij</w:t>
      </w:r>
      <w:r w:rsidRPr="00155F80">
        <w:t xml:space="preserve">a tuberkuloze,  Federacija BiH za </w:t>
      </w:r>
      <w:r w:rsidR="00DA6463">
        <w:t>razdoblje</w:t>
      </w:r>
      <w:r w:rsidRPr="00155F80">
        <w:t xml:space="preserve"> 1996.-2015. godina</w:t>
      </w:r>
    </w:p>
    <w:p w:rsidR="00A131AD" w:rsidRPr="006256C9" w:rsidRDefault="006E00D1" w:rsidP="006256C9">
      <w:pPr>
        <w:spacing w:line="276" w:lineRule="auto"/>
        <w:rPr>
          <w:rFonts w:ascii="Times New Roman" w:hAnsi="Times New Roman"/>
        </w:rPr>
      </w:pPr>
      <w:r>
        <w:rPr>
          <w:noProof/>
          <w:lang w:val="bs-Latn-BA" w:eastAsia="bs-Latn-BA"/>
        </w:rPr>
        <w:drawing>
          <wp:inline distT="0" distB="0" distL="0" distR="0" wp14:anchorId="2B68B816" wp14:editId="6B6AFC2E">
            <wp:extent cx="5686425" cy="2057400"/>
            <wp:effectExtent l="0" t="0" r="9525" b="0"/>
            <wp:docPr id="92"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0"/>
                    <pic:cNvPicPr>
                      <a:picLocks noChangeAspect="1"/>
                    </pic:cNvPicPr>
                  </pic:nvPicPr>
                  <pic:blipFill>
                    <a:blip r:embed="rId58"/>
                    <a:stretch>
                      <a:fillRect/>
                    </a:stretch>
                  </pic:blipFill>
                  <pic:spPr>
                    <a:xfrm>
                      <a:off x="0" y="0"/>
                      <a:ext cx="5690105" cy="2058731"/>
                    </a:xfrm>
                    <a:prstGeom prst="rect">
                      <a:avLst/>
                    </a:prstGeom>
                  </pic:spPr>
                </pic:pic>
              </a:graphicData>
            </a:graphic>
          </wp:inline>
        </w:drawing>
      </w:r>
    </w:p>
    <w:p w:rsidR="00A131AD" w:rsidRPr="00155F80" w:rsidRDefault="00A131AD" w:rsidP="000C0138">
      <w:pPr>
        <w:autoSpaceDE w:val="0"/>
        <w:autoSpaceDN w:val="0"/>
        <w:adjustRightInd w:val="0"/>
        <w:spacing w:line="276" w:lineRule="auto"/>
        <w:rPr>
          <w:rFonts w:ascii="Times New Roman" w:hAnsi="Times New Roman"/>
          <w:lang w:val="sr-Latn-BA"/>
        </w:rPr>
      </w:pPr>
      <w:r w:rsidRPr="00155F80">
        <w:rPr>
          <w:rFonts w:ascii="Times New Roman" w:hAnsi="Times New Roman"/>
          <w:lang w:val="sr-Latn-BA"/>
        </w:rPr>
        <w:lastRenderedPageBreak/>
        <w:t>U ukupnom broju oboljelih od tuberkuloze bilo je 425 osoba muškog (58,5%) i 302 ženskog spola (41,5%). Kao i prethodnih godina, najviše prijavljenih slučajeva tuberkuloze je u dobnoj skupini preko 65 godina (35,5%). Oboljeli do 24 godine činili su 13,5 % u ukupnom broju oboljelih.</w:t>
      </w:r>
    </w:p>
    <w:p w:rsidR="00A131AD" w:rsidRPr="00155F80" w:rsidRDefault="00A131AD" w:rsidP="000C0138">
      <w:pPr>
        <w:autoSpaceDE w:val="0"/>
        <w:autoSpaceDN w:val="0"/>
        <w:adjustRightInd w:val="0"/>
        <w:spacing w:line="276" w:lineRule="auto"/>
        <w:rPr>
          <w:rFonts w:ascii="Times New Roman" w:hAnsi="Times New Roman"/>
          <w:b/>
          <w:lang w:val="sr-Latn-BA"/>
        </w:rPr>
      </w:pPr>
    </w:p>
    <w:p w:rsidR="008E731A" w:rsidRDefault="00A131AD" w:rsidP="00EB7CC7">
      <w:pPr>
        <w:pStyle w:val="refererere"/>
        <w:rPr>
          <w:lang w:val="sr-Latn-BA"/>
        </w:rPr>
      </w:pPr>
      <w:r w:rsidRPr="00155F80">
        <w:rPr>
          <w:lang w:val="sr-Latn-BA"/>
        </w:rPr>
        <w:t>Grafikon 47: Prijavljeni slučajevi tuberkuloze u Federaciji BiH, prema dobnim skupinama, 2015.godina</w:t>
      </w:r>
    </w:p>
    <w:p w:rsidR="00CB7637" w:rsidRDefault="008E731A" w:rsidP="000C0138">
      <w:pPr>
        <w:pStyle w:val="NoSpacing"/>
        <w:spacing w:line="276" w:lineRule="auto"/>
        <w:rPr>
          <w:sz w:val="22"/>
          <w:szCs w:val="22"/>
          <w:lang w:val="sr-Latn-BA"/>
        </w:rPr>
      </w:pPr>
      <w:r>
        <w:rPr>
          <w:noProof/>
          <w:lang w:val="bs-Latn-BA" w:eastAsia="bs-Latn-BA"/>
        </w:rPr>
        <w:drawing>
          <wp:inline distT="0" distB="0" distL="0" distR="0" wp14:anchorId="025968E6" wp14:editId="3B1A0085">
            <wp:extent cx="5619750" cy="2728595"/>
            <wp:effectExtent l="0" t="0" r="0" b="14605"/>
            <wp:docPr id="73" name="Chart 73"/>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CB7637" w:rsidRPr="00155F80" w:rsidRDefault="00CB7637" w:rsidP="000C0138">
      <w:pPr>
        <w:pStyle w:val="NoSpacing"/>
        <w:spacing w:line="276" w:lineRule="auto"/>
        <w:rPr>
          <w:sz w:val="22"/>
          <w:szCs w:val="22"/>
          <w:lang w:val="sr-Latn-BA"/>
        </w:rPr>
      </w:pPr>
    </w:p>
    <w:p w:rsidR="00A131AD" w:rsidRPr="00155F80" w:rsidRDefault="00A131AD" w:rsidP="000C0138">
      <w:pPr>
        <w:autoSpaceDE w:val="0"/>
        <w:autoSpaceDN w:val="0"/>
        <w:adjustRightInd w:val="0"/>
        <w:spacing w:line="276" w:lineRule="auto"/>
        <w:rPr>
          <w:rFonts w:ascii="Times New Roman" w:hAnsi="Times New Roman"/>
          <w:lang w:val="sr-Latn-BA"/>
        </w:rPr>
      </w:pPr>
    </w:p>
    <w:p w:rsidR="00A131AD" w:rsidRPr="00155F80" w:rsidRDefault="00A131AD" w:rsidP="000C0138">
      <w:pPr>
        <w:autoSpaceDE w:val="0"/>
        <w:autoSpaceDN w:val="0"/>
        <w:adjustRightInd w:val="0"/>
        <w:spacing w:line="276" w:lineRule="auto"/>
        <w:rPr>
          <w:rFonts w:ascii="Times New Roman" w:hAnsi="Times New Roman"/>
          <w:lang w:val="sr-Latn-BA"/>
        </w:rPr>
      </w:pPr>
      <w:r w:rsidRPr="00155F80">
        <w:rPr>
          <w:rFonts w:ascii="Times New Roman" w:hAnsi="Times New Roman"/>
          <w:lang w:val="sr-Latn-BA"/>
        </w:rPr>
        <w:t xml:space="preserve">Kao i prošle godine, najviše slučajeva tuberkuloze registrirano je u Tuzlanskom (218), Zeničko-dobojskom (173) i Unsko-sanskom kantonu (107). Najveći morbiditet se registira u Tuzlanskom (43,7/100.000) i Zeničko-dobojskom kantonu (43,6/100.000). </w:t>
      </w:r>
    </w:p>
    <w:p w:rsidR="00A131AD" w:rsidRPr="00155F80" w:rsidRDefault="00A131AD" w:rsidP="000C0138">
      <w:pPr>
        <w:autoSpaceDE w:val="0"/>
        <w:autoSpaceDN w:val="0"/>
        <w:adjustRightInd w:val="0"/>
        <w:spacing w:line="276" w:lineRule="auto"/>
        <w:rPr>
          <w:rFonts w:ascii="Times New Roman" w:hAnsi="Times New Roman"/>
          <w:lang w:val="sr-Latn-BA"/>
        </w:rPr>
      </w:pPr>
    </w:p>
    <w:p w:rsidR="00A131AD" w:rsidRPr="00155F80" w:rsidRDefault="00A131AD" w:rsidP="000C0138">
      <w:pPr>
        <w:autoSpaceDE w:val="0"/>
        <w:autoSpaceDN w:val="0"/>
        <w:adjustRightInd w:val="0"/>
        <w:spacing w:line="276" w:lineRule="auto"/>
        <w:rPr>
          <w:rFonts w:ascii="Times New Roman" w:hAnsi="Times New Roman"/>
          <w:lang w:val="sr-Latn-BA"/>
        </w:rPr>
      </w:pPr>
      <w:r w:rsidRPr="00155F80">
        <w:rPr>
          <w:rFonts w:ascii="Times New Roman" w:hAnsi="Times New Roman"/>
          <w:lang w:val="sr-Latn-BA"/>
        </w:rPr>
        <w:t>U 2015. godini nije zabilježen slučaj MDR tuberkuloze (tuberkuloze rezistentne na više lijekova).</w:t>
      </w:r>
    </w:p>
    <w:p w:rsidR="00A131AD" w:rsidRPr="00155F80" w:rsidRDefault="00A131AD" w:rsidP="000C0138">
      <w:pPr>
        <w:autoSpaceDE w:val="0"/>
        <w:autoSpaceDN w:val="0"/>
        <w:adjustRightInd w:val="0"/>
        <w:spacing w:line="276" w:lineRule="auto"/>
        <w:rPr>
          <w:rFonts w:ascii="Times New Roman" w:hAnsi="Times New Roman"/>
          <w:color w:val="000000"/>
          <w:lang w:val="en-US"/>
        </w:rPr>
      </w:pPr>
      <w:r w:rsidRPr="00155F80">
        <w:rPr>
          <w:rFonts w:ascii="Times New Roman" w:hAnsi="Times New Roman"/>
          <w:color w:val="000000"/>
          <w:lang w:val="en-US"/>
        </w:rPr>
        <w:t xml:space="preserve">U 2015. godini završen je proces unapređenja </w:t>
      </w:r>
      <w:r w:rsidRPr="00155F80">
        <w:rPr>
          <w:rFonts w:ascii="Times New Roman" w:hAnsi="Times New Roman"/>
          <w:lang w:val="sr-Latn-BA"/>
        </w:rPr>
        <w:t>web orijentirane elektronske baz</w:t>
      </w:r>
      <w:r w:rsidR="00DA6463">
        <w:rPr>
          <w:rFonts w:ascii="Times New Roman" w:hAnsi="Times New Roman"/>
          <w:lang w:val="sr-Latn-BA"/>
        </w:rPr>
        <w:t>e</w:t>
      </w:r>
      <w:r w:rsidRPr="00155F80">
        <w:rPr>
          <w:rFonts w:ascii="Times New Roman" w:hAnsi="Times New Roman"/>
          <w:lang w:val="sr-Latn-BA"/>
        </w:rPr>
        <w:t xml:space="preserve"> podataka o tuberkulozi (podržana projektom finan</w:t>
      </w:r>
      <w:r w:rsidR="00DA6463">
        <w:rPr>
          <w:rFonts w:ascii="Times New Roman" w:hAnsi="Times New Roman"/>
          <w:lang w:val="sr-Latn-BA"/>
        </w:rPr>
        <w:t>c</w:t>
      </w:r>
      <w:r w:rsidRPr="00155F80">
        <w:rPr>
          <w:rFonts w:ascii="Times New Roman" w:hAnsi="Times New Roman"/>
          <w:lang w:val="sr-Latn-BA"/>
        </w:rPr>
        <w:t xml:space="preserve">iranim od strane Globalnog fonda za borbu protiv AIDS-a, tuberkuloze i malarije-GFATM). Nova </w:t>
      </w:r>
      <w:r w:rsidRPr="00155F80">
        <w:rPr>
          <w:rFonts w:ascii="Times New Roman" w:hAnsi="Times New Roman"/>
          <w:color w:val="000000"/>
          <w:lang w:val="en-US"/>
        </w:rPr>
        <w:t xml:space="preserve">verzija postavljena </w:t>
      </w:r>
      <w:r w:rsidR="00DA6463">
        <w:rPr>
          <w:rFonts w:ascii="Times New Roman" w:hAnsi="Times New Roman"/>
          <w:color w:val="000000"/>
          <w:lang w:val="en-US"/>
        </w:rPr>
        <w:t xml:space="preserve">je </w:t>
      </w:r>
      <w:r w:rsidRPr="00155F80">
        <w:rPr>
          <w:rFonts w:ascii="Times New Roman" w:hAnsi="Times New Roman"/>
          <w:color w:val="000000"/>
          <w:lang w:val="en-US"/>
        </w:rPr>
        <w:t>na odgovarajuće servere u Zavodu za javno zdravstvo FBiH, Institutu za javno zdravstvo Republike Srpske i Ministarstvu civilnih poslova BiH. Baza omogućava da se iz nje generiraju odgovarajuć</w:t>
      </w:r>
      <w:r w:rsidR="00DA6463">
        <w:rPr>
          <w:rFonts w:ascii="Times New Roman" w:hAnsi="Times New Roman"/>
          <w:color w:val="000000"/>
          <w:lang w:val="en-US"/>
        </w:rPr>
        <w:t>a</w:t>
      </w:r>
      <w:r w:rsidRPr="00155F80">
        <w:rPr>
          <w:rFonts w:ascii="Times New Roman" w:hAnsi="Times New Roman"/>
          <w:color w:val="000000"/>
          <w:lang w:val="en-US"/>
        </w:rPr>
        <w:t xml:space="preserve"> mjesečn</w:t>
      </w:r>
      <w:r w:rsidR="00DA6463">
        <w:rPr>
          <w:rFonts w:ascii="Times New Roman" w:hAnsi="Times New Roman"/>
          <w:color w:val="000000"/>
          <w:lang w:val="en-US"/>
        </w:rPr>
        <w:t>a</w:t>
      </w:r>
      <w:r w:rsidRPr="00155F80">
        <w:rPr>
          <w:rFonts w:ascii="Times New Roman" w:hAnsi="Times New Roman"/>
          <w:color w:val="000000"/>
          <w:lang w:val="en-US"/>
        </w:rPr>
        <w:t>, kvartaln</w:t>
      </w:r>
      <w:r w:rsidR="00DA6463">
        <w:rPr>
          <w:rFonts w:ascii="Times New Roman" w:hAnsi="Times New Roman"/>
          <w:color w:val="000000"/>
          <w:lang w:val="en-US"/>
        </w:rPr>
        <w:t>a</w:t>
      </w:r>
      <w:r w:rsidRPr="00155F80">
        <w:rPr>
          <w:rFonts w:ascii="Times New Roman" w:hAnsi="Times New Roman"/>
          <w:color w:val="000000"/>
          <w:lang w:val="en-US"/>
        </w:rPr>
        <w:t xml:space="preserve"> i godišnj</w:t>
      </w:r>
      <w:r w:rsidR="00DA6463">
        <w:rPr>
          <w:rFonts w:ascii="Times New Roman" w:hAnsi="Times New Roman"/>
          <w:color w:val="000000"/>
          <w:lang w:val="en-US"/>
        </w:rPr>
        <w:t>a</w:t>
      </w:r>
      <w:r w:rsidRPr="00155F80">
        <w:rPr>
          <w:rFonts w:ascii="Times New Roman" w:hAnsi="Times New Roman"/>
          <w:color w:val="000000"/>
          <w:lang w:val="en-US"/>
        </w:rPr>
        <w:t xml:space="preserve"> izvješ</w:t>
      </w:r>
      <w:r w:rsidR="00DA6463">
        <w:rPr>
          <w:rFonts w:ascii="Times New Roman" w:hAnsi="Times New Roman"/>
          <w:color w:val="000000"/>
          <w:lang w:val="en-US"/>
        </w:rPr>
        <w:t>ć</w:t>
      </w:r>
      <w:r w:rsidRPr="00155F80">
        <w:rPr>
          <w:rFonts w:ascii="Times New Roman" w:hAnsi="Times New Roman"/>
          <w:color w:val="000000"/>
          <w:lang w:val="en-US"/>
        </w:rPr>
        <w:t xml:space="preserve">a. U narednom </w:t>
      </w:r>
      <w:r w:rsidR="00DA6463">
        <w:rPr>
          <w:rFonts w:ascii="Times New Roman" w:hAnsi="Times New Roman"/>
          <w:color w:val="000000"/>
          <w:lang w:val="en-US"/>
        </w:rPr>
        <w:t>razdoblju</w:t>
      </w:r>
      <w:r w:rsidRPr="00155F80">
        <w:rPr>
          <w:rFonts w:ascii="Times New Roman" w:hAnsi="Times New Roman"/>
          <w:color w:val="000000"/>
          <w:lang w:val="en-US"/>
        </w:rPr>
        <w:t>, redovitim ažuriranjem podataka i generiranjem izvješ</w:t>
      </w:r>
      <w:r w:rsidR="00DA6463">
        <w:rPr>
          <w:rFonts w:ascii="Times New Roman" w:hAnsi="Times New Roman"/>
          <w:color w:val="000000"/>
          <w:lang w:val="en-US"/>
        </w:rPr>
        <w:t>ć</w:t>
      </w:r>
      <w:r w:rsidRPr="00155F80">
        <w:rPr>
          <w:rFonts w:ascii="Times New Roman" w:hAnsi="Times New Roman"/>
          <w:color w:val="000000"/>
          <w:lang w:val="en-US"/>
        </w:rPr>
        <w:t>a, potrebno je izvršiti evaluaciju rada, s konačnim ciljem potpune funkcionalnosti baze i harmonizacije kada je riječ o izvješ</w:t>
      </w:r>
      <w:r w:rsidR="00DA6463">
        <w:rPr>
          <w:rFonts w:ascii="Times New Roman" w:hAnsi="Times New Roman"/>
          <w:color w:val="000000"/>
          <w:lang w:val="en-US"/>
        </w:rPr>
        <w:t>ćivanju</w:t>
      </w:r>
      <w:r w:rsidRPr="00155F80">
        <w:rPr>
          <w:rFonts w:ascii="Times New Roman" w:hAnsi="Times New Roman"/>
          <w:color w:val="000000"/>
          <w:lang w:val="en-US"/>
        </w:rPr>
        <w:t>.</w:t>
      </w:r>
    </w:p>
    <w:p w:rsidR="00A131AD" w:rsidRPr="00155F80" w:rsidRDefault="00A131AD" w:rsidP="000C0138">
      <w:pPr>
        <w:autoSpaceDE w:val="0"/>
        <w:autoSpaceDN w:val="0"/>
        <w:adjustRightInd w:val="0"/>
        <w:spacing w:line="276" w:lineRule="auto"/>
        <w:ind w:firstLine="708"/>
        <w:rPr>
          <w:rFonts w:ascii="Times New Roman" w:hAnsi="Times New Roman"/>
          <w:color w:val="000000"/>
          <w:lang w:val="en-US"/>
        </w:rPr>
      </w:pPr>
    </w:p>
    <w:bookmarkEnd w:id="38"/>
    <w:p w:rsidR="00A131AD" w:rsidRPr="00155F80" w:rsidRDefault="00A131AD" w:rsidP="000C0138">
      <w:pPr>
        <w:autoSpaceDE w:val="0"/>
        <w:autoSpaceDN w:val="0"/>
        <w:adjustRightInd w:val="0"/>
        <w:spacing w:line="276" w:lineRule="auto"/>
        <w:rPr>
          <w:rFonts w:ascii="Times New Roman" w:eastAsia="MS Mincho" w:hAnsi="Times New Roman"/>
          <w:b/>
          <w:color w:val="000000"/>
          <w:lang w:val="bs-Latn-BA" w:eastAsia="bs-Latn-BA"/>
        </w:rPr>
      </w:pPr>
      <w:r w:rsidRPr="00155F80">
        <w:rPr>
          <w:rFonts w:ascii="Times New Roman" w:eastAsia="MS Mincho" w:hAnsi="Times New Roman"/>
          <w:b/>
          <w:color w:val="000000"/>
          <w:lang w:val="bs-Latn-BA" w:eastAsia="bs-Latn-BA"/>
        </w:rPr>
        <w:t>HIV/AIDS</w:t>
      </w:r>
    </w:p>
    <w:p w:rsidR="00A131AD" w:rsidRPr="00155F80" w:rsidRDefault="00A131AD" w:rsidP="000C0138">
      <w:pPr>
        <w:autoSpaceDE w:val="0"/>
        <w:autoSpaceDN w:val="0"/>
        <w:adjustRightInd w:val="0"/>
        <w:spacing w:line="276" w:lineRule="auto"/>
        <w:rPr>
          <w:rFonts w:ascii="Times New Roman" w:eastAsia="MS Mincho" w:hAnsi="Times New Roman"/>
          <w:b/>
          <w:color w:val="000000"/>
          <w:lang w:val="bs-Latn-BA" w:eastAsia="bs-Latn-BA"/>
        </w:rPr>
      </w:pPr>
    </w:p>
    <w:p w:rsidR="00A131AD" w:rsidRPr="00155F80" w:rsidRDefault="00A131AD" w:rsidP="000C0138">
      <w:pPr>
        <w:autoSpaceDE w:val="0"/>
        <w:autoSpaceDN w:val="0"/>
        <w:adjustRightInd w:val="0"/>
        <w:spacing w:line="276" w:lineRule="auto"/>
        <w:rPr>
          <w:rFonts w:ascii="Times New Roman" w:eastAsia="MS Mincho" w:hAnsi="Times New Roman"/>
          <w:color w:val="000000"/>
          <w:lang w:val="bs-Latn-BA" w:eastAsia="bs-Latn-BA"/>
        </w:rPr>
      </w:pPr>
      <w:r w:rsidRPr="00155F80">
        <w:rPr>
          <w:rFonts w:ascii="Times New Roman" w:eastAsia="MS Mincho" w:hAnsi="Times New Roman"/>
          <w:color w:val="000000"/>
          <w:lang w:val="bs-Latn-BA" w:eastAsia="bs-Latn-BA"/>
        </w:rPr>
        <w:t>Od 1986. godine, kada je zabilježen prvi slučaj zaraze HIV-om u BiH, do konca 2015. godine, u BiH je registrirano 287 osoba s HIV infekcijom, od kojih 125 (44%) sa razvijenim AIDS-om.</w:t>
      </w:r>
    </w:p>
    <w:p w:rsidR="00A131AD" w:rsidRPr="00155F80" w:rsidRDefault="00A131AD" w:rsidP="000C0138">
      <w:pPr>
        <w:autoSpaceDE w:val="0"/>
        <w:autoSpaceDN w:val="0"/>
        <w:adjustRightInd w:val="0"/>
        <w:spacing w:line="276" w:lineRule="auto"/>
        <w:rPr>
          <w:rFonts w:ascii="Times New Roman" w:eastAsia="MS Mincho" w:hAnsi="Times New Roman"/>
          <w:color w:val="000000"/>
          <w:lang w:val="bs-Latn-BA" w:eastAsia="bs-Latn-BA"/>
        </w:rPr>
      </w:pPr>
      <w:r w:rsidRPr="00155F80">
        <w:rPr>
          <w:rFonts w:ascii="Times New Roman" w:eastAsia="MS Mincho" w:hAnsi="Times New Roman"/>
          <w:color w:val="000000"/>
          <w:lang w:val="bs-Latn-BA" w:eastAsia="bs-Latn-BA"/>
        </w:rPr>
        <w:t>U 50% oboljelih, pretpostavljeni izvor zaražavanja je izvan Bosne i Hercegovine. U 2015. godini, u BiH je registrirano 13 novih slučajeva HIV infekcije (10 u FBiH, 3 u RS), od kojih je 6 prešlo u stadij AIDS-a (5 u FBiH, 1 u RS). Registrirana su dva smrtna slučaja (svi sa razvijenim AIDS-om, 1 u FBiH, 1 u RS).</w:t>
      </w:r>
    </w:p>
    <w:p w:rsidR="00A131AD" w:rsidRPr="00155F80" w:rsidRDefault="00A131AD" w:rsidP="000C0138">
      <w:pPr>
        <w:autoSpaceDE w:val="0"/>
        <w:autoSpaceDN w:val="0"/>
        <w:adjustRightInd w:val="0"/>
        <w:spacing w:line="276" w:lineRule="auto"/>
        <w:rPr>
          <w:rFonts w:ascii="Times New Roman" w:eastAsia="MS Mincho" w:hAnsi="Times New Roman"/>
          <w:color w:val="000000"/>
          <w:lang w:val="bs-Latn-BA" w:eastAsia="bs-Latn-BA"/>
        </w:rPr>
      </w:pPr>
      <w:r w:rsidRPr="00155F80">
        <w:rPr>
          <w:rFonts w:ascii="Times New Roman" w:eastAsia="MS Mincho" w:hAnsi="Times New Roman"/>
          <w:color w:val="000000"/>
          <w:lang w:val="bs-Latn-BA" w:eastAsia="bs-Latn-BA"/>
        </w:rPr>
        <w:t>Posljednjih pet godina, u Bosni i Hercegovini se godišnje registrira prosječno 20-25 osoba s HIV-om, što BiH svrstava u zemlje s niskom razinom učestalosti HIV infekcije. Zahvaljujući boljem nadzoru i dostupnom dragovoljnom, povjerljivom, anonimnom i besplatnom testiranju kroz DPST centre, raste broj osoba kojima se HIV infekcija dijagnosticira u ranijem stadiju.</w:t>
      </w:r>
    </w:p>
    <w:p w:rsidR="00A131AD" w:rsidRPr="00155F80" w:rsidRDefault="00A131AD" w:rsidP="000C0138">
      <w:pPr>
        <w:autoSpaceDE w:val="0"/>
        <w:autoSpaceDN w:val="0"/>
        <w:adjustRightInd w:val="0"/>
        <w:spacing w:line="276" w:lineRule="auto"/>
        <w:rPr>
          <w:rFonts w:ascii="Times New Roman" w:eastAsia="MS Mincho" w:hAnsi="Times New Roman"/>
          <w:lang w:val="bs-Latn-BA" w:eastAsia="bs-Latn-BA"/>
        </w:rPr>
      </w:pPr>
      <w:r w:rsidRPr="00155F80">
        <w:rPr>
          <w:rFonts w:ascii="Times New Roman" w:eastAsia="MS Mincho" w:hAnsi="Times New Roman"/>
          <w:lang w:val="bs-Latn-BA" w:eastAsia="bs-Latn-BA"/>
        </w:rPr>
        <w:lastRenderedPageBreak/>
        <w:t>Dominatni put prijenosa je seksualni, od čega heteroseksualni 46,0% (44% u FBiH, 50% u RS), homo/biseksualni 39% (43% u FBiH, 31% u RS), dok je u 8% (8% u FBiH, 6% u RS) slučajeva put prijenosa injekcijsko korištenje droge.</w:t>
      </w:r>
    </w:p>
    <w:p w:rsidR="00A131AD" w:rsidRPr="00155F80" w:rsidRDefault="00A131AD" w:rsidP="000C0138">
      <w:pPr>
        <w:autoSpaceDE w:val="0"/>
        <w:autoSpaceDN w:val="0"/>
        <w:adjustRightInd w:val="0"/>
        <w:spacing w:line="276" w:lineRule="auto"/>
        <w:rPr>
          <w:rFonts w:ascii="Times New Roman" w:eastAsia="MS Mincho" w:hAnsi="Times New Roman"/>
          <w:lang w:val="bs-Latn-BA" w:eastAsia="bs-Latn-BA"/>
        </w:rPr>
      </w:pPr>
      <w:r w:rsidRPr="00155F80">
        <w:rPr>
          <w:rFonts w:ascii="Times New Roman" w:eastAsia="MS Mincho" w:hAnsi="Times New Roman"/>
          <w:lang w:val="bs-Latn-BA" w:eastAsia="bs-Latn-BA"/>
        </w:rPr>
        <w:t>U BiH od HIV/AIDS-a obolijeva blizu pet puta više muškaraca nego žena. Prema dobi u kojoj im je dijagnosticirana HIV infekcija, najveći udio registriranih pripadaju dobnoj skupini 30-39 godina.</w:t>
      </w:r>
    </w:p>
    <w:p w:rsidR="00A131AD" w:rsidRPr="00155F80" w:rsidRDefault="00A131AD" w:rsidP="000C0138">
      <w:pPr>
        <w:autoSpaceDE w:val="0"/>
        <w:autoSpaceDN w:val="0"/>
        <w:adjustRightInd w:val="0"/>
        <w:spacing w:line="276" w:lineRule="auto"/>
        <w:rPr>
          <w:rFonts w:ascii="Times New Roman" w:eastAsia="MS Mincho" w:hAnsi="Times New Roman"/>
          <w:lang w:val="bs-Latn-BA" w:eastAsia="bs-Latn-BA"/>
        </w:rPr>
      </w:pPr>
    </w:p>
    <w:p w:rsidR="00A131AD" w:rsidRPr="00155F80" w:rsidRDefault="00A131AD" w:rsidP="000C0138">
      <w:pPr>
        <w:autoSpaceDE w:val="0"/>
        <w:autoSpaceDN w:val="0"/>
        <w:adjustRightInd w:val="0"/>
        <w:spacing w:line="276" w:lineRule="auto"/>
        <w:rPr>
          <w:rFonts w:ascii="Times New Roman" w:eastAsia="MS Mincho" w:hAnsi="Times New Roman"/>
          <w:lang w:val="bs-Latn-BA" w:eastAsia="bs-Latn-BA"/>
        </w:rPr>
      </w:pPr>
      <w:r w:rsidRPr="00155F80">
        <w:rPr>
          <w:rFonts w:ascii="Times New Roman" w:eastAsia="MS Mincho" w:hAnsi="Times New Roman"/>
          <w:lang w:val="bs-Latn-BA" w:eastAsia="bs-Latn-BA"/>
        </w:rPr>
        <w:t>Prema dostupnim poda</w:t>
      </w:r>
      <w:r w:rsidR="00DA6463">
        <w:rPr>
          <w:rFonts w:ascii="Times New Roman" w:eastAsia="MS Mincho" w:hAnsi="Times New Roman"/>
          <w:lang w:val="bs-Latn-BA" w:eastAsia="bs-Latn-BA"/>
        </w:rPr>
        <w:t>t</w:t>
      </w:r>
      <w:r w:rsidRPr="00155F80">
        <w:rPr>
          <w:rFonts w:ascii="Times New Roman" w:eastAsia="MS Mincho" w:hAnsi="Times New Roman"/>
          <w:lang w:val="bs-Latn-BA" w:eastAsia="bs-Latn-BA"/>
        </w:rPr>
        <w:t xml:space="preserve">cima od početka HIV epidemije, u Bosni i Hercegovini je registrirano 64 umrlih od AIDS-a. U 2015. godini, 128 (87, FBiH + 41, RS) oboljelih prima - </w:t>
      </w:r>
      <w:r w:rsidR="009E2387">
        <w:rPr>
          <w:rFonts w:ascii="Times New Roman" w:eastAsia="MS Mincho" w:hAnsi="Times New Roman"/>
          <w:lang w:val="bs-Latn-BA" w:eastAsia="bs-Latn-BA"/>
        </w:rPr>
        <w:t xml:space="preserve">antiretroviralnu terapiju (ART). </w:t>
      </w:r>
      <w:r w:rsidRPr="00155F80">
        <w:rPr>
          <w:rFonts w:ascii="Times New Roman" w:eastAsia="MS Mincho" w:hAnsi="Times New Roman"/>
          <w:lang w:val="bs-Latn-BA" w:eastAsia="bs-Latn-BA"/>
        </w:rPr>
        <w:t xml:space="preserve">Bosna i Hercegovina, iako zemlja sa malim brojem registriranih osoba koje žive s HIV-om, s obzirom na brojne </w:t>
      </w:r>
      <w:r w:rsidR="00DA6463">
        <w:rPr>
          <w:rFonts w:ascii="Times New Roman" w:eastAsia="MS Mincho" w:hAnsi="Times New Roman"/>
          <w:lang w:val="bs-Latn-BA" w:eastAsia="bs-Latn-BA"/>
        </w:rPr>
        <w:t>čimbenike</w:t>
      </w:r>
      <w:r w:rsidRPr="00155F80">
        <w:rPr>
          <w:rFonts w:ascii="Times New Roman" w:eastAsia="MS Mincho" w:hAnsi="Times New Roman"/>
          <w:lang w:val="bs-Latn-BA" w:eastAsia="bs-Latn-BA"/>
        </w:rPr>
        <w:t xml:space="preserve"> rizika koji mogu dovesti do porasta broja zaraženih/oboljelih, ne može  dopustiti da  HIV/AIDS bude tabu tema</w:t>
      </w:r>
      <w:r w:rsidRPr="00155F80">
        <w:rPr>
          <w:rFonts w:ascii="Times New Roman" w:eastAsia="MS Mincho" w:hAnsi="Times New Roman"/>
          <w:b/>
          <w:lang w:val="bs-Latn-BA" w:eastAsia="bs-Latn-BA"/>
        </w:rPr>
        <w:t xml:space="preserve">. </w:t>
      </w:r>
      <w:r w:rsidRPr="00155F80">
        <w:rPr>
          <w:rFonts w:ascii="Times New Roman" w:eastAsia="MS Mincho" w:hAnsi="Times New Roman"/>
          <w:lang w:val="bs-Latn-BA" w:eastAsia="bs-Latn-BA"/>
        </w:rPr>
        <w:t>Državni odgovor na HIV epidemiju mora biti primjereno dizajniran s</w:t>
      </w:r>
      <w:r w:rsidR="00DA6463">
        <w:rPr>
          <w:rFonts w:ascii="Times New Roman" w:eastAsia="MS Mincho" w:hAnsi="Times New Roman"/>
          <w:lang w:val="bs-Latn-BA" w:eastAsia="bs-Latn-BA"/>
        </w:rPr>
        <w:t>u</w:t>
      </w:r>
      <w:r w:rsidRPr="00155F80">
        <w:rPr>
          <w:rFonts w:ascii="Times New Roman" w:eastAsia="MS Mincho" w:hAnsi="Times New Roman"/>
          <w:lang w:val="bs-Latn-BA" w:eastAsia="bs-Latn-BA"/>
        </w:rPr>
        <w:t>klad</w:t>
      </w:r>
      <w:r w:rsidR="00DA6463">
        <w:rPr>
          <w:rFonts w:ascii="Times New Roman" w:eastAsia="MS Mincho" w:hAnsi="Times New Roman"/>
          <w:lang w:val="bs-Latn-BA" w:eastAsia="bs-Latn-BA"/>
        </w:rPr>
        <w:t xml:space="preserve">no </w:t>
      </w:r>
      <w:r w:rsidRPr="00155F80">
        <w:rPr>
          <w:rFonts w:ascii="Times New Roman" w:eastAsia="MS Mincho" w:hAnsi="Times New Roman"/>
          <w:lang w:val="bs-Latn-BA" w:eastAsia="bs-Latn-BA"/>
        </w:rPr>
        <w:t>realno procijenjeno</w:t>
      </w:r>
      <w:r w:rsidR="00DA6463">
        <w:rPr>
          <w:rFonts w:ascii="Times New Roman" w:eastAsia="MS Mincho" w:hAnsi="Times New Roman"/>
          <w:lang w:val="bs-Latn-BA" w:eastAsia="bs-Latn-BA"/>
        </w:rPr>
        <w:t>j</w:t>
      </w:r>
      <w:r w:rsidRPr="00155F80">
        <w:rPr>
          <w:rFonts w:ascii="Times New Roman" w:eastAsia="MS Mincho" w:hAnsi="Times New Roman"/>
          <w:lang w:val="bs-Latn-BA" w:eastAsia="bs-Latn-BA"/>
        </w:rPr>
        <w:t xml:space="preserve"> stop</w:t>
      </w:r>
      <w:r w:rsidR="00DA6463">
        <w:rPr>
          <w:rFonts w:ascii="Times New Roman" w:eastAsia="MS Mincho" w:hAnsi="Times New Roman"/>
          <w:lang w:val="bs-Latn-BA" w:eastAsia="bs-Latn-BA"/>
        </w:rPr>
        <w:t>i</w:t>
      </w:r>
      <w:r w:rsidRPr="00155F80">
        <w:rPr>
          <w:rFonts w:ascii="Times New Roman" w:eastAsia="MS Mincho" w:hAnsi="Times New Roman"/>
          <w:lang w:val="bs-Latn-BA" w:eastAsia="bs-Latn-BA"/>
        </w:rPr>
        <w:t xml:space="preserve"> epidemije u državi i regij</w:t>
      </w:r>
      <w:r w:rsidR="00DA6463">
        <w:rPr>
          <w:rFonts w:ascii="Times New Roman" w:eastAsia="MS Mincho" w:hAnsi="Times New Roman"/>
          <w:lang w:val="bs-Latn-BA" w:eastAsia="bs-Latn-BA"/>
        </w:rPr>
        <w:t xml:space="preserve">i što je zacrtano usvojenom BiH </w:t>
      </w:r>
      <w:r w:rsidRPr="00155F80">
        <w:rPr>
          <w:rFonts w:ascii="Times New Roman" w:eastAsia="MS Mincho" w:hAnsi="Times New Roman"/>
          <w:lang w:val="bs-Latn-BA" w:eastAsia="bs-Latn-BA"/>
        </w:rPr>
        <w:t xml:space="preserve">strategijom („Odgovor na HIV i AIDS u BiH“, Strategija 2010-2015) gdje je dragovoljno savjetovanje i testiranje na HIV posebno istaknuto kao bitna komponenta u </w:t>
      </w:r>
      <w:r w:rsidR="00DA6463">
        <w:rPr>
          <w:rFonts w:ascii="Times New Roman" w:eastAsia="MS Mincho" w:hAnsi="Times New Roman"/>
          <w:lang w:val="bs-Latn-BA" w:eastAsia="bs-Latn-BA"/>
        </w:rPr>
        <w:t>području</w:t>
      </w:r>
      <w:r w:rsidRPr="00155F80">
        <w:rPr>
          <w:rFonts w:ascii="Times New Roman" w:eastAsia="MS Mincho" w:hAnsi="Times New Roman"/>
          <w:lang w:val="bs-Latn-BA" w:eastAsia="bs-Latn-BA"/>
        </w:rPr>
        <w:t xml:space="preserve"> prevencije i kontrole HIV/AIDS-a.</w:t>
      </w:r>
    </w:p>
    <w:p w:rsidR="00A131AD" w:rsidRPr="00155F80" w:rsidRDefault="00A131AD" w:rsidP="000C0138">
      <w:pPr>
        <w:autoSpaceDE w:val="0"/>
        <w:autoSpaceDN w:val="0"/>
        <w:adjustRightInd w:val="0"/>
        <w:spacing w:line="276" w:lineRule="auto"/>
        <w:rPr>
          <w:rFonts w:ascii="Times New Roman" w:hAnsi="Times New Roman"/>
          <w:b/>
          <w:noProof/>
          <w:color w:val="FF0000"/>
          <w:lang w:val="sl-SI"/>
        </w:rPr>
      </w:pPr>
      <w:r w:rsidRPr="00155F80">
        <w:rPr>
          <w:rFonts w:ascii="Times New Roman" w:eastAsia="MS Mincho" w:hAnsi="Times New Roman"/>
          <w:lang w:val="bs-Latn-BA" w:eastAsia="bs-Latn-BA"/>
        </w:rPr>
        <w:t>Zahvaljujući Nacionalnom programu borbe protiv HIV/AIDS-a i potpori Globalnog Fonda za borbu protiv tuberkuloze, HIV/AIDS-a i malarije (GFTAM), zacrtani ciljevi, sa stopama HIV-a manjim od 1% u općoj populaciji i manjim od 5% u bilo kojoj grupi pod povećanim rizikom, uspješno se realiziraju.</w:t>
      </w:r>
    </w:p>
    <w:p w:rsidR="00A131AD" w:rsidRPr="00155F80" w:rsidRDefault="00A131AD" w:rsidP="00CD0B48">
      <w:pPr>
        <w:rPr>
          <w:lang w:val="bs-Latn-BA"/>
        </w:rPr>
      </w:pPr>
    </w:p>
    <w:p w:rsidR="00A131AD" w:rsidRPr="008106C3" w:rsidRDefault="00A131AD" w:rsidP="00CD0B48">
      <w:pPr>
        <w:rPr>
          <w:rFonts w:ascii="Times New Roman" w:hAnsi="Times New Roman"/>
          <w:b/>
        </w:rPr>
      </w:pPr>
      <w:bookmarkStart w:id="44" w:name="_Toc453328507"/>
      <w:bookmarkStart w:id="45" w:name="_Toc453917698"/>
      <w:r w:rsidRPr="008106C3">
        <w:rPr>
          <w:rFonts w:ascii="Times New Roman" w:hAnsi="Times New Roman"/>
          <w:b/>
        </w:rPr>
        <w:t>ANTROPOZOONOZE</w:t>
      </w:r>
      <w:bookmarkEnd w:id="44"/>
      <w:bookmarkEnd w:id="45"/>
    </w:p>
    <w:p w:rsidR="00A131AD" w:rsidRPr="00155F80" w:rsidRDefault="00A131AD" w:rsidP="000C0138">
      <w:pPr>
        <w:spacing w:line="276" w:lineRule="auto"/>
        <w:rPr>
          <w:rFonts w:ascii="Times New Roman" w:hAnsi="Times New Roman"/>
          <w:lang w:val="bs-Latn-BA"/>
        </w:rPr>
      </w:pPr>
    </w:p>
    <w:p w:rsidR="00A131AD" w:rsidRDefault="009E2387" w:rsidP="00834139">
      <w:pPr>
        <w:spacing w:line="276" w:lineRule="auto"/>
        <w:rPr>
          <w:rFonts w:ascii="Times New Roman" w:hAnsi="Times New Roman"/>
          <w:lang w:val="pl-PL"/>
        </w:rPr>
      </w:pPr>
      <w:r>
        <w:rPr>
          <w:rFonts w:ascii="Times New Roman" w:hAnsi="Times New Roman"/>
          <w:lang w:val="pl-PL"/>
        </w:rPr>
        <w:t xml:space="preserve">U 2015.godini, od antropozoonoza </w:t>
      </w:r>
      <w:r w:rsidR="00A131AD" w:rsidRPr="00155F80">
        <w:rPr>
          <w:rFonts w:ascii="Times New Roman" w:hAnsi="Times New Roman"/>
          <w:lang w:val="pl-PL"/>
        </w:rPr>
        <w:t xml:space="preserve">su </w:t>
      </w:r>
      <w:r w:rsidRPr="00155F80">
        <w:rPr>
          <w:rFonts w:ascii="Times New Roman" w:hAnsi="Times New Roman"/>
          <w:lang w:val="pl-PL"/>
        </w:rPr>
        <w:t xml:space="preserve">oboljele </w:t>
      </w:r>
      <w:r w:rsidR="00A131AD" w:rsidRPr="00155F80">
        <w:rPr>
          <w:rFonts w:ascii="Times New Roman" w:hAnsi="Times New Roman"/>
          <w:lang w:val="pl-PL"/>
        </w:rPr>
        <w:t>152 osobe. U strukturi svih zaraznih oboljenja učestvuju sa 0,28%. Stopa obolijevanja (6,51/100000 stanovnika) je niža nego 2014.</w:t>
      </w:r>
      <w:r w:rsidR="00DA6463">
        <w:rPr>
          <w:rFonts w:ascii="Times New Roman" w:hAnsi="Times New Roman"/>
          <w:lang w:val="pl-PL"/>
        </w:rPr>
        <w:t xml:space="preserve"> </w:t>
      </w:r>
      <w:r w:rsidR="00A131AD" w:rsidRPr="00155F80">
        <w:rPr>
          <w:rFonts w:ascii="Times New Roman" w:hAnsi="Times New Roman"/>
          <w:lang w:val="pl-PL"/>
        </w:rPr>
        <w:t>godin</w:t>
      </w:r>
      <w:r w:rsidR="00DA6463">
        <w:rPr>
          <w:rFonts w:ascii="Times New Roman" w:hAnsi="Times New Roman"/>
          <w:lang w:val="pl-PL"/>
        </w:rPr>
        <w:t>e</w:t>
      </w:r>
      <w:r w:rsidR="00A131AD" w:rsidRPr="00155F80">
        <w:rPr>
          <w:rFonts w:ascii="Times New Roman" w:hAnsi="Times New Roman"/>
          <w:lang w:val="pl-PL"/>
        </w:rPr>
        <w:t xml:space="preserve"> (14,5/100000). Najveća stopa incidenc</w:t>
      </w:r>
      <w:r w:rsidR="00DA6463">
        <w:rPr>
          <w:rFonts w:ascii="Times New Roman" w:hAnsi="Times New Roman"/>
          <w:lang w:val="pl-PL"/>
        </w:rPr>
        <w:t>ij</w:t>
      </w:r>
      <w:r w:rsidR="00A131AD" w:rsidRPr="00155F80">
        <w:rPr>
          <w:rFonts w:ascii="Times New Roman" w:hAnsi="Times New Roman"/>
          <w:lang w:val="pl-PL"/>
        </w:rPr>
        <w:t>e je od bruceloze</w:t>
      </w:r>
      <w:r w:rsidR="00CA5BC1">
        <w:rPr>
          <w:rFonts w:ascii="Times New Roman" w:hAnsi="Times New Roman"/>
          <w:lang w:val="pl-PL"/>
        </w:rPr>
        <w:t>, a registrirani su slučajevi l</w:t>
      </w:r>
      <w:r w:rsidR="00A131AD" w:rsidRPr="00155F80">
        <w:rPr>
          <w:rFonts w:ascii="Times New Roman" w:hAnsi="Times New Roman"/>
          <w:lang w:val="pl-PL"/>
        </w:rPr>
        <w:t>eptospiroze, hemoragijske groznice sa bubrežnim sindromom (HGBS) i Lymove bolesti. Zbog problema u nadzoru, neintegriranog pristupa u nadzoru, stope ovih oboljenja su podcijenjene.</w:t>
      </w:r>
    </w:p>
    <w:p w:rsidR="00B560D0" w:rsidRDefault="00B560D0" w:rsidP="00834139">
      <w:pPr>
        <w:spacing w:line="276" w:lineRule="auto"/>
        <w:rPr>
          <w:rFonts w:ascii="Times New Roman" w:hAnsi="Times New Roman"/>
          <w:lang w:val="pl-PL"/>
        </w:rPr>
      </w:pPr>
    </w:p>
    <w:p w:rsidR="00B560D0" w:rsidRDefault="00B560D0" w:rsidP="00834139">
      <w:pPr>
        <w:spacing w:line="276" w:lineRule="auto"/>
        <w:rPr>
          <w:rFonts w:ascii="Times New Roman" w:hAnsi="Times New Roman"/>
          <w:lang w:val="pl-PL"/>
        </w:rPr>
      </w:pPr>
    </w:p>
    <w:p w:rsidR="00A131AD" w:rsidRPr="00155F80" w:rsidRDefault="00A131AD" w:rsidP="00EB7CC7">
      <w:pPr>
        <w:pStyle w:val="refererere"/>
        <w:rPr>
          <w:lang w:val="hr-HR"/>
        </w:rPr>
      </w:pPr>
      <w:r w:rsidRPr="00155F80">
        <w:rPr>
          <w:lang w:val="hr-BA" w:eastAsia="hr-BA"/>
        </w:rPr>
        <w:t>Tabl</w:t>
      </w:r>
      <w:r w:rsidR="00FE3B0D">
        <w:rPr>
          <w:lang w:val="hr-BA" w:eastAsia="hr-BA"/>
        </w:rPr>
        <w:t>ic</w:t>
      </w:r>
      <w:r w:rsidRPr="00155F80">
        <w:rPr>
          <w:lang w:val="hr-BA" w:eastAsia="hr-BA"/>
        </w:rPr>
        <w:t xml:space="preserve">a 9: </w:t>
      </w:r>
      <w:r w:rsidRPr="00155F80">
        <w:t>Antropozoonoze  u Federaciji BiH, 2015. i 2014. godina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2943"/>
        <w:gridCol w:w="1560"/>
        <w:gridCol w:w="1457"/>
        <w:gridCol w:w="1548"/>
        <w:gridCol w:w="1441"/>
      </w:tblGrid>
      <w:tr w:rsidR="00600020" w:rsidRPr="00155F80" w:rsidTr="00B560D0">
        <w:trPr>
          <w:cantSplit/>
          <w:trHeight w:hRule="exact" w:val="340"/>
          <w:jc w:val="center"/>
        </w:trPr>
        <w:tc>
          <w:tcPr>
            <w:tcW w:w="2943" w:type="dxa"/>
            <w:vMerge w:val="restart"/>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rsidR="00A131AD" w:rsidRPr="00FA3644" w:rsidRDefault="00A131AD" w:rsidP="00FA3644">
            <w:pPr>
              <w:rPr>
                <w:rFonts w:ascii="Times New Roman" w:hAnsi="Times New Roman"/>
                <w:lang w:val="hr-HR"/>
              </w:rPr>
            </w:pPr>
            <w:r w:rsidRPr="00FA3644">
              <w:rPr>
                <w:rFonts w:ascii="Times New Roman" w:hAnsi="Times New Roman"/>
                <w:lang w:val="hr-HR"/>
              </w:rPr>
              <w:t>Bolest</w:t>
            </w:r>
          </w:p>
        </w:tc>
        <w:tc>
          <w:tcPr>
            <w:tcW w:w="3017" w:type="dxa"/>
            <w:gridSpan w:val="2"/>
            <w:tcBorders>
              <w:top w:val="single" w:sz="4" w:space="0" w:color="auto"/>
              <w:left w:val="single" w:sz="4" w:space="0" w:color="auto"/>
              <w:bottom w:val="single" w:sz="4" w:space="0" w:color="auto"/>
              <w:right w:val="single" w:sz="4" w:space="0" w:color="auto"/>
            </w:tcBorders>
            <w:shd w:val="clear" w:color="auto" w:fill="E7E6E6" w:themeFill="background2"/>
            <w:hideMark/>
          </w:tcPr>
          <w:p w:rsidR="00A131AD" w:rsidRPr="00FA3644" w:rsidRDefault="00A131AD" w:rsidP="00FA3644">
            <w:pPr>
              <w:jc w:val="center"/>
              <w:rPr>
                <w:rFonts w:ascii="Times New Roman" w:hAnsi="Times New Roman"/>
                <w:lang w:val="hr-HR"/>
              </w:rPr>
            </w:pPr>
            <w:r w:rsidRPr="00FA3644">
              <w:rPr>
                <w:rFonts w:ascii="Times New Roman" w:hAnsi="Times New Roman"/>
                <w:lang w:val="hr-HR"/>
              </w:rPr>
              <w:t>2015</w:t>
            </w:r>
            <w:r w:rsidR="00600020" w:rsidRPr="00FA3644">
              <w:rPr>
                <w:rFonts w:ascii="Times New Roman" w:hAnsi="Times New Roman"/>
                <w:lang w:val="hr-HR"/>
              </w:rPr>
              <w:t>.</w:t>
            </w:r>
          </w:p>
        </w:tc>
        <w:tc>
          <w:tcPr>
            <w:tcW w:w="2989" w:type="dxa"/>
            <w:gridSpan w:val="2"/>
            <w:tcBorders>
              <w:top w:val="single" w:sz="4" w:space="0" w:color="auto"/>
              <w:left w:val="single" w:sz="4" w:space="0" w:color="auto"/>
              <w:bottom w:val="single" w:sz="4" w:space="0" w:color="auto"/>
              <w:right w:val="single" w:sz="4" w:space="0" w:color="auto"/>
            </w:tcBorders>
            <w:shd w:val="clear" w:color="auto" w:fill="E7E6E6" w:themeFill="background2"/>
            <w:hideMark/>
          </w:tcPr>
          <w:p w:rsidR="00A131AD" w:rsidRPr="00FA3644" w:rsidRDefault="00A131AD" w:rsidP="00FA3644">
            <w:pPr>
              <w:jc w:val="center"/>
              <w:rPr>
                <w:rFonts w:ascii="Times New Roman" w:hAnsi="Times New Roman"/>
                <w:lang w:val="hr-HR"/>
              </w:rPr>
            </w:pPr>
            <w:r w:rsidRPr="00FA3644">
              <w:rPr>
                <w:rFonts w:ascii="Times New Roman" w:hAnsi="Times New Roman"/>
                <w:lang w:val="hr-HR"/>
              </w:rPr>
              <w:t>2014</w:t>
            </w:r>
            <w:r w:rsidR="00600020" w:rsidRPr="00FA3644">
              <w:rPr>
                <w:rFonts w:ascii="Times New Roman" w:hAnsi="Times New Roman"/>
                <w:lang w:val="hr-HR"/>
              </w:rPr>
              <w:t>.</w:t>
            </w:r>
          </w:p>
        </w:tc>
      </w:tr>
      <w:tr w:rsidR="00600020" w:rsidRPr="00155F80" w:rsidTr="00FA3644">
        <w:trPr>
          <w:cantSplit/>
          <w:trHeight w:hRule="exact" w:val="377"/>
          <w:jc w:val="center"/>
        </w:trPr>
        <w:tc>
          <w:tcPr>
            <w:tcW w:w="0" w:type="auto"/>
            <w:vMerge/>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rsidR="00A131AD" w:rsidRPr="00FA3644" w:rsidRDefault="00A131AD" w:rsidP="00FA3644">
            <w:pPr>
              <w:rPr>
                <w:rFonts w:ascii="Times New Roman" w:hAnsi="Times New Roman"/>
                <w:noProof/>
                <w:lang w:val="hr-HR"/>
              </w:rPr>
            </w:pPr>
          </w:p>
        </w:tc>
        <w:tc>
          <w:tcPr>
            <w:tcW w:w="1560" w:type="dxa"/>
            <w:tcBorders>
              <w:top w:val="single" w:sz="4" w:space="0" w:color="auto"/>
              <w:left w:val="single" w:sz="4" w:space="0" w:color="auto"/>
              <w:bottom w:val="single" w:sz="4" w:space="0" w:color="auto"/>
              <w:right w:val="single" w:sz="4" w:space="0" w:color="auto"/>
            </w:tcBorders>
            <w:shd w:val="clear" w:color="auto" w:fill="E7E6E6" w:themeFill="background2"/>
            <w:hideMark/>
          </w:tcPr>
          <w:p w:rsidR="00A131AD" w:rsidRPr="00FA3644" w:rsidRDefault="00A131AD" w:rsidP="00FA3644">
            <w:pPr>
              <w:rPr>
                <w:rFonts w:ascii="Times New Roman" w:hAnsi="Times New Roman"/>
                <w:noProof/>
                <w:lang w:val="hr-HR"/>
              </w:rPr>
            </w:pPr>
            <w:bookmarkStart w:id="46" w:name="_Toc453328508"/>
            <w:bookmarkStart w:id="47" w:name="_Toc453917699"/>
            <w:bookmarkStart w:id="48" w:name="_Toc454797082"/>
            <w:bookmarkStart w:id="49" w:name="_Toc454797798"/>
            <w:bookmarkStart w:id="50" w:name="_Toc454799695"/>
            <w:bookmarkStart w:id="51" w:name="_Toc454803306"/>
            <w:r w:rsidRPr="00FA3644">
              <w:rPr>
                <w:rFonts w:ascii="Times New Roman" w:hAnsi="Times New Roman"/>
                <w:noProof/>
              </w:rPr>
              <w:t>Broj slučajeva</w:t>
            </w:r>
            <w:bookmarkEnd w:id="46"/>
            <w:bookmarkEnd w:id="47"/>
            <w:bookmarkEnd w:id="48"/>
            <w:bookmarkEnd w:id="49"/>
            <w:bookmarkEnd w:id="50"/>
            <w:bookmarkEnd w:id="51"/>
          </w:p>
        </w:tc>
        <w:tc>
          <w:tcPr>
            <w:tcW w:w="1457" w:type="dxa"/>
            <w:tcBorders>
              <w:top w:val="single" w:sz="4" w:space="0" w:color="auto"/>
              <w:left w:val="single" w:sz="4" w:space="0" w:color="auto"/>
              <w:bottom w:val="single" w:sz="4" w:space="0" w:color="auto"/>
              <w:right w:val="single" w:sz="4" w:space="0" w:color="auto"/>
            </w:tcBorders>
            <w:shd w:val="clear" w:color="auto" w:fill="E7E6E6" w:themeFill="background2"/>
            <w:hideMark/>
          </w:tcPr>
          <w:p w:rsidR="00A131AD" w:rsidRPr="00FA3644" w:rsidRDefault="00A131AD" w:rsidP="00FA3644">
            <w:pPr>
              <w:rPr>
                <w:rFonts w:ascii="Times New Roman" w:hAnsi="Times New Roman"/>
                <w:noProof/>
              </w:rPr>
            </w:pPr>
            <w:bookmarkStart w:id="52" w:name="_Toc453328509"/>
            <w:bookmarkStart w:id="53" w:name="_Toc453917700"/>
            <w:bookmarkStart w:id="54" w:name="_Toc454797083"/>
            <w:bookmarkStart w:id="55" w:name="_Toc454797799"/>
            <w:bookmarkStart w:id="56" w:name="_Toc454799696"/>
            <w:bookmarkStart w:id="57" w:name="_Toc454803307"/>
            <w:r w:rsidRPr="00FA3644">
              <w:rPr>
                <w:rFonts w:ascii="Times New Roman" w:hAnsi="Times New Roman"/>
                <w:noProof/>
              </w:rPr>
              <w:t>Mb/100000</w:t>
            </w:r>
            <w:bookmarkEnd w:id="52"/>
            <w:bookmarkEnd w:id="53"/>
            <w:bookmarkEnd w:id="54"/>
            <w:bookmarkEnd w:id="55"/>
            <w:bookmarkEnd w:id="56"/>
            <w:bookmarkEnd w:id="57"/>
          </w:p>
        </w:tc>
        <w:tc>
          <w:tcPr>
            <w:tcW w:w="1548" w:type="dxa"/>
            <w:tcBorders>
              <w:top w:val="single" w:sz="4" w:space="0" w:color="auto"/>
              <w:left w:val="single" w:sz="4" w:space="0" w:color="auto"/>
              <w:bottom w:val="single" w:sz="4" w:space="0" w:color="auto"/>
              <w:right w:val="single" w:sz="4" w:space="0" w:color="auto"/>
            </w:tcBorders>
            <w:shd w:val="clear" w:color="auto" w:fill="E7E6E6" w:themeFill="background2"/>
            <w:hideMark/>
          </w:tcPr>
          <w:p w:rsidR="00A131AD" w:rsidRPr="00FA3644" w:rsidRDefault="00A131AD" w:rsidP="00FA3644">
            <w:pPr>
              <w:rPr>
                <w:rFonts w:ascii="Times New Roman" w:hAnsi="Times New Roman"/>
                <w:noProof/>
              </w:rPr>
            </w:pPr>
            <w:bookmarkStart w:id="58" w:name="_Toc453328510"/>
            <w:bookmarkStart w:id="59" w:name="_Toc453917701"/>
            <w:bookmarkStart w:id="60" w:name="_Toc454797084"/>
            <w:bookmarkStart w:id="61" w:name="_Toc454797800"/>
            <w:bookmarkStart w:id="62" w:name="_Toc454799697"/>
            <w:bookmarkStart w:id="63" w:name="_Toc454803308"/>
            <w:r w:rsidRPr="00FA3644">
              <w:rPr>
                <w:rFonts w:ascii="Times New Roman" w:hAnsi="Times New Roman"/>
                <w:noProof/>
              </w:rPr>
              <w:t>Broj slučajeva</w:t>
            </w:r>
            <w:bookmarkEnd w:id="58"/>
            <w:bookmarkEnd w:id="59"/>
            <w:bookmarkEnd w:id="60"/>
            <w:bookmarkEnd w:id="61"/>
            <w:bookmarkEnd w:id="62"/>
            <w:bookmarkEnd w:id="63"/>
          </w:p>
        </w:tc>
        <w:tc>
          <w:tcPr>
            <w:tcW w:w="1441" w:type="dxa"/>
            <w:tcBorders>
              <w:top w:val="single" w:sz="4" w:space="0" w:color="auto"/>
              <w:left w:val="single" w:sz="4" w:space="0" w:color="auto"/>
              <w:bottom w:val="single" w:sz="4" w:space="0" w:color="auto"/>
              <w:right w:val="single" w:sz="4" w:space="0" w:color="auto"/>
            </w:tcBorders>
            <w:shd w:val="clear" w:color="auto" w:fill="E7E6E6" w:themeFill="background2"/>
            <w:hideMark/>
          </w:tcPr>
          <w:p w:rsidR="00A131AD" w:rsidRPr="00FA3644" w:rsidRDefault="00A131AD" w:rsidP="00FA3644">
            <w:pPr>
              <w:rPr>
                <w:rFonts w:ascii="Times New Roman" w:hAnsi="Times New Roman"/>
                <w:noProof/>
              </w:rPr>
            </w:pPr>
            <w:bookmarkStart w:id="64" w:name="_Toc453328511"/>
            <w:bookmarkStart w:id="65" w:name="_Toc453917702"/>
            <w:bookmarkStart w:id="66" w:name="_Toc454797085"/>
            <w:bookmarkStart w:id="67" w:name="_Toc454797801"/>
            <w:bookmarkStart w:id="68" w:name="_Toc454799698"/>
            <w:bookmarkStart w:id="69" w:name="_Toc454803309"/>
            <w:r w:rsidRPr="00FA3644">
              <w:rPr>
                <w:rFonts w:ascii="Times New Roman" w:hAnsi="Times New Roman"/>
                <w:noProof/>
              </w:rPr>
              <w:t>Mb/100000</w:t>
            </w:r>
            <w:bookmarkEnd w:id="64"/>
            <w:bookmarkEnd w:id="65"/>
            <w:bookmarkEnd w:id="66"/>
            <w:bookmarkEnd w:id="67"/>
            <w:bookmarkEnd w:id="68"/>
            <w:bookmarkEnd w:id="69"/>
          </w:p>
        </w:tc>
      </w:tr>
      <w:tr w:rsidR="00600020" w:rsidRPr="00155F80" w:rsidTr="00FA3644">
        <w:trPr>
          <w:trHeight w:hRule="exact" w:val="312"/>
          <w:jc w:val="center"/>
        </w:trPr>
        <w:tc>
          <w:tcPr>
            <w:tcW w:w="29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FA3644" w:rsidRDefault="00A131AD" w:rsidP="00FA3644">
            <w:pPr>
              <w:rPr>
                <w:rFonts w:ascii="Times New Roman" w:hAnsi="Times New Roman"/>
                <w:noProof/>
              </w:rPr>
            </w:pPr>
            <w:r w:rsidRPr="00FA3644">
              <w:rPr>
                <w:rFonts w:ascii="Times New Roman" w:hAnsi="Times New Roman"/>
              </w:rPr>
              <w:t>Brucellosis</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FA3644" w:rsidRDefault="00A131AD" w:rsidP="00FA3644">
            <w:pPr>
              <w:jc w:val="center"/>
              <w:rPr>
                <w:rFonts w:ascii="Times New Roman" w:hAnsi="Times New Roman"/>
                <w:noProof/>
              </w:rPr>
            </w:pPr>
            <w:bookmarkStart w:id="70" w:name="_Toc453328512"/>
            <w:bookmarkStart w:id="71" w:name="_Toc453917703"/>
            <w:bookmarkStart w:id="72" w:name="_Toc454797086"/>
            <w:bookmarkStart w:id="73" w:name="_Toc454797802"/>
            <w:bookmarkStart w:id="74" w:name="_Toc454799699"/>
            <w:bookmarkStart w:id="75" w:name="_Toc454803310"/>
            <w:r w:rsidRPr="00FA3644">
              <w:rPr>
                <w:rFonts w:ascii="Times New Roman" w:hAnsi="Times New Roman"/>
                <w:noProof/>
              </w:rPr>
              <w:t>101</w:t>
            </w:r>
            <w:bookmarkEnd w:id="70"/>
            <w:bookmarkEnd w:id="71"/>
            <w:bookmarkEnd w:id="72"/>
            <w:bookmarkEnd w:id="73"/>
            <w:bookmarkEnd w:id="74"/>
            <w:bookmarkEnd w:id="75"/>
          </w:p>
        </w:tc>
        <w:tc>
          <w:tcPr>
            <w:tcW w:w="145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FA3644" w:rsidRDefault="00A131AD" w:rsidP="00FA3644">
            <w:pPr>
              <w:jc w:val="center"/>
              <w:rPr>
                <w:rFonts w:ascii="Times New Roman" w:hAnsi="Times New Roman"/>
                <w:noProof/>
              </w:rPr>
            </w:pPr>
            <w:bookmarkStart w:id="76" w:name="_Toc453328513"/>
            <w:bookmarkStart w:id="77" w:name="_Toc453917704"/>
            <w:bookmarkStart w:id="78" w:name="_Toc454797087"/>
            <w:bookmarkStart w:id="79" w:name="_Toc454797803"/>
            <w:bookmarkStart w:id="80" w:name="_Toc454799700"/>
            <w:bookmarkStart w:id="81" w:name="_Toc454803311"/>
            <w:r w:rsidRPr="00FA3644">
              <w:rPr>
                <w:rFonts w:ascii="Times New Roman" w:hAnsi="Times New Roman"/>
                <w:noProof/>
              </w:rPr>
              <w:t>4,33</w:t>
            </w:r>
            <w:bookmarkEnd w:id="76"/>
            <w:bookmarkEnd w:id="77"/>
            <w:bookmarkEnd w:id="78"/>
            <w:bookmarkEnd w:id="79"/>
            <w:bookmarkEnd w:id="80"/>
            <w:bookmarkEnd w:id="81"/>
          </w:p>
        </w:tc>
        <w:tc>
          <w:tcPr>
            <w:tcW w:w="154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FA3644" w:rsidRDefault="00A131AD" w:rsidP="00FA3644">
            <w:pPr>
              <w:jc w:val="center"/>
              <w:rPr>
                <w:rFonts w:ascii="Times New Roman" w:hAnsi="Times New Roman"/>
                <w:noProof/>
              </w:rPr>
            </w:pPr>
            <w:bookmarkStart w:id="82" w:name="_Toc453328514"/>
            <w:bookmarkStart w:id="83" w:name="_Toc453917705"/>
            <w:bookmarkStart w:id="84" w:name="_Toc454797088"/>
            <w:bookmarkStart w:id="85" w:name="_Toc454797804"/>
            <w:bookmarkStart w:id="86" w:name="_Toc454799701"/>
            <w:bookmarkStart w:id="87" w:name="_Toc454803312"/>
            <w:r w:rsidRPr="00FA3644">
              <w:rPr>
                <w:rFonts w:ascii="Times New Roman" w:hAnsi="Times New Roman"/>
                <w:noProof/>
              </w:rPr>
              <w:t>118</w:t>
            </w:r>
            <w:bookmarkEnd w:id="82"/>
            <w:bookmarkEnd w:id="83"/>
            <w:bookmarkEnd w:id="84"/>
            <w:bookmarkEnd w:id="85"/>
            <w:bookmarkEnd w:id="86"/>
            <w:bookmarkEnd w:id="87"/>
          </w:p>
        </w:tc>
        <w:tc>
          <w:tcPr>
            <w:tcW w:w="14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FA3644" w:rsidRDefault="00A131AD" w:rsidP="00FA3644">
            <w:pPr>
              <w:jc w:val="center"/>
              <w:rPr>
                <w:rFonts w:ascii="Times New Roman" w:hAnsi="Times New Roman"/>
                <w:noProof/>
              </w:rPr>
            </w:pPr>
            <w:bookmarkStart w:id="88" w:name="_Toc453328515"/>
            <w:bookmarkStart w:id="89" w:name="_Toc453917706"/>
            <w:bookmarkStart w:id="90" w:name="_Toc454797089"/>
            <w:bookmarkStart w:id="91" w:name="_Toc454797805"/>
            <w:bookmarkStart w:id="92" w:name="_Toc454799702"/>
            <w:bookmarkStart w:id="93" w:name="_Toc454803313"/>
            <w:r w:rsidRPr="00FA3644">
              <w:rPr>
                <w:rFonts w:ascii="Times New Roman" w:hAnsi="Times New Roman"/>
                <w:noProof/>
              </w:rPr>
              <w:t>5,05</w:t>
            </w:r>
            <w:bookmarkEnd w:id="88"/>
            <w:bookmarkEnd w:id="89"/>
            <w:bookmarkEnd w:id="90"/>
            <w:bookmarkEnd w:id="91"/>
            <w:bookmarkEnd w:id="92"/>
            <w:bookmarkEnd w:id="93"/>
          </w:p>
        </w:tc>
      </w:tr>
      <w:tr w:rsidR="00600020" w:rsidRPr="00155F80" w:rsidTr="00FA3644">
        <w:trPr>
          <w:trHeight w:hRule="exact" w:val="312"/>
          <w:jc w:val="center"/>
        </w:trPr>
        <w:tc>
          <w:tcPr>
            <w:tcW w:w="29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FA3644" w:rsidRDefault="00A131AD" w:rsidP="00FA3644">
            <w:pPr>
              <w:rPr>
                <w:rFonts w:ascii="Times New Roman" w:hAnsi="Times New Roman"/>
                <w:noProof/>
              </w:rPr>
            </w:pPr>
            <w:r w:rsidRPr="00FA3644">
              <w:rPr>
                <w:rFonts w:ascii="Times New Roman" w:hAnsi="Times New Roman"/>
              </w:rPr>
              <w:t>Q febris</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FA3644" w:rsidRDefault="00A131AD" w:rsidP="00FA3644">
            <w:pPr>
              <w:jc w:val="center"/>
              <w:rPr>
                <w:rFonts w:ascii="Times New Roman" w:hAnsi="Times New Roman"/>
                <w:noProof/>
              </w:rPr>
            </w:pPr>
            <w:bookmarkStart w:id="94" w:name="_Toc453328516"/>
            <w:bookmarkStart w:id="95" w:name="_Toc453917707"/>
            <w:bookmarkStart w:id="96" w:name="_Toc454797090"/>
            <w:bookmarkStart w:id="97" w:name="_Toc454797806"/>
            <w:bookmarkStart w:id="98" w:name="_Toc454799703"/>
            <w:bookmarkStart w:id="99" w:name="_Toc454803314"/>
            <w:r w:rsidRPr="00FA3644">
              <w:rPr>
                <w:rFonts w:ascii="Times New Roman" w:hAnsi="Times New Roman"/>
                <w:noProof/>
              </w:rPr>
              <w:t>11</w:t>
            </w:r>
            <w:bookmarkEnd w:id="94"/>
            <w:bookmarkEnd w:id="95"/>
            <w:bookmarkEnd w:id="96"/>
            <w:bookmarkEnd w:id="97"/>
            <w:bookmarkEnd w:id="98"/>
            <w:bookmarkEnd w:id="99"/>
          </w:p>
        </w:tc>
        <w:tc>
          <w:tcPr>
            <w:tcW w:w="145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FA3644" w:rsidRDefault="00A131AD" w:rsidP="00FA3644">
            <w:pPr>
              <w:jc w:val="center"/>
              <w:rPr>
                <w:rFonts w:ascii="Times New Roman" w:hAnsi="Times New Roman"/>
                <w:noProof/>
              </w:rPr>
            </w:pPr>
            <w:bookmarkStart w:id="100" w:name="_Toc453328517"/>
            <w:bookmarkStart w:id="101" w:name="_Toc453917708"/>
            <w:bookmarkStart w:id="102" w:name="_Toc454797091"/>
            <w:bookmarkStart w:id="103" w:name="_Toc454797807"/>
            <w:bookmarkStart w:id="104" w:name="_Toc454799704"/>
            <w:bookmarkStart w:id="105" w:name="_Toc454803315"/>
            <w:r w:rsidRPr="00FA3644">
              <w:rPr>
                <w:rFonts w:ascii="Times New Roman" w:hAnsi="Times New Roman"/>
                <w:noProof/>
              </w:rPr>
              <w:t>0,47</w:t>
            </w:r>
            <w:bookmarkEnd w:id="100"/>
            <w:bookmarkEnd w:id="101"/>
            <w:bookmarkEnd w:id="102"/>
            <w:bookmarkEnd w:id="103"/>
            <w:bookmarkEnd w:id="104"/>
            <w:bookmarkEnd w:id="105"/>
          </w:p>
        </w:tc>
        <w:tc>
          <w:tcPr>
            <w:tcW w:w="154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FA3644" w:rsidRDefault="00A131AD" w:rsidP="00FA3644">
            <w:pPr>
              <w:jc w:val="center"/>
              <w:rPr>
                <w:rFonts w:ascii="Times New Roman" w:hAnsi="Times New Roman"/>
                <w:noProof/>
              </w:rPr>
            </w:pPr>
            <w:bookmarkStart w:id="106" w:name="_Toc453328518"/>
            <w:bookmarkStart w:id="107" w:name="_Toc453917709"/>
            <w:bookmarkStart w:id="108" w:name="_Toc454797092"/>
            <w:bookmarkStart w:id="109" w:name="_Toc454797808"/>
            <w:bookmarkStart w:id="110" w:name="_Toc454799705"/>
            <w:bookmarkStart w:id="111" w:name="_Toc454803316"/>
            <w:r w:rsidRPr="00FA3644">
              <w:rPr>
                <w:rFonts w:ascii="Times New Roman" w:hAnsi="Times New Roman"/>
                <w:noProof/>
              </w:rPr>
              <w:t>11</w:t>
            </w:r>
            <w:bookmarkEnd w:id="106"/>
            <w:bookmarkEnd w:id="107"/>
            <w:bookmarkEnd w:id="108"/>
            <w:bookmarkEnd w:id="109"/>
            <w:bookmarkEnd w:id="110"/>
            <w:bookmarkEnd w:id="111"/>
          </w:p>
        </w:tc>
        <w:tc>
          <w:tcPr>
            <w:tcW w:w="14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FA3644" w:rsidRDefault="00A131AD" w:rsidP="00FA3644">
            <w:pPr>
              <w:jc w:val="center"/>
              <w:rPr>
                <w:rFonts w:ascii="Times New Roman" w:hAnsi="Times New Roman"/>
                <w:noProof/>
              </w:rPr>
            </w:pPr>
            <w:bookmarkStart w:id="112" w:name="_Toc453328519"/>
            <w:bookmarkStart w:id="113" w:name="_Toc453917710"/>
            <w:bookmarkStart w:id="114" w:name="_Toc454797093"/>
            <w:bookmarkStart w:id="115" w:name="_Toc454797809"/>
            <w:bookmarkStart w:id="116" w:name="_Toc454799706"/>
            <w:bookmarkStart w:id="117" w:name="_Toc454803317"/>
            <w:r w:rsidRPr="00FA3644">
              <w:rPr>
                <w:rFonts w:ascii="Times New Roman" w:hAnsi="Times New Roman"/>
                <w:noProof/>
              </w:rPr>
              <w:t>0,47</w:t>
            </w:r>
            <w:bookmarkEnd w:id="112"/>
            <w:bookmarkEnd w:id="113"/>
            <w:bookmarkEnd w:id="114"/>
            <w:bookmarkEnd w:id="115"/>
            <w:bookmarkEnd w:id="116"/>
            <w:bookmarkEnd w:id="117"/>
          </w:p>
        </w:tc>
      </w:tr>
      <w:tr w:rsidR="00600020" w:rsidRPr="00155F80" w:rsidTr="00FA3644">
        <w:trPr>
          <w:trHeight w:hRule="exact" w:val="312"/>
          <w:jc w:val="center"/>
        </w:trPr>
        <w:tc>
          <w:tcPr>
            <w:tcW w:w="29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FA3644" w:rsidRDefault="00A131AD" w:rsidP="00FA3644">
            <w:pPr>
              <w:rPr>
                <w:rFonts w:ascii="Times New Roman" w:hAnsi="Times New Roman"/>
                <w:noProof/>
              </w:rPr>
            </w:pPr>
            <w:r w:rsidRPr="00FA3644">
              <w:rPr>
                <w:rFonts w:ascii="Times New Roman" w:hAnsi="Times New Roman"/>
              </w:rPr>
              <w:t>Leptospirosis</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FA3644" w:rsidRDefault="00A131AD" w:rsidP="00FA3644">
            <w:pPr>
              <w:jc w:val="center"/>
              <w:rPr>
                <w:rFonts w:ascii="Times New Roman" w:hAnsi="Times New Roman"/>
                <w:noProof/>
              </w:rPr>
            </w:pPr>
            <w:bookmarkStart w:id="118" w:name="_Toc453328520"/>
            <w:bookmarkStart w:id="119" w:name="_Toc453917711"/>
            <w:bookmarkStart w:id="120" w:name="_Toc454797094"/>
            <w:bookmarkStart w:id="121" w:name="_Toc454797810"/>
            <w:bookmarkStart w:id="122" w:name="_Toc454799707"/>
            <w:bookmarkStart w:id="123" w:name="_Toc454803318"/>
            <w:r w:rsidRPr="00FA3644">
              <w:rPr>
                <w:rFonts w:ascii="Times New Roman" w:hAnsi="Times New Roman"/>
                <w:noProof/>
              </w:rPr>
              <w:t>32</w:t>
            </w:r>
            <w:bookmarkEnd w:id="118"/>
            <w:bookmarkEnd w:id="119"/>
            <w:bookmarkEnd w:id="120"/>
            <w:bookmarkEnd w:id="121"/>
            <w:bookmarkEnd w:id="122"/>
            <w:bookmarkEnd w:id="123"/>
          </w:p>
        </w:tc>
        <w:tc>
          <w:tcPr>
            <w:tcW w:w="145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FA3644" w:rsidRDefault="00A131AD" w:rsidP="00FA3644">
            <w:pPr>
              <w:jc w:val="center"/>
              <w:rPr>
                <w:rFonts w:ascii="Times New Roman" w:hAnsi="Times New Roman"/>
                <w:noProof/>
              </w:rPr>
            </w:pPr>
            <w:bookmarkStart w:id="124" w:name="_Toc453328521"/>
            <w:bookmarkStart w:id="125" w:name="_Toc453917712"/>
            <w:bookmarkStart w:id="126" w:name="_Toc454797095"/>
            <w:bookmarkStart w:id="127" w:name="_Toc454797811"/>
            <w:bookmarkStart w:id="128" w:name="_Toc454799708"/>
            <w:bookmarkStart w:id="129" w:name="_Toc454803319"/>
            <w:r w:rsidRPr="00FA3644">
              <w:rPr>
                <w:rFonts w:ascii="Times New Roman" w:hAnsi="Times New Roman"/>
                <w:noProof/>
              </w:rPr>
              <w:t>1,37</w:t>
            </w:r>
            <w:bookmarkEnd w:id="124"/>
            <w:bookmarkEnd w:id="125"/>
            <w:bookmarkEnd w:id="126"/>
            <w:bookmarkEnd w:id="127"/>
            <w:bookmarkEnd w:id="128"/>
            <w:bookmarkEnd w:id="129"/>
          </w:p>
        </w:tc>
        <w:tc>
          <w:tcPr>
            <w:tcW w:w="154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FA3644" w:rsidRDefault="00A131AD" w:rsidP="00FA3644">
            <w:pPr>
              <w:jc w:val="center"/>
              <w:rPr>
                <w:rFonts w:ascii="Times New Roman" w:hAnsi="Times New Roman"/>
                <w:noProof/>
              </w:rPr>
            </w:pPr>
            <w:bookmarkStart w:id="130" w:name="_Toc453328522"/>
            <w:bookmarkStart w:id="131" w:name="_Toc453917713"/>
            <w:bookmarkStart w:id="132" w:name="_Toc454797096"/>
            <w:bookmarkStart w:id="133" w:name="_Toc454797812"/>
            <w:bookmarkStart w:id="134" w:name="_Toc454799709"/>
            <w:bookmarkStart w:id="135" w:name="_Toc454803320"/>
            <w:r w:rsidRPr="00FA3644">
              <w:rPr>
                <w:rFonts w:ascii="Times New Roman" w:hAnsi="Times New Roman"/>
                <w:noProof/>
              </w:rPr>
              <w:t>107</w:t>
            </w:r>
            <w:bookmarkEnd w:id="130"/>
            <w:bookmarkEnd w:id="131"/>
            <w:bookmarkEnd w:id="132"/>
            <w:bookmarkEnd w:id="133"/>
            <w:bookmarkEnd w:id="134"/>
            <w:bookmarkEnd w:id="135"/>
          </w:p>
        </w:tc>
        <w:tc>
          <w:tcPr>
            <w:tcW w:w="14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FA3644" w:rsidRDefault="00A131AD" w:rsidP="00FA3644">
            <w:pPr>
              <w:jc w:val="center"/>
              <w:rPr>
                <w:rFonts w:ascii="Times New Roman" w:hAnsi="Times New Roman"/>
                <w:noProof/>
              </w:rPr>
            </w:pPr>
            <w:bookmarkStart w:id="136" w:name="_Toc453328523"/>
            <w:bookmarkStart w:id="137" w:name="_Toc453917714"/>
            <w:bookmarkStart w:id="138" w:name="_Toc454797097"/>
            <w:bookmarkStart w:id="139" w:name="_Toc454797813"/>
            <w:bookmarkStart w:id="140" w:name="_Toc454799710"/>
            <w:bookmarkStart w:id="141" w:name="_Toc454803321"/>
            <w:r w:rsidRPr="00FA3644">
              <w:rPr>
                <w:rFonts w:ascii="Times New Roman" w:hAnsi="Times New Roman"/>
                <w:noProof/>
              </w:rPr>
              <w:t>4,58</w:t>
            </w:r>
            <w:bookmarkEnd w:id="136"/>
            <w:bookmarkEnd w:id="137"/>
            <w:bookmarkEnd w:id="138"/>
            <w:bookmarkEnd w:id="139"/>
            <w:bookmarkEnd w:id="140"/>
            <w:bookmarkEnd w:id="141"/>
          </w:p>
        </w:tc>
      </w:tr>
      <w:tr w:rsidR="00600020" w:rsidRPr="00155F80" w:rsidTr="00FA3644">
        <w:trPr>
          <w:trHeight w:hRule="exact" w:val="312"/>
          <w:jc w:val="center"/>
        </w:trPr>
        <w:tc>
          <w:tcPr>
            <w:tcW w:w="29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FA3644" w:rsidRDefault="00A131AD" w:rsidP="00FA3644">
            <w:pPr>
              <w:rPr>
                <w:rFonts w:ascii="Times New Roman" w:hAnsi="Times New Roman"/>
                <w:noProof/>
              </w:rPr>
            </w:pPr>
            <w:r w:rsidRPr="00FA3644">
              <w:rPr>
                <w:rFonts w:ascii="Times New Roman" w:hAnsi="Times New Roman"/>
              </w:rPr>
              <w:t>Lyme borelliosis</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FA3644" w:rsidRDefault="00A131AD" w:rsidP="00FA3644">
            <w:pPr>
              <w:jc w:val="center"/>
              <w:rPr>
                <w:rFonts w:ascii="Times New Roman" w:hAnsi="Times New Roman"/>
                <w:noProof/>
              </w:rPr>
            </w:pPr>
            <w:bookmarkStart w:id="142" w:name="_Toc453328524"/>
            <w:bookmarkStart w:id="143" w:name="_Toc453917715"/>
            <w:bookmarkStart w:id="144" w:name="_Toc454797098"/>
            <w:bookmarkStart w:id="145" w:name="_Toc454797814"/>
            <w:bookmarkStart w:id="146" w:name="_Toc454799711"/>
            <w:bookmarkStart w:id="147" w:name="_Toc454803322"/>
            <w:r w:rsidRPr="00FA3644">
              <w:rPr>
                <w:rFonts w:ascii="Times New Roman" w:hAnsi="Times New Roman"/>
                <w:noProof/>
              </w:rPr>
              <w:t>3</w:t>
            </w:r>
            <w:bookmarkEnd w:id="142"/>
            <w:bookmarkEnd w:id="143"/>
            <w:bookmarkEnd w:id="144"/>
            <w:bookmarkEnd w:id="145"/>
            <w:bookmarkEnd w:id="146"/>
            <w:bookmarkEnd w:id="147"/>
          </w:p>
        </w:tc>
        <w:tc>
          <w:tcPr>
            <w:tcW w:w="145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FA3644" w:rsidRDefault="00A131AD" w:rsidP="00FA3644">
            <w:pPr>
              <w:jc w:val="center"/>
              <w:rPr>
                <w:rFonts w:ascii="Times New Roman" w:hAnsi="Times New Roman"/>
                <w:noProof/>
              </w:rPr>
            </w:pPr>
            <w:bookmarkStart w:id="148" w:name="_Toc453328525"/>
            <w:bookmarkStart w:id="149" w:name="_Toc453917716"/>
            <w:bookmarkStart w:id="150" w:name="_Toc454797099"/>
            <w:bookmarkStart w:id="151" w:name="_Toc454797815"/>
            <w:bookmarkStart w:id="152" w:name="_Toc454799712"/>
            <w:bookmarkStart w:id="153" w:name="_Toc454803323"/>
            <w:r w:rsidRPr="00FA3644">
              <w:rPr>
                <w:rFonts w:ascii="Times New Roman" w:hAnsi="Times New Roman"/>
                <w:noProof/>
              </w:rPr>
              <w:t>0,13</w:t>
            </w:r>
            <w:bookmarkEnd w:id="148"/>
            <w:bookmarkEnd w:id="149"/>
            <w:bookmarkEnd w:id="150"/>
            <w:bookmarkEnd w:id="151"/>
            <w:bookmarkEnd w:id="152"/>
            <w:bookmarkEnd w:id="153"/>
          </w:p>
        </w:tc>
        <w:tc>
          <w:tcPr>
            <w:tcW w:w="154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FA3644" w:rsidRDefault="00A131AD" w:rsidP="00FA3644">
            <w:pPr>
              <w:jc w:val="center"/>
              <w:rPr>
                <w:rFonts w:ascii="Times New Roman" w:hAnsi="Times New Roman"/>
                <w:noProof/>
              </w:rPr>
            </w:pPr>
            <w:bookmarkStart w:id="154" w:name="_Toc453328526"/>
            <w:bookmarkStart w:id="155" w:name="_Toc453917717"/>
            <w:bookmarkStart w:id="156" w:name="_Toc454797100"/>
            <w:bookmarkStart w:id="157" w:name="_Toc454797816"/>
            <w:bookmarkStart w:id="158" w:name="_Toc454799713"/>
            <w:r w:rsidRPr="00FA3644">
              <w:rPr>
                <w:rFonts w:ascii="Times New Roman" w:hAnsi="Times New Roman"/>
                <w:noProof/>
              </w:rPr>
              <w:t>6</w:t>
            </w:r>
            <w:bookmarkEnd w:id="154"/>
            <w:bookmarkEnd w:id="155"/>
            <w:bookmarkEnd w:id="156"/>
            <w:bookmarkEnd w:id="157"/>
            <w:bookmarkEnd w:id="158"/>
          </w:p>
        </w:tc>
        <w:tc>
          <w:tcPr>
            <w:tcW w:w="14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FA3644" w:rsidRDefault="00A131AD" w:rsidP="00FA3644">
            <w:pPr>
              <w:jc w:val="center"/>
              <w:rPr>
                <w:rFonts w:ascii="Times New Roman" w:hAnsi="Times New Roman"/>
                <w:noProof/>
              </w:rPr>
            </w:pPr>
            <w:bookmarkStart w:id="159" w:name="_Toc453328527"/>
            <w:bookmarkStart w:id="160" w:name="_Toc453917718"/>
            <w:bookmarkStart w:id="161" w:name="_Toc454797101"/>
            <w:bookmarkStart w:id="162" w:name="_Toc454797817"/>
            <w:bookmarkStart w:id="163" w:name="_Toc454799714"/>
            <w:r w:rsidRPr="00FA3644">
              <w:rPr>
                <w:rFonts w:ascii="Times New Roman" w:hAnsi="Times New Roman"/>
                <w:noProof/>
              </w:rPr>
              <w:t>0,26</w:t>
            </w:r>
            <w:bookmarkEnd w:id="159"/>
            <w:bookmarkEnd w:id="160"/>
            <w:bookmarkEnd w:id="161"/>
            <w:bookmarkEnd w:id="162"/>
            <w:bookmarkEnd w:id="163"/>
          </w:p>
        </w:tc>
      </w:tr>
      <w:tr w:rsidR="00600020" w:rsidRPr="00155F80" w:rsidTr="00FA3644">
        <w:trPr>
          <w:trHeight w:hRule="exact" w:val="312"/>
          <w:jc w:val="center"/>
        </w:trPr>
        <w:tc>
          <w:tcPr>
            <w:tcW w:w="29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FA3644" w:rsidRDefault="00A131AD" w:rsidP="00FA3644">
            <w:pPr>
              <w:rPr>
                <w:rFonts w:ascii="Times New Roman" w:hAnsi="Times New Roman"/>
                <w:noProof/>
              </w:rPr>
            </w:pPr>
            <w:bookmarkStart w:id="164" w:name="_Toc453328528"/>
            <w:bookmarkStart w:id="165" w:name="_Toc453917719"/>
            <w:bookmarkStart w:id="166" w:name="_Toc454797102"/>
            <w:bookmarkStart w:id="167" w:name="_Toc454797818"/>
            <w:bookmarkStart w:id="168" w:name="_Toc454799715"/>
            <w:r w:rsidRPr="00FA3644">
              <w:rPr>
                <w:rFonts w:ascii="Times New Roman" w:hAnsi="Times New Roman"/>
                <w:noProof/>
              </w:rPr>
              <w:t>Febris haemorrhagica</w:t>
            </w:r>
            <w:bookmarkEnd w:id="164"/>
            <w:bookmarkEnd w:id="165"/>
            <w:bookmarkEnd w:id="166"/>
            <w:bookmarkEnd w:id="167"/>
            <w:bookmarkEnd w:id="168"/>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FA3644" w:rsidRDefault="00A131AD" w:rsidP="00FA3644">
            <w:pPr>
              <w:jc w:val="center"/>
              <w:rPr>
                <w:rFonts w:ascii="Times New Roman" w:hAnsi="Times New Roman"/>
                <w:noProof/>
              </w:rPr>
            </w:pPr>
            <w:bookmarkStart w:id="169" w:name="_Toc453328529"/>
            <w:bookmarkStart w:id="170" w:name="_Toc453917720"/>
            <w:bookmarkStart w:id="171" w:name="_Toc454797103"/>
            <w:bookmarkStart w:id="172" w:name="_Toc454797819"/>
            <w:bookmarkStart w:id="173" w:name="_Toc454799716"/>
            <w:r w:rsidRPr="00FA3644">
              <w:rPr>
                <w:rFonts w:ascii="Times New Roman" w:hAnsi="Times New Roman"/>
                <w:noProof/>
              </w:rPr>
              <w:t>5</w:t>
            </w:r>
            <w:bookmarkEnd w:id="169"/>
            <w:bookmarkEnd w:id="170"/>
            <w:bookmarkEnd w:id="171"/>
            <w:bookmarkEnd w:id="172"/>
            <w:bookmarkEnd w:id="173"/>
          </w:p>
        </w:tc>
        <w:tc>
          <w:tcPr>
            <w:tcW w:w="145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FA3644" w:rsidRDefault="00A131AD" w:rsidP="00FA3644">
            <w:pPr>
              <w:jc w:val="center"/>
              <w:rPr>
                <w:rFonts w:ascii="Times New Roman" w:hAnsi="Times New Roman"/>
                <w:noProof/>
              </w:rPr>
            </w:pPr>
            <w:bookmarkStart w:id="174" w:name="_Toc453328530"/>
            <w:bookmarkStart w:id="175" w:name="_Toc453917721"/>
            <w:bookmarkStart w:id="176" w:name="_Toc454797104"/>
            <w:bookmarkStart w:id="177" w:name="_Toc454797820"/>
            <w:bookmarkStart w:id="178" w:name="_Toc454799717"/>
            <w:r w:rsidRPr="00FA3644">
              <w:rPr>
                <w:rFonts w:ascii="Times New Roman" w:hAnsi="Times New Roman"/>
                <w:noProof/>
              </w:rPr>
              <w:t>0,21</w:t>
            </w:r>
            <w:bookmarkEnd w:id="174"/>
            <w:bookmarkEnd w:id="175"/>
            <w:bookmarkEnd w:id="176"/>
            <w:bookmarkEnd w:id="177"/>
            <w:bookmarkEnd w:id="178"/>
          </w:p>
        </w:tc>
        <w:tc>
          <w:tcPr>
            <w:tcW w:w="154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FA3644" w:rsidRDefault="00A131AD" w:rsidP="00FA3644">
            <w:pPr>
              <w:jc w:val="center"/>
              <w:rPr>
                <w:rFonts w:ascii="Times New Roman" w:hAnsi="Times New Roman"/>
                <w:noProof/>
              </w:rPr>
            </w:pPr>
            <w:bookmarkStart w:id="179" w:name="_Toc453328531"/>
            <w:bookmarkStart w:id="180" w:name="_Toc453917722"/>
            <w:bookmarkStart w:id="181" w:name="_Toc454797105"/>
            <w:bookmarkStart w:id="182" w:name="_Toc454797821"/>
            <w:bookmarkStart w:id="183" w:name="_Toc454799718"/>
            <w:r w:rsidRPr="00FA3644">
              <w:rPr>
                <w:rFonts w:ascii="Times New Roman" w:hAnsi="Times New Roman"/>
                <w:noProof/>
              </w:rPr>
              <w:t>85</w:t>
            </w:r>
            <w:bookmarkEnd w:id="179"/>
            <w:bookmarkEnd w:id="180"/>
            <w:bookmarkEnd w:id="181"/>
            <w:bookmarkEnd w:id="182"/>
            <w:bookmarkEnd w:id="183"/>
          </w:p>
        </w:tc>
        <w:tc>
          <w:tcPr>
            <w:tcW w:w="14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FA3644" w:rsidRDefault="00A131AD" w:rsidP="00FA3644">
            <w:pPr>
              <w:jc w:val="center"/>
              <w:rPr>
                <w:rFonts w:ascii="Times New Roman" w:hAnsi="Times New Roman"/>
                <w:noProof/>
              </w:rPr>
            </w:pPr>
            <w:bookmarkStart w:id="184" w:name="_Toc453328532"/>
            <w:bookmarkStart w:id="185" w:name="_Toc453917723"/>
            <w:bookmarkStart w:id="186" w:name="_Toc454797106"/>
            <w:bookmarkStart w:id="187" w:name="_Toc454797822"/>
            <w:bookmarkStart w:id="188" w:name="_Toc454799719"/>
            <w:r w:rsidRPr="00FA3644">
              <w:rPr>
                <w:rFonts w:ascii="Times New Roman" w:hAnsi="Times New Roman"/>
                <w:noProof/>
              </w:rPr>
              <w:t>3,64</w:t>
            </w:r>
            <w:bookmarkEnd w:id="184"/>
            <w:bookmarkEnd w:id="185"/>
            <w:bookmarkEnd w:id="186"/>
            <w:bookmarkEnd w:id="187"/>
            <w:bookmarkEnd w:id="188"/>
          </w:p>
        </w:tc>
      </w:tr>
      <w:tr w:rsidR="00600020" w:rsidRPr="00155F80" w:rsidTr="00FA3644">
        <w:trPr>
          <w:trHeight w:hRule="exact" w:val="312"/>
          <w:jc w:val="center"/>
        </w:trPr>
        <w:tc>
          <w:tcPr>
            <w:tcW w:w="29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FA3644" w:rsidRDefault="00A131AD" w:rsidP="00FA3644">
            <w:pPr>
              <w:rPr>
                <w:rFonts w:ascii="Times New Roman" w:hAnsi="Times New Roman"/>
                <w:noProof/>
              </w:rPr>
            </w:pPr>
            <w:r w:rsidRPr="00FA3644">
              <w:rPr>
                <w:rFonts w:ascii="Times New Roman" w:hAnsi="Times New Roman"/>
              </w:rPr>
              <w:t>Tetanus</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FA3644" w:rsidRDefault="00A131AD" w:rsidP="00FA3644">
            <w:pPr>
              <w:jc w:val="center"/>
              <w:rPr>
                <w:rFonts w:ascii="Times New Roman" w:hAnsi="Times New Roman"/>
                <w:noProof/>
              </w:rPr>
            </w:pPr>
            <w:bookmarkStart w:id="189" w:name="_Toc453328533"/>
            <w:bookmarkStart w:id="190" w:name="_Toc453917724"/>
            <w:bookmarkStart w:id="191" w:name="_Toc454797107"/>
            <w:bookmarkStart w:id="192" w:name="_Toc454797823"/>
            <w:bookmarkStart w:id="193" w:name="_Toc454799720"/>
            <w:r w:rsidRPr="00FA3644">
              <w:rPr>
                <w:rFonts w:ascii="Times New Roman" w:hAnsi="Times New Roman"/>
                <w:noProof/>
              </w:rPr>
              <w:t>0</w:t>
            </w:r>
            <w:bookmarkEnd w:id="189"/>
            <w:bookmarkEnd w:id="190"/>
            <w:bookmarkEnd w:id="191"/>
            <w:bookmarkEnd w:id="192"/>
            <w:bookmarkEnd w:id="193"/>
          </w:p>
        </w:tc>
        <w:tc>
          <w:tcPr>
            <w:tcW w:w="145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FA3644" w:rsidRDefault="00A131AD" w:rsidP="00FA3644">
            <w:pPr>
              <w:jc w:val="center"/>
              <w:rPr>
                <w:rFonts w:ascii="Times New Roman" w:hAnsi="Times New Roman"/>
                <w:noProof/>
              </w:rPr>
            </w:pPr>
            <w:bookmarkStart w:id="194" w:name="_Toc453328534"/>
            <w:bookmarkStart w:id="195" w:name="_Toc453917725"/>
            <w:bookmarkStart w:id="196" w:name="_Toc454797108"/>
            <w:bookmarkStart w:id="197" w:name="_Toc454797824"/>
            <w:bookmarkStart w:id="198" w:name="_Toc454799721"/>
            <w:r w:rsidRPr="00FA3644">
              <w:rPr>
                <w:rFonts w:ascii="Times New Roman" w:hAnsi="Times New Roman"/>
                <w:noProof/>
              </w:rPr>
              <w:t>0</w:t>
            </w:r>
            <w:bookmarkEnd w:id="194"/>
            <w:bookmarkEnd w:id="195"/>
            <w:bookmarkEnd w:id="196"/>
            <w:bookmarkEnd w:id="197"/>
            <w:bookmarkEnd w:id="198"/>
          </w:p>
        </w:tc>
        <w:tc>
          <w:tcPr>
            <w:tcW w:w="154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FA3644" w:rsidRDefault="00A131AD" w:rsidP="00FA3644">
            <w:pPr>
              <w:jc w:val="center"/>
              <w:rPr>
                <w:rFonts w:ascii="Times New Roman" w:hAnsi="Times New Roman"/>
                <w:noProof/>
              </w:rPr>
            </w:pPr>
            <w:bookmarkStart w:id="199" w:name="_Toc453328535"/>
            <w:bookmarkStart w:id="200" w:name="_Toc453917726"/>
            <w:bookmarkStart w:id="201" w:name="_Toc454797109"/>
            <w:bookmarkStart w:id="202" w:name="_Toc454797825"/>
            <w:bookmarkStart w:id="203" w:name="_Toc454799722"/>
            <w:r w:rsidRPr="00FA3644">
              <w:rPr>
                <w:rFonts w:ascii="Times New Roman" w:hAnsi="Times New Roman"/>
                <w:noProof/>
              </w:rPr>
              <w:t>1</w:t>
            </w:r>
            <w:bookmarkEnd w:id="199"/>
            <w:bookmarkEnd w:id="200"/>
            <w:bookmarkEnd w:id="201"/>
            <w:bookmarkEnd w:id="202"/>
            <w:bookmarkEnd w:id="203"/>
          </w:p>
        </w:tc>
        <w:tc>
          <w:tcPr>
            <w:tcW w:w="14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FA3644" w:rsidRDefault="00A131AD" w:rsidP="00FA3644">
            <w:pPr>
              <w:jc w:val="center"/>
              <w:rPr>
                <w:rFonts w:ascii="Times New Roman" w:hAnsi="Times New Roman"/>
                <w:noProof/>
              </w:rPr>
            </w:pPr>
            <w:bookmarkStart w:id="204" w:name="_Toc453328536"/>
            <w:bookmarkStart w:id="205" w:name="_Toc453917727"/>
            <w:bookmarkStart w:id="206" w:name="_Toc454797110"/>
            <w:bookmarkStart w:id="207" w:name="_Toc454797826"/>
            <w:bookmarkStart w:id="208" w:name="_Toc454799723"/>
            <w:r w:rsidRPr="00FA3644">
              <w:rPr>
                <w:rFonts w:ascii="Times New Roman" w:hAnsi="Times New Roman"/>
                <w:noProof/>
              </w:rPr>
              <w:t>0,04</w:t>
            </w:r>
            <w:bookmarkEnd w:id="204"/>
            <w:bookmarkEnd w:id="205"/>
            <w:bookmarkEnd w:id="206"/>
            <w:bookmarkEnd w:id="207"/>
            <w:bookmarkEnd w:id="208"/>
          </w:p>
        </w:tc>
      </w:tr>
      <w:tr w:rsidR="00600020" w:rsidRPr="00155F80" w:rsidTr="00FA3644">
        <w:trPr>
          <w:trHeight w:hRule="exact" w:val="312"/>
          <w:jc w:val="center"/>
        </w:trPr>
        <w:tc>
          <w:tcPr>
            <w:tcW w:w="29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FA3644" w:rsidRDefault="00A131AD" w:rsidP="00FA3644">
            <w:pPr>
              <w:rPr>
                <w:rFonts w:ascii="Times New Roman" w:hAnsi="Times New Roman"/>
                <w:noProof/>
              </w:rPr>
            </w:pPr>
            <w:r w:rsidRPr="00FA3644">
              <w:rPr>
                <w:rFonts w:ascii="Times New Roman" w:hAnsi="Times New Roman"/>
              </w:rPr>
              <w:t>Leishmaniasis</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FA3644" w:rsidRDefault="00A131AD" w:rsidP="00FA3644">
            <w:pPr>
              <w:jc w:val="center"/>
              <w:rPr>
                <w:rFonts w:ascii="Times New Roman" w:hAnsi="Times New Roman"/>
                <w:noProof/>
              </w:rPr>
            </w:pPr>
            <w:bookmarkStart w:id="209" w:name="_Toc453328537"/>
            <w:bookmarkStart w:id="210" w:name="_Toc453917728"/>
            <w:bookmarkStart w:id="211" w:name="_Toc454797111"/>
            <w:bookmarkStart w:id="212" w:name="_Toc454797827"/>
            <w:bookmarkStart w:id="213" w:name="_Toc454799724"/>
            <w:r w:rsidRPr="00FA3644">
              <w:rPr>
                <w:rFonts w:ascii="Times New Roman" w:hAnsi="Times New Roman"/>
                <w:noProof/>
              </w:rPr>
              <w:t>0</w:t>
            </w:r>
            <w:bookmarkEnd w:id="209"/>
            <w:bookmarkEnd w:id="210"/>
            <w:bookmarkEnd w:id="211"/>
            <w:bookmarkEnd w:id="212"/>
            <w:bookmarkEnd w:id="213"/>
          </w:p>
        </w:tc>
        <w:tc>
          <w:tcPr>
            <w:tcW w:w="145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FA3644" w:rsidRDefault="00A131AD" w:rsidP="00FA3644">
            <w:pPr>
              <w:jc w:val="center"/>
              <w:rPr>
                <w:rFonts w:ascii="Times New Roman" w:hAnsi="Times New Roman"/>
                <w:noProof/>
              </w:rPr>
            </w:pPr>
            <w:bookmarkStart w:id="214" w:name="_Toc453328538"/>
            <w:bookmarkStart w:id="215" w:name="_Toc453917729"/>
            <w:bookmarkStart w:id="216" w:name="_Toc454797112"/>
            <w:bookmarkStart w:id="217" w:name="_Toc454797828"/>
            <w:bookmarkStart w:id="218" w:name="_Toc454799725"/>
            <w:r w:rsidRPr="00FA3644">
              <w:rPr>
                <w:rFonts w:ascii="Times New Roman" w:hAnsi="Times New Roman"/>
                <w:noProof/>
              </w:rPr>
              <w:t>0</w:t>
            </w:r>
            <w:bookmarkEnd w:id="214"/>
            <w:bookmarkEnd w:id="215"/>
            <w:bookmarkEnd w:id="216"/>
            <w:bookmarkEnd w:id="217"/>
            <w:bookmarkEnd w:id="218"/>
          </w:p>
        </w:tc>
        <w:tc>
          <w:tcPr>
            <w:tcW w:w="154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FA3644" w:rsidRDefault="00A131AD" w:rsidP="00FA3644">
            <w:pPr>
              <w:jc w:val="center"/>
              <w:rPr>
                <w:rFonts w:ascii="Times New Roman" w:hAnsi="Times New Roman"/>
                <w:noProof/>
              </w:rPr>
            </w:pPr>
            <w:bookmarkStart w:id="219" w:name="_Toc453328539"/>
            <w:bookmarkStart w:id="220" w:name="_Toc453917730"/>
            <w:bookmarkStart w:id="221" w:name="_Toc454797113"/>
            <w:bookmarkStart w:id="222" w:name="_Toc454797829"/>
            <w:bookmarkStart w:id="223" w:name="_Toc454799726"/>
            <w:r w:rsidRPr="00FA3644">
              <w:rPr>
                <w:rFonts w:ascii="Times New Roman" w:hAnsi="Times New Roman"/>
                <w:noProof/>
              </w:rPr>
              <w:t>2</w:t>
            </w:r>
            <w:bookmarkEnd w:id="219"/>
            <w:bookmarkEnd w:id="220"/>
            <w:bookmarkEnd w:id="221"/>
            <w:bookmarkEnd w:id="222"/>
            <w:bookmarkEnd w:id="223"/>
          </w:p>
        </w:tc>
        <w:tc>
          <w:tcPr>
            <w:tcW w:w="14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FA3644" w:rsidRDefault="00A131AD" w:rsidP="00FA3644">
            <w:pPr>
              <w:jc w:val="center"/>
              <w:rPr>
                <w:rFonts w:ascii="Times New Roman" w:hAnsi="Times New Roman"/>
                <w:noProof/>
              </w:rPr>
            </w:pPr>
            <w:bookmarkStart w:id="224" w:name="_Toc453328540"/>
            <w:bookmarkStart w:id="225" w:name="_Toc453917731"/>
            <w:bookmarkStart w:id="226" w:name="_Toc454797114"/>
            <w:bookmarkStart w:id="227" w:name="_Toc454797830"/>
            <w:bookmarkStart w:id="228" w:name="_Toc454799727"/>
            <w:r w:rsidRPr="00FA3644">
              <w:rPr>
                <w:rFonts w:ascii="Times New Roman" w:hAnsi="Times New Roman"/>
                <w:noProof/>
              </w:rPr>
              <w:t>0,09</w:t>
            </w:r>
            <w:bookmarkEnd w:id="224"/>
            <w:bookmarkEnd w:id="225"/>
            <w:bookmarkEnd w:id="226"/>
            <w:bookmarkEnd w:id="227"/>
            <w:bookmarkEnd w:id="228"/>
          </w:p>
        </w:tc>
      </w:tr>
      <w:tr w:rsidR="00600020" w:rsidRPr="00155F80" w:rsidTr="00FA3644">
        <w:trPr>
          <w:trHeight w:hRule="exact" w:val="312"/>
          <w:jc w:val="center"/>
        </w:trPr>
        <w:tc>
          <w:tcPr>
            <w:tcW w:w="29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FA3644" w:rsidRDefault="00A131AD" w:rsidP="00FA3644">
            <w:pPr>
              <w:rPr>
                <w:rFonts w:ascii="Times New Roman" w:hAnsi="Times New Roman"/>
                <w:noProof/>
              </w:rPr>
            </w:pPr>
            <w:r w:rsidRPr="00FA3644">
              <w:rPr>
                <w:rFonts w:ascii="Times New Roman" w:hAnsi="Times New Roman"/>
              </w:rPr>
              <w:t>Tularemia</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FA3644" w:rsidRDefault="00A131AD" w:rsidP="00FA3644">
            <w:pPr>
              <w:jc w:val="center"/>
              <w:rPr>
                <w:rFonts w:ascii="Times New Roman" w:hAnsi="Times New Roman"/>
                <w:noProof/>
              </w:rPr>
            </w:pPr>
            <w:bookmarkStart w:id="229" w:name="_Toc453328541"/>
            <w:bookmarkStart w:id="230" w:name="_Toc453917732"/>
            <w:bookmarkStart w:id="231" w:name="_Toc454797115"/>
            <w:bookmarkStart w:id="232" w:name="_Toc454797831"/>
            <w:bookmarkStart w:id="233" w:name="_Toc454799728"/>
            <w:r w:rsidRPr="00FA3644">
              <w:rPr>
                <w:rFonts w:ascii="Times New Roman" w:hAnsi="Times New Roman"/>
                <w:noProof/>
              </w:rPr>
              <w:t>0</w:t>
            </w:r>
            <w:bookmarkEnd w:id="229"/>
            <w:bookmarkEnd w:id="230"/>
            <w:bookmarkEnd w:id="231"/>
            <w:bookmarkEnd w:id="232"/>
            <w:bookmarkEnd w:id="233"/>
          </w:p>
        </w:tc>
        <w:tc>
          <w:tcPr>
            <w:tcW w:w="145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FA3644" w:rsidRDefault="00A131AD" w:rsidP="00FA3644">
            <w:pPr>
              <w:jc w:val="center"/>
              <w:rPr>
                <w:rFonts w:ascii="Times New Roman" w:hAnsi="Times New Roman"/>
                <w:noProof/>
              </w:rPr>
            </w:pPr>
            <w:bookmarkStart w:id="234" w:name="_Toc453328542"/>
            <w:bookmarkStart w:id="235" w:name="_Toc453917733"/>
            <w:bookmarkStart w:id="236" w:name="_Toc454797116"/>
            <w:bookmarkStart w:id="237" w:name="_Toc454797832"/>
            <w:bookmarkStart w:id="238" w:name="_Toc454799729"/>
            <w:r w:rsidRPr="00FA3644">
              <w:rPr>
                <w:rFonts w:ascii="Times New Roman" w:hAnsi="Times New Roman"/>
                <w:noProof/>
              </w:rPr>
              <w:t>0</w:t>
            </w:r>
            <w:bookmarkEnd w:id="234"/>
            <w:bookmarkEnd w:id="235"/>
            <w:bookmarkEnd w:id="236"/>
            <w:bookmarkEnd w:id="237"/>
            <w:bookmarkEnd w:id="238"/>
          </w:p>
        </w:tc>
        <w:tc>
          <w:tcPr>
            <w:tcW w:w="154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FA3644" w:rsidRDefault="00A131AD" w:rsidP="00FA3644">
            <w:pPr>
              <w:jc w:val="center"/>
              <w:rPr>
                <w:rFonts w:ascii="Times New Roman" w:hAnsi="Times New Roman"/>
                <w:noProof/>
              </w:rPr>
            </w:pPr>
            <w:bookmarkStart w:id="239" w:name="_Toc453328543"/>
            <w:bookmarkStart w:id="240" w:name="_Toc453917734"/>
            <w:bookmarkStart w:id="241" w:name="_Toc454797117"/>
            <w:bookmarkStart w:id="242" w:name="_Toc454797833"/>
            <w:bookmarkStart w:id="243" w:name="_Toc454799730"/>
            <w:r w:rsidRPr="00FA3644">
              <w:rPr>
                <w:rFonts w:ascii="Times New Roman" w:hAnsi="Times New Roman"/>
                <w:noProof/>
              </w:rPr>
              <w:t>1</w:t>
            </w:r>
            <w:bookmarkEnd w:id="239"/>
            <w:bookmarkEnd w:id="240"/>
            <w:bookmarkEnd w:id="241"/>
            <w:bookmarkEnd w:id="242"/>
            <w:bookmarkEnd w:id="243"/>
          </w:p>
        </w:tc>
        <w:tc>
          <w:tcPr>
            <w:tcW w:w="14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FA3644" w:rsidRDefault="00A131AD" w:rsidP="00FA3644">
            <w:pPr>
              <w:jc w:val="center"/>
              <w:rPr>
                <w:rFonts w:ascii="Times New Roman" w:hAnsi="Times New Roman"/>
                <w:noProof/>
              </w:rPr>
            </w:pPr>
            <w:bookmarkStart w:id="244" w:name="_Toc453328544"/>
            <w:bookmarkStart w:id="245" w:name="_Toc453917735"/>
            <w:bookmarkStart w:id="246" w:name="_Toc454797118"/>
            <w:bookmarkStart w:id="247" w:name="_Toc454797834"/>
            <w:bookmarkStart w:id="248" w:name="_Toc454799731"/>
            <w:r w:rsidRPr="00FA3644">
              <w:rPr>
                <w:rFonts w:ascii="Times New Roman" w:hAnsi="Times New Roman"/>
                <w:noProof/>
              </w:rPr>
              <w:t>0,04</w:t>
            </w:r>
            <w:bookmarkEnd w:id="244"/>
            <w:bookmarkEnd w:id="245"/>
            <w:bookmarkEnd w:id="246"/>
            <w:bookmarkEnd w:id="247"/>
            <w:bookmarkEnd w:id="248"/>
          </w:p>
        </w:tc>
      </w:tr>
      <w:tr w:rsidR="00600020" w:rsidRPr="00155F80" w:rsidTr="00FA3644">
        <w:trPr>
          <w:trHeight w:hRule="exact" w:val="312"/>
          <w:jc w:val="center"/>
        </w:trPr>
        <w:tc>
          <w:tcPr>
            <w:tcW w:w="29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FA3644" w:rsidRDefault="00A131AD" w:rsidP="00FA3644">
            <w:pPr>
              <w:rPr>
                <w:rFonts w:ascii="Times New Roman" w:hAnsi="Times New Roman"/>
                <w:noProof/>
              </w:rPr>
            </w:pPr>
            <w:r w:rsidRPr="00FA3644">
              <w:rPr>
                <w:rFonts w:ascii="Times New Roman" w:hAnsi="Times New Roman"/>
              </w:rPr>
              <w:t>Trichinellosis</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FA3644" w:rsidRDefault="00A131AD" w:rsidP="00FA3644">
            <w:pPr>
              <w:jc w:val="center"/>
              <w:rPr>
                <w:rFonts w:ascii="Times New Roman" w:hAnsi="Times New Roman"/>
                <w:noProof/>
              </w:rPr>
            </w:pPr>
            <w:bookmarkStart w:id="249" w:name="_Toc453328545"/>
            <w:bookmarkStart w:id="250" w:name="_Toc453917736"/>
            <w:bookmarkStart w:id="251" w:name="_Toc454797119"/>
            <w:bookmarkStart w:id="252" w:name="_Toc454797835"/>
            <w:bookmarkStart w:id="253" w:name="_Toc454799732"/>
            <w:r w:rsidRPr="00FA3644">
              <w:rPr>
                <w:rFonts w:ascii="Times New Roman" w:hAnsi="Times New Roman"/>
                <w:noProof/>
              </w:rPr>
              <w:t>0</w:t>
            </w:r>
            <w:bookmarkEnd w:id="249"/>
            <w:bookmarkEnd w:id="250"/>
            <w:bookmarkEnd w:id="251"/>
            <w:bookmarkEnd w:id="252"/>
            <w:bookmarkEnd w:id="253"/>
          </w:p>
        </w:tc>
        <w:tc>
          <w:tcPr>
            <w:tcW w:w="145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FA3644" w:rsidRDefault="00A131AD" w:rsidP="00FA3644">
            <w:pPr>
              <w:jc w:val="center"/>
              <w:rPr>
                <w:rFonts w:ascii="Times New Roman" w:hAnsi="Times New Roman"/>
                <w:noProof/>
              </w:rPr>
            </w:pPr>
            <w:bookmarkStart w:id="254" w:name="_Toc453328546"/>
            <w:bookmarkStart w:id="255" w:name="_Toc453917737"/>
            <w:bookmarkStart w:id="256" w:name="_Toc454797120"/>
            <w:bookmarkStart w:id="257" w:name="_Toc454797836"/>
            <w:bookmarkStart w:id="258" w:name="_Toc454799733"/>
            <w:r w:rsidRPr="00FA3644">
              <w:rPr>
                <w:rFonts w:ascii="Times New Roman" w:hAnsi="Times New Roman"/>
                <w:noProof/>
              </w:rPr>
              <w:t>0</w:t>
            </w:r>
            <w:bookmarkEnd w:id="254"/>
            <w:bookmarkEnd w:id="255"/>
            <w:bookmarkEnd w:id="256"/>
            <w:bookmarkEnd w:id="257"/>
            <w:bookmarkEnd w:id="258"/>
          </w:p>
        </w:tc>
        <w:tc>
          <w:tcPr>
            <w:tcW w:w="154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FA3644" w:rsidRDefault="00A131AD" w:rsidP="00FA3644">
            <w:pPr>
              <w:jc w:val="center"/>
              <w:rPr>
                <w:rFonts w:ascii="Times New Roman" w:hAnsi="Times New Roman"/>
                <w:noProof/>
              </w:rPr>
            </w:pPr>
            <w:bookmarkStart w:id="259" w:name="_Toc453328547"/>
            <w:bookmarkStart w:id="260" w:name="_Toc453917738"/>
            <w:bookmarkStart w:id="261" w:name="_Toc454797121"/>
            <w:bookmarkStart w:id="262" w:name="_Toc454797837"/>
            <w:bookmarkStart w:id="263" w:name="_Toc454799734"/>
            <w:r w:rsidRPr="00FA3644">
              <w:rPr>
                <w:rFonts w:ascii="Times New Roman" w:hAnsi="Times New Roman"/>
                <w:noProof/>
              </w:rPr>
              <w:t>6</w:t>
            </w:r>
            <w:bookmarkEnd w:id="259"/>
            <w:bookmarkEnd w:id="260"/>
            <w:bookmarkEnd w:id="261"/>
            <w:bookmarkEnd w:id="262"/>
            <w:bookmarkEnd w:id="263"/>
          </w:p>
        </w:tc>
        <w:tc>
          <w:tcPr>
            <w:tcW w:w="144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FA3644" w:rsidRDefault="00A131AD" w:rsidP="00FA3644">
            <w:pPr>
              <w:jc w:val="center"/>
              <w:rPr>
                <w:rFonts w:ascii="Times New Roman" w:hAnsi="Times New Roman"/>
                <w:noProof/>
              </w:rPr>
            </w:pPr>
            <w:bookmarkStart w:id="264" w:name="_Toc453328548"/>
            <w:bookmarkStart w:id="265" w:name="_Toc453917739"/>
            <w:bookmarkStart w:id="266" w:name="_Toc454797122"/>
            <w:bookmarkStart w:id="267" w:name="_Toc454797838"/>
            <w:bookmarkStart w:id="268" w:name="_Toc454799735"/>
            <w:r w:rsidRPr="00FA3644">
              <w:rPr>
                <w:rFonts w:ascii="Times New Roman" w:hAnsi="Times New Roman"/>
                <w:noProof/>
              </w:rPr>
              <w:t>0,26</w:t>
            </w:r>
            <w:bookmarkEnd w:id="264"/>
            <w:bookmarkEnd w:id="265"/>
            <w:bookmarkEnd w:id="266"/>
            <w:bookmarkEnd w:id="267"/>
            <w:bookmarkEnd w:id="268"/>
          </w:p>
        </w:tc>
      </w:tr>
    </w:tbl>
    <w:p w:rsidR="00A131AD" w:rsidRPr="00155F80" w:rsidRDefault="00A131AD" w:rsidP="000C0138">
      <w:pPr>
        <w:pStyle w:val="Tekst0"/>
        <w:spacing w:before="0" w:line="276" w:lineRule="auto"/>
        <w:outlineLvl w:val="0"/>
        <w:rPr>
          <w:b/>
          <w:sz w:val="22"/>
          <w:szCs w:val="22"/>
        </w:rPr>
      </w:pPr>
    </w:p>
    <w:p w:rsidR="00A131AD" w:rsidRPr="00155F80" w:rsidRDefault="00A131AD" w:rsidP="000C0138">
      <w:pPr>
        <w:spacing w:line="276" w:lineRule="auto"/>
        <w:rPr>
          <w:rFonts w:ascii="Times New Roman" w:hAnsi="Times New Roman"/>
          <w:b/>
          <w:lang w:val="bs-Latn-BA" w:eastAsia="ja-JP"/>
        </w:rPr>
      </w:pPr>
      <w:bookmarkStart w:id="269" w:name="_Toc104101032"/>
      <w:bookmarkStart w:id="270" w:name="_Toc169495012"/>
    </w:p>
    <w:p w:rsidR="00A131AD" w:rsidRPr="00EA6011" w:rsidRDefault="00A131AD" w:rsidP="00EA6011">
      <w:pPr>
        <w:rPr>
          <w:rFonts w:ascii="Times New Roman" w:hAnsi="Times New Roman"/>
          <w:b/>
          <w:lang w:val="bs-Latn-BA" w:eastAsia="ja-JP"/>
        </w:rPr>
      </w:pPr>
      <w:r w:rsidRPr="003819E7">
        <w:t xml:space="preserve"> </w:t>
      </w:r>
      <w:bookmarkStart w:id="271" w:name="_Toc453328549"/>
      <w:bookmarkStart w:id="272" w:name="_Toc453917740"/>
      <w:bookmarkStart w:id="273" w:name="_Toc454797839"/>
      <w:bookmarkStart w:id="274" w:name="_Toc454799736"/>
      <w:r w:rsidRPr="00EA6011">
        <w:rPr>
          <w:rFonts w:ascii="Times New Roman" w:hAnsi="Times New Roman"/>
          <w:b/>
        </w:rPr>
        <w:t>EPIDEMIJE ZARAZNIH BOLESTI</w:t>
      </w:r>
      <w:bookmarkEnd w:id="271"/>
      <w:bookmarkEnd w:id="272"/>
      <w:bookmarkEnd w:id="273"/>
      <w:bookmarkEnd w:id="274"/>
    </w:p>
    <w:p w:rsidR="00A131AD" w:rsidRPr="00155F80" w:rsidRDefault="00A131AD" w:rsidP="000C0138">
      <w:pPr>
        <w:pStyle w:val="Heading2"/>
        <w:spacing w:line="276" w:lineRule="auto"/>
        <w:rPr>
          <w:rFonts w:ascii="Times New Roman" w:hAnsi="Times New Roman" w:cs="Times New Roman"/>
          <w:sz w:val="22"/>
          <w:szCs w:val="22"/>
        </w:rPr>
      </w:pPr>
      <w:r w:rsidRPr="00155F80">
        <w:rPr>
          <w:rFonts w:ascii="Times New Roman" w:hAnsi="Times New Roman" w:cs="Times New Roman"/>
          <w:sz w:val="22"/>
          <w:szCs w:val="22"/>
        </w:rPr>
        <w:t xml:space="preserve"> </w:t>
      </w:r>
      <w:bookmarkEnd w:id="269"/>
      <w:bookmarkEnd w:id="270"/>
    </w:p>
    <w:p w:rsidR="00A131AD" w:rsidRPr="00EA6011" w:rsidRDefault="00CA5BC1" w:rsidP="00EA6011">
      <w:pPr>
        <w:spacing w:line="276" w:lineRule="auto"/>
        <w:rPr>
          <w:rFonts w:ascii="Times New Roman" w:hAnsi="Times New Roman"/>
        </w:rPr>
      </w:pPr>
      <w:bookmarkStart w:id="275" w:name="_Toc453328550"/>
      <w:bookmarkStart w:id="276" w:name="_Toc453917741"/>
      <w:bookmarkStart w:id="277" w:name="_Toc454797124"/>
      <w:bookmarkStart w:id="278" w:name="_Toc454797840"/>
      <w:bookmarkStart w:id="279" w:name="_Toc454799737"/>
      <w:r w:rsidRPr="00EA6011">
        <w:rPr>
          <w:rFonts w:ascii="Times New Roman" w:hAnsi="Times New Roman"/>
          <w:iCs/>
          <w:lang w:val="bs-Latn-BA"/>
        </w:rPr>
        <w:t>T</w:t>
      </w:r>
      <w:r w:rsidR="00C861DA">
        <w:rPr>
          <w:rFonts w:ascii="Times New Roman" w:hAnsi="Times New Roman"/>
          <w:iCs/>
          <w:lang w:val="bs-Latn-BA"/>
        </w:rPr>
        <w:t>ije</w:t>
      </w:r>
      <w:r w:rsidRPr="00EA6011">
        <w:rPr>
          <w:rFonts w:ascii="Times New Roman" w:hAnsi="Times New Roman"/>
          <w:iCs/>
          <w:lang w:val="bs-Latn-BA"/>
        </w:rPr>
        <w:t xml:space="preserve">kom </w:t>
      </w:r>
      <w:r w:rsidR="00A131AD" w:rsidRPr="00EA6011">
        <w:rPr>
          <w:rFonts w:ascii="Times New Roman" w:hAnsi="Times New Roman"/>
          <w:iCs/>
          <w:lang w:val="bs-Latn-BA"/>
        </w:rPr>
        <w:t xml:space="preserve">2015. </w:t>
      </w:r>
      <w:r w:rsidRPr="00EA6011">
        <w:rPr>
          <w:rFonts w:ascii="Times New Roman" w:hAnsi="Times New Roman"/>
          <w:iCs/>
          <w:lang w:val="pl-PL"/>
        </w:rPr>
        <w:t>godine</w:t>
      </w:r>
      <w:r w:rsidR="00A131AD" w:rsidRPr="00EA6011">
        <w:rPr>
          <w:rFonts w:ascii="Times New Roman" w:hAnsi="Times New Roman"/>
          <w:iCs/>
          <w:lang w:val="bs-Latn-BA"/>
        </w:rPr>
        <w:t xml:space="preserve"> </w:t>
      </w:r>
      <w:r w:rsidR="00A131AD" w:rsidRPr="00EA6011">
        <w:rPr>
          <w:rFonts w:ascii="Times New Roman" w:hAnsi="Times New Roman"/>
          <w:iCs/>
          <w:lang w:val="pl-PL"/>
        </w:rPr>
        <w:t>prijavljeno</w:t>
      </w:r>
      <w:r w:rsidR="00A131AD" w:rsidRPr="00EA6011">
        <w:rPr>
          <w:rFonts w:ascii="Times New Roman" w:hAnsi="Times New Roman"/>
          <w:iCs/>
          <w:lang w:val="bs-Latn-BA"/>
        </w:rPr>
        <w:t xml:space="preserve"> </w:t>
      </w:r>
      <w:r w:rsidR="00A131AD" w:rsidRPr="00EA6011">
        <w:rPr>
          <w:rFonts w:ascii="Times New Roman" w:hAnsi="Times New Roman"/>
          <w:iCs/>
          <w:lang w:val="pl-PL"/>
        </w:rPr>
        <w:t>je</w:t>
      </w:r>
      <w:r w:rsidR="00A131AD" w:rsidRPr="00EA6011">
        <w:rPr>
          <w:rFonts w:ascii="Times New Roman" w:hAnsi="Times New Roman"/>
          <w:iCs/>
          <w:lang w:val="bs-Latn-BA"/>
        </w:rPr>
        <w:t xml:space="preserve"> 5 </w:t>
      </w:r>
      <w:r w:rsidR="00A131AD" w:rsidRPr="00EA6011">
        <w:rPr>
          <w:rFonts w:ascii="Times New Roman" w:hAnsi="Times New Roman"/>
          <w:iCs/>
          <w:lang w:val="pl-PL"/>
        </w:rPr>
        <w:t>epidemija</w:t>
      </w:r>
      <w:r w:rsidR="00A131AD" w:rsidRPr="00EA6011">
        <w:rPr>
          <w:rFonts w:ascii="Times New Roman" w:hAnsi="Times New Roman"/>
          <w:iCs/>
          <w:lang w:val="bs-Latn-BA"/>
        </w:rPr>
        <w:t xml:space="preserve"> </w:t>
      </w:r>
      <w:r w:rsidR="00A131AD" w:rsidRPr="00EA6011">
        <w:rPr>
          <w:rFonts w:ascii="Times New Roman" w:hAnsi="Times New Roman"/>
          <w:iCs/>
          <w:lang w:val="pl-PL"/>
        </w:rPr>
        <w:t>zaraznih</w:t>
      </w:r>
      <w:r w:rsidR="00A131AD" w:rsidRPr="00EA6011">
        <w:rPr>
          <w:rFonts w:ascii="Times New Roman" w:hAnsi="Times New Roman"/>
          <w:iCs/>
          <w:lang w:val="bs-Latn-BA"/>
        </w:rPr>
        <w:t xml:space="preserve"> </w:t>
      </w:r>
      <w:r w:rsidR="00A131AD" w:rsidRPr="00EA6011">
        <w:rPr>
          <w:rFonts w:ascii="Times New Roman" w:hAnsi="Times New Roman"/>
          <w:iCs/>
          <w:lang w:val="pl-PL"/>
        </w:rPr>
        <w:t>bolesti</w:t>
      </w:r>
      <w:r w:rsidR="00A131AD" w:rsidRPr="00EA6011">
        <w:rPr>
          <w:rFonts w:ascii="Times New Roman" w:hAnsi="Times New Roman"/>
          <w:iCs/>
          <w:lang w:val="bs-Latn-BA"/>
        </w:rPr>
        <w:t xml:space="preserve"> </w:t>
      </w:r>
      <w:r w:rsidR="00A131AD" w:rsidRPr="00EA6011">
        <w:rPr>
          <w:rFonts w:ascii="Times New Roman" w:hAnsi="Times New Roman"/>
          <w:iCs/>
          <w:lang w:val="pl-PL"/>
        </w:rPr>
        <w:t>s</w:t>
      </w:r>
      <w:r w:rsidR="00A131AD" w:rsidRPr="00EA6011">
        <w:rPr>
          <w:rFonts w:ascii="Times New Roman" w:hAnsi="Times New Roman"/>
          <w:iCs/>
          <w:lang w:val="bs-Latn-BA"/>
        </w:rPr>
        <w:t xml:space="preserve"> </w:t>
      </w:r>
      <w:r w:rsidR="00A131AD" w:rsidRPr="00EA6011">
        <w:rPr>
          <w:rFonts w:ascii="Times New Roman" w:hAnsi="Times New Roman"/>
          <w:iCs/>
          <w:lang w:val="pl-PL"/>
        </w:rPr>
        <w:t>ukupno</w:t>
      </w:r>
      <w:r w:rsidR="00A131AD" w:rsidRPr="00EA6011">
        <w:rPr>
          <w:rFonts w:ascii="Times New Roman" w:hAnsi="Times New Roman"/>
          <w:iCs/>
          <w:lang w:val="bs-Latn-BA"/>
        </w:rPr>
        <w:t xml:space="preserve"> 473 </w:t>
      </w:r>
      <w:r w:rsidR="00A131AD" w:rsidRPr="00EA6011">
        <w:rPr>
          <w:rFonts w:ascii="Times New Roman" w:hAnsi="Times New Roman"/>
          <w:iCs/>
          <w:lang w:val="pl-PL"/>
        </w:rPr>
        <w:t>oboljele</w:t>
      </w:r>
      <w:r w:rsidR="00A131AD" w:rsidRPr="00EA6011">
        <w:rPr>
          <w:rFonts w:ascii="Times New Roman" w:hAnsi="Times New Roman"/>
          <w:iCs/>
          <w:lang w:val="bs-Latn-BA"/>
        </w:rPr>
        <w:t xml:space="preserve"> </w:t>
      </w:r>
      <w:r w:rsidR="00A131AD" w:rsidRPr="00EA6011">
        <w:rPr>
          <w:rFonts w:ascii="Times New Roman" w:hAnsi="Times New Roman"/>
          <w:iCs/>
          <w:lang w:val="pl-PL"/>
        </w:rPr>
        <w:t>osobe</w:t>
      </w:r>
      <w:r w:rsidR="00A131AD" w:rsidRPr="00EA6011">
        <w:rPr>
          <w:rFonts w:ascii="Times New Roman" w:hAnsi="Times New Roman"/>
          <w:iCs/>
          <w:lang w:val="bs-Latn-BA"/>
        </w:rPr>
        <w:t xml:space="preserve">. </w:t>
      </w:r>
      <w:r w:rsidR="00A131AD" w:rsidRPr="00EA6011">
        <w:rPr>
          <w:rFonts w:ascii="Times New Roman" w:hAnsi="Times New Roman"/>
        </w:rPr>
        <w:t xml:space="preserve">Najveći broj oboljelih je registriran u epidemiji salmoneloze s ukupno 249 oboljelih. Epidemija je prijavljena u </w:t>
      </w:r>
      <w:r w:rsidR="00A131AD" w:rsidRPr="00EA6011">
        <w:rPr>
          <w:rFonts w:ascii="Times New Roman" w:hAnsi="Times New Roman"/>
        </w:rPr>
        <w:lastRenderedPageBreak/>
        <w:t>vrtiću JU Djeca Sarajeva, gdje je kao uzročnik izolirana Salmonella enteritidis, a kao izvor infekcije navodi se hrana-</w:t>
      </w:r>
      <w:r w:rsidR="00C651BA">
        <w:rPr>
          <w:rFonts w:ascii="Times New Roman" w:hAnsi="Times New Roman"/>
        </w:rPr>
        <w:t>kiselo vrhnje</w:t>
      </w:r>
      <w:r w:rsidR="00A131AD" w:rsidRPr="00EA6011">
        <w:rPr>
          <w:rFonts w:ascii="Times New Roman" w:hAnsi="Times New Roman"/>
        </w:rPr>
        <w:t xml:space="preserve">. Kao nosokomijalna infekcija, prijavljena je epidemija gripe na Klinici za hematologiju KUC Sarajevo, gdje je oboljelo 11 osoba. Izvor infekcije nije utvrđen, a </w:t>
      </w:r>
      <w:r w:rsidR="008A7130">
        <w:rPr>
          <w:rFonts w:ascii="Times New Roman" w:hAnsi="Times New Roman"/>
        </w:rPr>
        <w:t>cjepni</w:t>
      </w:r>
      <w:r w:rsidR="00A131AD" w:rsidRPr="00EA6011">
        <w:rPr>
          <w:rFonts w:ascii="Times New Roman" w:hAnsi="Times New Roman"/>
        </w:rPr>
        <w:t xml:space="preserve"> status uposlenika nije poznat.</w:t>
      </w:r>
      <w:bookmarkEnd w:id="275"/>
      <w:bookmarkEnd w:id="276"/>
      <w:bookmarkEnd w:id="277"/>
      <w:bookmarkEnd w:id="278"/>
      <w:bookmarkEnd w:id="279"/>
      <w:r w:rsidR="00A131AD" w:rsidRPr="00EA6011">
        <w:rPr>
          <w:rFonts w:ascii="Times New Roman" w:hAnsi="Times New Roman"/>
        </w:rPr>
        <w:t xml:space="preserve"> </w:t>
      </w:r>
    </w:p>
    <w:p w:rsidR="00A131AD" w:rsidRPr="00155F80" w:rsidRDefault="00A131AD" w:rsidP="000C0138">
      <w:pPr>
        <w:spacing w:line="276" w:lineRule="auto"/>
        <w:rPr>
          <w:rFonts w:ascii="Times New Roman" w:hAnsi="Times New Roman"/>
          <w:iCs/>
          <w:lang w:val="bs-Latn-BA"/>
        </w:rPr>
      </w:pPr>
      <w:r w:rsidRPr="00155F80">
        <w:rPr>
          <w:rFonts w:ascii="Times New Roman" w:hAnsi="Times New Roman"/>
          <w:iCs/>
          <w:lang w:val="pl-PL"/>
        </w:rPr>
        <w:t>U</w:t>
      </w:r>
      <w:r w:rsidRPr="00155F80">
        <w:rPr>
          <w:rFonts w:ascii="Times New Roman" w:hAnsi="Times New Roman"/>
          <w:iCs/>
          <w:lang w:val="bs-Latn-BA"/>
        </w:rPr>
        <w:t xml:space="preserve"> </w:t>
      </w:r>
      <w:r w:rsidRPr="00155F80">
        <w:rPr>
          <w:rFonts w:ascii="Times New Roman" w:hAnsi="Times New Roman"/>
          <w:iCs/>
          <w:lang w:val="pl-PL"/>
        </w:rPr>
        <w:t>posljednjem</w:t>
      </w:r>
      <w:r w:rsidRPr="00155F80">
        <w:rPr>
          <w:rFonts w:ascii="Times New Roman" w:hAnsi="Times New Roman"/>
          <w:iCs/>
          <w:lang w:val="bs-Latn-BA"/>
        </w:rPr>
        <w:t xml:space="preserve"> </w:t>
      </w:r>
      <w:r w:rsidRPr="00155F80">
        <w:rPr>
          <w:rFonts w:ascii="Times New Roman" w:hAnsi="Times New Roman"/>
          <w:iCs/>
          <w:lang w:val="pl-PL"/>
        </w:rPr>
        <w:t>petogodi</w:t>
      </w:r>
      <w:r w:rsidRPr="00155F80">
        <w:rPr>
          <w:rFonts w:ascii="Times New Roman" w:hAnsi="Times New Roman"/>
          <w:iCs/>
          <w:lang w:val="bs-Latn-BA"/>
        </w:rPr>
        <w:t>š</w:t>
      </w:r>
      <w:r w:rsidRPr="00155F80">
        <w:rPr>
          <w:rFonts w:ascii="Times New Roman" w:hAnsi="Times New Roman"/>
          <w:iCs/>
          <w:lang w:val="pl-PL"/>
        </w:rPr>
        <w:t>njem</w:t>
      </w:r>
      <w:r w:rsidRPr="00155F80">
        <w:rPr>
          <w:rFonts w:ascii="Times New Roman" w:hAnsi="Times New Roman"/>
          <w:iCs/>
          <w:lang w:val="bs-Latn-BA"/>
        </w:rPr>
        <w:t xml:space="preserve"> </w:t>
      </w:r>
      <w:r w:rsidRPr="00155F80">
        <w:rPr>
          <w:rFonts w:ascii="Times New Roman" w:hAnsi="Times New Roman"/>
          <w:iCs/>
          <w:lang w:val="pl-PL"/>
        </w:rPr>
        <w:t>razdoblju</w:t>
      </w:r>
      <w:r w:rsidRPr="00155F80">
        <w:rPr>
          <w:rFonts w:ascii="Times New Roman" w:hAnsi="Times New Roman"/>
          <w:iCs/>
          <w:lang w:val="bs-Latn-BA"/>
        </w:rPr>
        <w:t xml:space="preserve">, </w:t>
      </w:r>
      <w:r w:rsidRPr="00155F80">
        <w:rPr>
          <w:rFonts w:ascii="Times New Roman" w:hAnsi="Times New Roman"/>
          <w:iCs/>
          <w:lang w:val="pl-PL"/>
        </w:rPr>
        <w:t>najvi</w:t>
      </w:r>
      <w:r w:rsidRPr="00155F80">
        <w:rPr>
          <w:rFonts w:ascii="Times New Roman" w:hAnsi="Times New Roman"/>
          <w:iCs/>
          <w:lang w:val="bs-Latn-BA"/>
        </w:rPr>
        <w:t>š</w:t>
      </w:r>
      <w:r w:rsidRPr="00155F80">
        <w:rPr>
          <w:rFonts w:ascii="Times New Roman" w:hAnsi="Times New Roman"/>
          <w:iCs/>
          <w:lang w:val="pl-PL"/>
        </w:rPr>
        <w:t>e</w:t>
      </w:r>
      <w:r w:rsidRPr="00155F80">
        <w:rPr>
          <w:rFonts w:ascii="Times New Roman" w:hAnsi="Times New Roman"/>
          <w:iCs/>
          <w:lang w:val="bs-Latn-BA"/>
        </w:rPr>
        <w:t xml:space="preserve"> </w:t>
      </w:r>
      <w:r w:rsidRPr="00155F80">
        <w:rPr>
          <w:rFonts w:ascii="Times New Roman" w:hAnsi="Times New Roman"/>
          <w:iCs/>
          <w:lang w:val="pl-PL"/>
        </w:rPr>
        <w:t>epidemija</w:t>
      </w:r>
      <w:r w:rsidRPr="00155F80">
        <w:rPr>
          <w:rFonts w:ascii="Times New Roman" w:hAnsi="Times New Roman"/>
          <w:iCs/>
          <w:lang w:val="bs-Latn-BA"/>
        </w:rPr>
        <w:t xml:space="preserve"> </w:t>
      </w:r>
      <w:r w:rsidRPr="00155F80">
        <w:rPr>
          <w:rFonts w:ascii="Times New Roman" w:hAnsi="Times New Roman"/>
          <w:iCs/>
          <w:lang w:val="pl-PL"/>
        </w:rPr>
        <w:t>je</w:t>
      </w:r>
      <w:r w:rsidRPr="00155F80">
        <w:rPr>
          <w:rFonts w:ascii="Times New Roman" w:hAnsi="Times New Roman"/>
          <w:iCs/>
          <w:lang w:val="bs-Latn-BA"/>
        </w:rPr>
        <w:t xml:space="preserve"> </w:t>
      </w:r>
      <w:r w:rsidRPr="00155F80">
        <w:rPr>
          <w:rFonts w:ascii="Times New Roman" w:hAnsi="Times New Roman"/>
          <w:iCs/>
          <w:lang w:val="pl-PL"/>
        </w:rPr>
        <w:t>prijavljeno</w:t>
      </w:r>
      <w:r w:rsidRPr="00155F80">
        <w:rPr>
          <w:rFonts w:ascii="Times New Roman" w:hAnsi="Times New Roman"/>
          <w:iCs/>
          <w:lang w:val="bs-Latn-BA"/>
        </w:rPr>
        <w:t xml:space="preserve"> 2010. </w:t>
      </w:r>
      <w:r w:rsidRPr="00155F80">
        <w:rPr>
          <w:rFonts w:ascii="Times New Roman" w:hAnsi="Times New Roman"/>
          <w:iCs/>
          <w:lang w:val="pl-PL"/>
        </w:rPr>
        <w:t>godine</w:t>
      </w:r>
      <w:r w:rsidRPr="00155F80">
        <w:rPr>
          <w:rFonts w:ascii="Times New Roman" w:hAnsi="Times New Roman"/>
          <w:iCs/>
          <w:lang w:val="bs-Latn-BA"/>
        </w:rPr>
        <w:t xml:space="preserve"> (11 </w:t>
      </w:r>
      <w:r w:rsidRPr="00155F80">
        <w:rPr>
          <w:rFonts w:ascii="Times New Roman" w:hAnsi="Times New Roman"/>
          <w:iCs/>
          <w:lang w:val="pl-PL"/>
        </w:rPr>
        <w:t>epidemija</w:t>
      </w:r>
      <w:r w:rsidRPr="00155F80">
        <w:rPr>
          <w:rFonts w:ascii="Times New Roman" w:hAnsi="Times New Roman"/>
          <w:iCs/>
          <w:lang w:val="bs-Latn-BA"/>
        </w:rPr>
        <w:t xml:space="preserve">), </w:t>
      </w:r>
      <w:r w:rsidRPr="00155F80">
        <w:rPr>
          <w:rFonts w:ascii="Times New Roman" w:hAnsi="Times New Roman"/>
          <w:iCs/>
          <w:lang w:val="pl-PL"/>
        </w:rPr>
        <w:t>a</w:t>
      </w:r>
      <w:r w:rsidRPr="00155F80">
        <w:rPr>
          <w:rFonts w:ascii="Times New Roman" w:hAnsi="Times New Roman"/>
          <w:iCs/>
          <w:lang w:val="bs-Latn-BA"/>
        </w:rPr>
        <w:t xml:space="preserve"> </w:t>
      </w:r>
      <w:r w:rsidRPr="00155F80">
        <w:rPr>
          <w:rFonts w:ascii="Times New Roman" w:hAnsi="Times New Roman"/>
          <w:iCs/>
          <w:lang w:val="pl-PL"/>
        </w:rPr>
        <w:t>najve</w:t>
      </w:r>
      <w:r w:rsidRPr="00155F80">
        <w:rPr>
          <w:rFonts w:ascii="Times New Roman" w:hAnsi="Times New Roman"/>
          <w:iCs/>
          <w:lang w:val="bs-Latn-BA"/>
        </w:rPr>
        <w:t>ć</w:t>
      </w:r>
      <w:r w:rsidRPr="00155F80">
        <w:rPr>
          <w:rFonts w:ascii="Times New Roman" w:hAnsi="Times New Roman"/>
          <w:iCs/>
          <w:lang w:val="pl-PL"/>
        </w:rPr>
        <w:t>i</w:t>
      </w:r>
      <w:r w:rsidRPr="00155F80">
        <w:rPr>
          <w:rFonts w:ascii="Times New Roman" w:hAnsi="Times New Roman"/>
          <w:iCs/>
          <w:lang w:val="bs-Latn-BA"/>
        </w:rPr>
        <w:t xml:space="preserve"> </w:t>
      </w:r>
      <w:r w:rsidRPr="00155F80">
        <w:rPr>
          <w:rFonts w:ascii="Times New Roman" w:hAnsi="Times New Roman"/>
          <w:iCs/>
          <w:lang w:val="pl-PL"/>
        </w:rPr>
        <w:t>broj</w:t>
      </w:r>
      <w:r w:rsidRPr="00155F80">
        <w:rPr>
          <w:rFonts w:ascii="Times New Roman" w:hAnsi="Times New Roman"/>
          <w:iCs/>
          <w:lang w:val="bs-Latn-BA"/>
        </w:rPr>
        <w:t xml:space="preserve"> </w:t>
      </w:r>
      <w:r w:rsidRPr="00155F80">
        <w:rPr>
          <w:rFonts w:ascii="Times New Roman" w:hAnsi="Times New Roman"/>
          <w:iCs/>
          <w:lang w:val="pl-PL"/>
        </w:rPr>
        <w:t>oboljelih</w:t>
      </w:r>
      <w:r w:rsidRPr="00155F80">
        <w:rPr>
          <w:rFonts w:ascii="Times New Roman" w:hAnsi="Times New Roman"/>
          <w:iCs/>
          <w:lang w:val="bs-Latn-BA"/>
        </w:rPr>
        <w:t xml:space="preserve"> </w:t>
      </w:r>
      <w:r w:rsidRPr="00155F80">
        <w:rPr>
          <w:rFonts w:ascii="Times New Roman" w:hAnsi="Times New Roman"/>
          <w:iCs/>
          <w:lang w:val="pl-PL"/>
        </w:rPr>
        <w:t>u</w:t>
      </w:r>
      <w:r w:rsidRPr="00155F80">
        <w:rPr>
          <w:rFonts w:ascii="Times New Roman" w:hAnsi="Times New Roman"/>
          <w:iCs/>
          <w:lang w:val="bs-Latn-BA"/>
        </w:rPr>
        <w:t xml:space="preserve"> </w:t>
      </w:r>
      <w:r w:rsidRPr="00155F80">
        <w:rPr>
          <w:rFonts w:ascii="Times New Roman" w:hAnsi="Times New Roman"/>
          <w:iCs/>
          <w:lang w:val="pl-PL"/>
        </w:rPr>
        <w:t>epidemijama</w:t>
      </w:r>
      <w:r w:rsidRPr="00155F80">
        <w:rPr>
          <w:rFonts w:ascii="Times New Roman" w:hAnsi="Times New Roman"/>
          <w:iCs/>
          <w:lang w:val="bs-Latn-BA"/>
        </w:rPr>
        <w:t xml:space="preserve"> 2011. </w:t>
      </w:r>
      <w:r w:rsidRPr="00155F80">
        <w:rPr>
          <w:rFonts w:ascii="Times New Roman" w:hAnsi="Times New Roman"/>
          <w:iCs/>
          <w:lang w:val="pl-PL"/>
        </w:rPr>
        <w:t>godine</w:t>
      </w:r>
      <w:r w:rsidRPr="00155F80">
        <w:rPr>
          <w:rFonts w:ascii="Times New Roman" w:hAnsi="Times New Roman"/>
          <w:iCs/>
          <w:lang w:val="bs-Latn-BA"/>
        </w:rPr>
        <w:t xml:space="preserve"> (</w:t>
      </w:r>
      <w:r w:rsidRPr="00155F80">
        <w:rPr>
          <w:rFonts w:ascii="Times New Roman" w:hAnsi="Times New Roman"/>
          <w:iCs/>
          <w:lang w:val="pl-PL"/>
        </w:rPr>
        <w:t>epidemija</w:t>
      </w:r>
      <w:r w:rsidRPr="00155F80">
        <w:rPr>
          <w:rFonts w:ascii="Times New Roman" w:hAnsi="Times New Roman"/>
          <w:iCs/>
          <w:lang w:val="bs-Latn-BA"/>
        </w:rPr>
        <w:t xml:space="preserve"> </w:t>
      </w:r>
      <w:r w:rsidRPr="00155F80">
        <w:rPr>
          <w:rFonts w:ascii="Times New Roman" w:hAnsi="Times New Roman"/>
          <w:iCs/>
          <w:lang w:val="pl-PL"/>
        </w:rPr>
        <w:t>gripe</w:t>
      </w:r>
      <w:r w:rsidRPr="00155F80">
        <w:rPr>
          <w:rFonts w:ascii="Times New Roman" w:hAnsi="Times New Roman"/>
          <w:iCs/>
          <w:lang w:val="bs-Latn-BA"/>
        </w:rPr>
        <w:t xml:space="preserve">). </w:t>
      </w:r>
    </w:p>
    <w:p w:rsidR="00A131AD" w:rsidRPr="00155F80" w:rsidRDefault="00A131AD" w:rsidP="000C0138">
      <w:pPr>
        <w:spacing w:line="276" w:lineRule="auto"/>
        <w:jc w:val="center"/>
        <w:rPr>
          <w:rFonts w:ascii="Times New Roman" w:hAnsi="Times New Roman"/>
          <w:b/>
          <w:iCs/>
          <w:lang w:val="hr-HR"/>
        </w:rPr>
      </w:pPr>
    </w:p>
    <w:p w:rsidR="00A131AD" w:rsidRPr="00155F80" w:rsidRDefault="00A131AD" w:rsidP="00EB7CC7">
      <w:pPr>
        <w:pStyle w:val="refererere"/>
      </w:pPr>
      <w:r w:rsidRPr="00155F80">
        <w:t>Tabl</w:t>
      </w:r>
      <w:r w:rsidR="00FE3B0D">
        <w:t>ic</w:t>
      </w:r>
      <w:r w:rsidRPr="00155F80">
        <w:t>a 10: Epidemije zaraznih bolesti u Federaciji BiH za period 2011.-2015. godina, prema putu prenosa</w:t>
      </w:r>
    </w:p>
    <w:tbl>
      <w:tblPr>
        <w:tblW w:w="90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988"/>
        <w:gridCol w:w="3827"/>
        <w:gridCol w:w="2032"/>
        <w:gridCol w:w="2172"/>
      </w:tblGrid>
      <w:tr w:rsidR="00A131AD" w:rsidRPr="00B560D0" w:rsidTr="00B560D0">
        <w:trPr>
          <w:cantSplit/>
          <w:trHeight w:hRule="exact" w:val="321"/>
          <w:jc w:val="center"/>
        </w:trPr>
        <w:tc>
          <w:tcPr>
            <w:tcW w:w="4815" w:type="dxa"/>
            <w:gridSpan w:val="2"/>
            <w:vMerge w:val="restart"/>
            <w:tcBorders>
              <w:top w:val="single" w:sz="4" w:space="0" w:color="auto"/>
              <w:left w:val="single" w:sz="4" w:space="0" w:color="auto"/>
              <w:bottom w:val="single" w:sz="4" w:space="0" w:color="auto"/>
              <w:right w:val="single" w:sz="4" w:space="0" w:color="auto"/>
            </w:tcBorders>
            <w:shd w:val="clear" w:color="auto" w:fill="E7E6E6" w:themeFill="background2"/>
            <w:noWrap/>
            <w:vAlign w:val="center"/>
            <w:hideMark/>
          </w:tcPr>
          <w:p w:rsidR="00A131AD" w:rsidRPr="00B560D0" w:rsidRDefault="00A131AD" w:rsidP="000C0138">
            <w:pPr>
              <w:spacing w:line="276" w:lineRule="auto"/>
              <w:jc w:val="center"/>
              <w:rPr>
                <w:rFonts w:ascii="Times New Roman" w:hAnsi="Times New Roman"/>
                <w:b/>
                <w:bCs/>
                <w:lang w:val="hr-BA" w:eastAsia="hr-BA"/>
              </w:rPr>
            </w:pPr>
            <w:r w:rsidRPr="00B560D0">
              <w:rPr>
                <w:rFonts w:ascii="Times New Roman" w:hAnsi="Times New Roman"/>
                <w:b/>
                <w:bCs/>
                <w:lang w:val="hr-BA" w:eastAsia="hr-BA"/>
              </w:rPr>
              <w:t>Godina / broj epidemija</w:t>
            </w:r>
          </w:p>
          <w:p w:rsidR="00A131AD" w:rsidRPr="00B560D0" w:rsidRDefault="00A131AD" w:rsidP="000C0138">
            <w:pPr>
              <w:spacing w:line="276" w:lineRule="auto"/>
              <w:jc w:val="center"/>
              <w:rPr>
                <w:rFonts w:ascii="Times New Roman" w:hAnsi="Times New Roman"/>
                <w:b/>
                <w:bCs/>
                <w:lang w:val="hr-BA" w:eastAsia="hr-BA"/>
              </w:rPr>
            </w:pPr>
            <w:r w:rsidRPr="00B560D0">
              <w:rPr>
                <w:rFonts w:ascii="Times New Roman" w:hAnsi="Times New Roman"/>
                <w:b/>
                <w:bCs/>
                <w:lang w:val="hr-BA" w:eastAsia="hr-BA"/>
              </w:rPr>
              <w:t>oboljelih</w:t>
            </w:r>
          </w:p>
        </w:tc>
        <w:tc>
          <w:tcPr>
            <w:tcW w:w="4204" w:type="dxa"/>
            <w:gridSpan w:val="2"/>
            <w:tcBorders>
              <w:top w:val="single" w:sz="4" w:space="0" w:color="auto"/>
              <w:left w:val="single" w:sz="4" w:space="0" w:color="auto"/>
              <w:bottom w:val="single" w:sz="4" w:space="0" w:color="auto"/>
              <w:right w:val="single" w:sz="4" w:space="0" w:color="auto"/>
            </w:tcBorders>
            <w:shd w:val="clear" w:color="auto" w:fill="E7E6E6" w:themeFill="background2"/>
            <w:hideMark/>
          </w:tcPr>
          <w:p w:rsidR="00A131AD" w:rsidRPr="00B560D0" w:rsidRDefault="00A131AD" w:rsidP="000C0138">
            <w:pPr>
              <w:spacing w:line="276" w:lineRule="auto"/>
              <w:jc w:val="center"/>
              <w:rPr>
                <w:rFonts w:ascii="Times New Roman" w:hAnsi="Times New Roman"/>
                <w:b/>
                <w:bCs/>
                <w:lang w:val="hr-BA" w:eastAsia="hr-BA"/>
              </w:rPr>
            </w:pPr>
            <w:r w:rsidRPr="00B560D0">
              <w:rPr>
                <w:rFonts w:ascii="Times New Roman" w:hAnsi="Times New Roman"/>
                <w:b/>
                <w:bCs/>
                <w:lang w:val="hr-BA" w:eastAsia="hr-BA"/>
              </w:rPr>
              <w:t>Epidemija</w:t>
            </w:r>
          </w:p>
        </w:tc>
      </w:tr>
      <w:tr w:rsidR="00A131AD" w:rsidRPr="00B560D0" w:rsidTr="00B560D0">
        <w:trPr>
          <w:cantSplit/>
          <w:trHeight w:hRule="exact" w:val="321"/>
          <w:jc w:val="center"/>
        </w:trPr>
        <w:tc>
          <w:tcPr>
            <w:tcW w:w="4815" w:type="dxa"/>
            <w:gridSpan w:val="2"/>
            <w:vMerge/>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rsidR="00A131AD" w:rsidRPr="00B560D0" w:rsidRDefault="00A131AD" w:rsidP="000C0138">
            <w:pPr>
              <w:spacing w:line="276" w:lineRule="auto"/>
              <w:rPr>
                <w:rFonts w:ascii="Times New Roman" w:hAnsi="Times New Roman"/>
                <w:b/>
                <w:bCs/>
                <w:noProof/>
                <w:lang w:val="hr-BA" w:eastAsia="hr-BA"/>
              </w:rPr>
            </w:pPr>
          </w:p>
        </w:tc>
        <w:tc>
          <w:tcPr>
            <w:tcW w:w="2032" w:type="dxa"/>
            <w:tcBorders>
              <w:top w:val="single" w:sz="4" w:space="0" w:color="auto"/>
              <w:left w:val="single" w:sz="4" w:space="0" w:color="auto"/>
              <w:bottom w:val="single" w:sz="4" w:space="0" w:color="auto"/>
              <w:right w:val="single" w:sz="4" w:space="0" w:color="auto"/>
            </w:tcBorders>
            <w:shd w:val="clear" w:color="auto" w:fill="E7E6E6" w:themeFill="background2"/>
            <w:hideMark/>
          </w:tcPr>
          <w:p w:rsidR="00A131AD" w:rsidRPr="00B560D0" w:rsidRDefault="00A131AD" w:rsidP="000C0138">
            <w:pPr>
              <w:spacing w:line="276" w:lineRule="auto"/>
              <w:rPr>
                <w:rFonts w:ascii="Times New Roman" w:hAnsi="Times New Roman"/>
                <w:b/>
                <w:bCs/>
                <w:lang w:val="hr-BA" w:eastAsia="hr-BA"/>
              </w:rPr>
            </w:pPr>
            <w:r w:rsidRPr="00B560D0">
              <w:rPr>
                <w:rFonts w:ascii="Times New Roman" w:hAnsi="Times New Roman"/>
                <w:b/>
                <w:bCs/>
                <w:lang w:val="hr-BA" w:eastAsia="hr-BA"/>
              </w:rPr>
              <w:t>Kapljična</w:t>
            </w:r>
          </w:p>
        </w:tc>
        <w:tc>
          <w:tcPr>
            <w:tcW w:w="2172" w:type="dxa"/>
            <w:tcBorders>
              <w:top w:val="single" w:sz="4" w:space="0" w:color="auto"/>
              <w:left w:val="single" w:sz="4" w:space="0" w:color="auto"/>
              <w:bottom w:val="single" w:sz="4" w:space="0" w:color="auto"/>
              <w:right w:val="single" w:sz="4" w:space="0" w:color="auto"/>
            </w:tcBorders>
            <w:shd w:val="clear" w:color="auto" w:fill="E7E6E6" w:themeFill="background2"/>
            <w:hideMark/>
          </w:tcPr>
          <w:p w:rsidR="00A131AD" w:rsidRPr="00B560D0" w:rsidRDefault="00A131AD" w:rsidP="000C0138">
            <w:pPr>
              <w:spacing w:line="276" w:lineRule="auto"/>
              <w:rPr>
                <w:rFonts w:ascii="Times New Roman" w:hAnsi="Times New Roman"/>
                <w:b/>
                <w:bCs/>
                <w:lang w:val="hr-BA" w:eastAsia="hr-BA"/>
              </w:rPr>
            </w:pPr>
            <w:r w:rsidRPr="00B560D0">
              <w:rPr>
                <w:rFonts w:ascii="Times New Roman" w:hAnsi="Times New Roman"/>
                <w:b/>
                <w:bCs/>
                <w:lang w:val="hr-BA" w:eastAsia="hr-BA"/>
              </w:rPr>
              <w:t>Alimentarna</w:t>
            </w:r>
          </w:p>
        </w:tc>
      </w:tr>
      <w:tr w:rsidR="00A131AD" w:rsidRPr="00B560D0" w:rsidTr="001911A6">
        <w:trPr>
          <w:cantSplit/>
          <w:trHeight w:hRule="exact" w:val="321"/>
          <w:jc w:val="center"/>
        </w:trPr>
        <w:tc>
          <w:tcPr>
            <w:tcW w:w="98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A131AD" w:rsidRPr="00B560D0" w:rsidRDefault="00A131AD" w:rsidP="000C0138">
            <w:pPr>
              <w:spacing w:line="276" w:lineRule="auto"/>
              <w:jc w:val="center"/>
              <w:rPr>
                <w:rFonts w:ascii="Times New Roman" w:hAnsi="Times New Roman"/>
                <w:bCs/>
                <w:lang w:val="hr-BA" w:eastAsia="hr-BA"/>
              </w:rPr>
            </w:pPr>
            <w:r w:rsidRPr="00B560D0">
              <w:rPr>
                <w:rFonts w:ascii="Times New Roman" w:hAnsi="Times New Roman"/>
                <w:bCs/>
                <w:lang w:val="hr-BA" w:eastAsia="hr-BA"/>
              </w:rPr>
              <w:t>201</w:t>
            </w:r>
            <w:r w:rsidRPr="00B560D0">
              <w:rPr>
                <w:rFonts w:ascii="Times New Roman" w:hAnsi="Times New Roman"/>
                <w:bCs/>
                <w:lang w:eastAsia="hr-BA"/>
              </w:rPr>
              <w:t>1</w:t>
            </w:r>
            <w:r w:rsidRPr="00B560D0">
              <w:rPr>
                <w:rFonts w:ascii="Times New Roman" w:hAnsi="Times New Roman"/>
                <w:bCs/>
                <w:lang w:val="hr-BA" w:eastAsia="hr-BA"/>
              </w:rPr>
              <w:t>.</w:t>
            </w:r>
          </w:p>
        </w:tc>
        <w:tc>
          <w:tcPr>
            <w:tcW w:w="38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B560D0" w:rsidRDefault="00A131AD" w:rsidP="000C0138">
            <w:pPr>
              <w:spacing w:line="276" w:lineRule="auto"/>
              <w:rPr>
                <w:rFonts w:ascii="Times New Roman" w:hAnsi="Times New Roman"/>
                <w:bCs/>
                <w:lang w:val="hr-BA" w:eastAsia="hr-BA"/>
              </w:rPr>
            </w:pPr>
            <w:r w:rsidRPr="00B560D0">
              <w:rPr>
                <w:rFonts w:ascii="Times New Roman" w:hAnsi="Times New Roman"/>
                <w:bCs/>
                <w:lang w:val="hr-BA" w:eastAsia="hr-BA"/>
              </w:rPr>
              <w:t>broj epidemija</w:t>
            </w:r>
          </w:p>
        </w:tc>
        <w:tc>
          <w:tcPr>
            <w:tcW w:w="2032"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rsidR="00A131AD" w:rsidRPr="00B560D0" w:rsidRDefault="00A131AD" w:rsidP="000C0138">
            <w:pPr>
              <w:spacing w:line="276" w:lineRule="auto"/>
              <w:jc w:val="center"/>
              <w:rPr>
                <w:rFonts w:ascii="Times New Roman" w:hAnsi="Times New Roman"/>
                <w:lang w:val="hr-BA" w:eastAsia="hr-BA"/>
              </w:rPr>
            </w:pPr>
            <w:r w:rsidRPr="00B560D0">
              <w:rPr>
                <w:rFonts w:ascii="Times New Roman" w:hAnsi="Times New Roman"/>
                <w:lang w:val="hr-BA" w:eastAsia="hr-BA"/>
              </w:rPr>
              <w:t>1</w:t>
            </w:r>
          </w:p>
        </w:tc>
        <w:tc>
          <w:tcPr>
            <w:tcW w:w="2172"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rsidR="00A131AD" w:rsidRPr="00B560D0" w:rsidRDefault="00A131AD" w:rsidP="000C0138">
            <w:pPr>
              <w:spacing w:line="276" w:lineRule="auto"/>
              <w:jc w:val="center"/>
              <w:rPr>
                <w:rFonts w:ascii="Times New Roman" w:hAnsi="Times New Roman"/>
                <w:lang w:val="hr-BA" w:eastAsia="hr-BA"/>
              </w:rPr>
            </w:pPr>
            <w:r w:rsidRPr="00B560D0">
              <w:rPr>
                <w:rFonts w:ascii="Times New Roman" w:hAnsi="Times New Roman"/>
                <w:lang w:val="hr-BA" w:eastAsia="hr-BA"/>
              </w:rPr>
              <w:t>1</w:t>
            </w:r>
          </w:p>
        </w:tc>
      </w:tr>
      <w:tr w:rsidR="00A131AD" w:rsidRPr="00B560D0" w:rsidTr="001911A6">
        <w:trPr>
          <w:cantSplit/>
          <w:trHeight w:hRule="exact" w:val="321"/>
          <w:jc w:val="center"/>
        </w:trPr>
        <w:tc>
          <w:tcPr>
            <w:tcW w:w="988"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B560D0" w:rsidRDefault="00A131AD" w:rsidP="000C0138">
            <w:pPr>
              <w:spacing w:line="276" w:lineRule="auto"/>
              <w:jc w:val="center"/>
              <w:rPr>
                <w:rFonts w:ascii="Times New Roman" w:hAnsi="Times New Roman"/>
                <w:bCs/>
                <w:noProof/>
                <w:lang w:val="hr-BA" w:eastAsia="hr-BA"/>
              </w:rPr>
            </w:pPr>
          </w:p>
        </w:tc>
        <w:tc>
          <w:tcPr>
            <w:tcW w:w="38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B560D0" w:rsidRDefault="00A131AD" w:rsidP="000C0138">
            <w:pPr>
              <w:spacing w:line="276" w:lineRule="auto"/>
              <w:rPr>
                <w:rFonts w:ascii="Times New Roman" w:hAnsi="Times New Roman"/>
                <w:bCs/>
                <w:lang w:val="hr-BA" w:eastAsia="hr-BA"/>
              </w:rPr>
            </w:pPr>
            <w:r w:rsidRPr="00B560D0">
              <w:rPr>
                <w:rFonts w:ascii="Times New Roman" w:hAnsi="Times New Roman"/>
                <w:bCs/>
                <w:lang w:val="hr-BA" w:eastAsia="hr-BA"/>
              </w:rPr>
              <w:t>broj oboljelih</w:t>
            </w:r>
          </w:p>
        </w:tc>
        <w:tc>
          <w:tcPr>
            <w:tcW w:w="2032"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rsidR="00A131AD" w:rsidRPr="00B560D0" w:rsidRDefault="00A131AD" w:rsidP="000C0138">
            <w:pPr>
              <w:spacing w:line="276" w:lineRule="auto"/>
              <w:jc w:val="center"/>
              <w:rPr>
                <w:rFonts w:ascii="Times New Roman" w:hAnsi="Times New Roman"/>
                <w:lang w:val="hr-BA" w:eastAsia="hr-BA"/>
              </w:rPr>
            </w:pPr>
            <w:r w:rsidRPr="00B560D0">
              <w:rPr>
                <w:rFonts w:ascii="Times New Roman" w:hAnsi="Times New Roman"/>
                <w:lang w:val="hr-BA" w:eastAsia="hr-BA"/>
              </w:rPr>
              <w:t>5998</w:t>
            </w:r>
          </w:p>
        </w:tc>
        <w:tc>
          <w:tcPr>
            <w:tcW w:w="2172"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rsidR="00A131AD" w:rsidRPr="00B560D0" w:rsidRDefault="00A131AD" w:rsidP="000C0138">
            <w:pPr>
              <w:spacing w:line="276" w:lineRule="auto"/>
              <w:jc w:val="center"/>
              <w:rPr>
                <w:rFonts w:ascii="Times New Roman" w:hAnsi="Times New Roman"/>
                <w:lang w:val="hr-BA" w:eastAsia="hr-BA"/>
              </w:rPr>
            </w:pPr>
            <w:r w:rsidRPr="00B560D0">
              <w:rPr>
                <w:rFonts w:ascii="Times New Roman" w:hAnsi="Times New Roman"/>
                <w:lang w:val="hr-BA" w:eastAsia="hr-BA"/>
              </w:rPr>
              <w:t>86</w:t>
            </w:r>
          </w:p>
        </w:tc>
      </w:tr>
      <w:tr w:rsidR="00A131AD" w:rsidRPr="00B560D0" w:rsidTr="001911A6">
        <w:trPr>
          <w:cantSplit/>
          <w:trHeight w:hRule="exact" w:val="321"/>
          <w:jc w:val="center"/>
        </w:trPr>
        <w:tc>
          <w:tcPr>
            <w:tcW w:w="98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A131AD" w:rsidRPr="00B560D0" w:rsidRDefault="00A131AD" w:rsidP="000C0138">
            <w:pPr>
              <w:spacing w:line="276" w:lineRule="auto"/>
              <w:jc w:val="center"/>
              <w:rPr>
                <w:rFonts w:ascii="Times New Roman" w:hAnsi="Times New Roman"/>
                <w:bCs/>
                <w:lang w:val="hr-BA" w:eastAsia="hr-BA"/>
              </w:rPr>
            </w:pPr>
            <w:r w:rsidRPr="00B560D0">
              <w:rPr>
                <w:rFonts w:ascii="Times New Roman" w:hAnsi="Times New Roman"/>
                <w:bCs/>
                <w:lang w:val="hr-BA" w:eastAsia="hr-BA"/>
              </w:rPr>
              <w:t>201</w:t>
            </w:r>
            <w:r w:rsidRPr="00B560D0">
              <w:rPr>
                <w:rFonts w:ascii="Times New Roman" w:hAnsi="Times New Roman"/>
                <w:bCs/>
                <w:lang w:eastAsia="hr-BA"/>
              </w:rPr>
              <w:t>2</w:t>
            </w:r>
            <w:r w:rsidRPr="00B560D0">
              <w:rPr>
                <w:rFonts w:ascii="Times New Roman" w:hAnsi="Times New Roman"/>
                <w:bCs/>
                <w:lang w:val="hr-BA" w:eastAsia="hr-BA"/>
              </w:rPr>
              <w:t>.</w:t>
            </w:r>
          </w:p>
        </w:tc>
        <w:tc>
          <w:tcPr>
            <w:tcW w:w="38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B560D0" w:rsidRDefault="00A131AD" w:rsidP="000C0138">
            <w:pPr>
              <w:spacing w:line="276" w:lineRule="auto"/>
              <w:rPr>
                <w:rFonts w:ascii="Times New Roman" w:hAnsi="Times New Roman"/>
                <w:bCs/>
                <w:lang w:val="hr-BA" w:eastAsia="hr-BA"/>
              </w:rPr>
            </w:pPr>
            <w:r w:rsidRPr="00B560D0">
              <w:rPr>
                <w:rFonts w:ascii="Times New Roman" w:hAnsi="Times New Roman"/>
                <w:bCs/>
                <w:lang w:val="hr-BA" w:eastAsia="hr-BA"/>
              </w:rPr>
              <w:t>broj epidemija</w:t>
            </w:r>
          </w:p>
        </w:tc>
        <w:tc>
          <w:tcPr>
            <w:tcW w:w="2032"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rsidR="00A131AD" w:rsidRPr="00B560D0" w:rsidRDefault="00A131AD" w:rsidP="000C0138">
            <w:pPr>
              <w:spacing w:line="276" w:lineRule="auto"/>
              <w:jc w:val="center"/>
              <w:rPr>
                <w:rFonts w:ascii="Times New Roman" w:hAnsi="Times New Roman"/>
                <w:lang w:val="hr-BA" w:eastAsia="hr-BA"/>
              </w:rPr>
            </w:pPr>
            <w:r w:rsidRPr="00B560D0">
              <w:rPr>
                <w:rFonts w:ascii="Times New Roman" w:hAnsi="Times New Roman"/>
                <w:lang w:val="hr-BA" w:eastAsia="hr-BA"/>
              </w:rPr>
              <w:t>2</w:t>
            </w:r>
          </w:p>
        </w:tc>
        <w:tc>
          <w:tcPr>
            <w:tcW w:w="2172"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rsidR="00A131AD" w:rsidRPr="00B560D0" w:rsidRDefault="00A131AD" w:rsidP="000C0138">
            <w:pPr>
              <w:spacing w:line="276" w:lineRule="auto"/>
              <w:jc w:val="center"/>
              <w:rPr>
                <w:rFonts w:ascii="Times New Roman" w:hAnsi="Times New Roman"/>
                <w:lang w:val="hr-BA" w:eastAsia="hr-BA"/>
              </w:rPr>
            </w:pPr>
            <w:r w:rsidRPr="00B560D0">
              <w:rPr>
                <w:rFonts w:ascii="Times New Roman" w:hAnsi="Times New Roman"/>
                <w:lang w:val="hr-BA" w:eastAsia="hr-BA"/>
              </w:rPr>
              <w:t>2</w:t>
            </w:r>
          </w:p>
        </w:tc>
      </w:tr>
      <w:tr w:rsidR="00A131AD" w:rsidRPr="00B560D0" w:rsidTr="001911A6">
        <w:trPr>
          <w:cantSplit/>
          <w:trHeight w:hRule="exact" w:val="321"/>
          <w:jc w:val="center"/>
        </w:trPr>
        <w:tc>
          <w:tcPr>
            <w:tcW w:w="988"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B560D0" w:rsidRDefault="00A131AD" w:rsidP="000C0138">
            <w:pPr>
              <w:spacing w:line="276" w:lineRule="auto"/>
              <w:jc w:val="center"/>
              <w:rPr>
                <w:rFonts w:ascii="Times New Roman" w:hAnsi="Times New Roman"/>
                <w:bCs/>
                <w:noProof/>
                <w:lang w:val="hr-BA" w:eastAsia="hr-BA"/>
              </w:rPr>
            </w:pPr>
          </w:p>
        </w:tc>
        <w:tc>
          <w:tcPr>
            <w:tcW w:w="38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B560D0" w:rsidRDefault="00A131AD" w:rsidP="000C0138">
            <w:pPr>
              <w:spacing w:line="276" w:lineRule="auto"/>
              <w:rPr>
                <w:rFonts w:ascii="Times New Roman" w:hAnsi="Times New Roman"/>
                <w:bCs/>
                <w:lang w:val="hr-BA" w:eastAsia="hr-BA"/>
              </w:rPr>
            </w:pPr>
            <w:r w:rsidRPr="00B560D0">
              <w:rPr>
                <w:rFonts w:ascii="Times New Roman" w:hAnsi="Times New Roman"/>
                <w:bCs/>
                <w:lang w:val="hr-BA" w:eastAsia="hr-BA"/>
              </w:rPr>
              <w:t>broj oboljelih</w:t>
            </w:r>
          </w:p>
        </w:tc>
        <w:tc>
          <w:tcPr>
            <w:tcW w:w="2032"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rsidR="00A131AD" w:rsidRPr="00B560D0" w:rsidRDefault="00A131AD" w:rsidP="000C0138">
            <w:pPr>
              <w:spacing w:line="276" w:lineRule="auto"/>
              <w:jc w:val="center"/>
              <w:rPr>
                <w:rFonts w:ascii="Times New Roman" w:hAnsi="Times New Roman"/>
                <w:lang w:val="hr-BA" w:eastAsia="hr-BA"/>
              </w:rPr>
            </w:pPr>
            <w:r w:rsidRPr="00B560D0">
              <w:rPr>
                <w:rFonts w:ascii="Times New Roman" w:hAnsi="Times New Roman"/>
                <w:lang w:val="hr-BA" w:eastAsia="hr-BA"/>
              </w:rPr>
              <w:t>60</w:t>
            </w:r>
          </w:p>
        </w:tc>
        <w:tc>
          <w:tcPr>
            <w:tcW w:w="2172"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rsidR="00A131AD" w:rsidRPr="00B560D0" w:rsidRDefault="00A131AD" w:rsidP="000C0138">
            <w:pPr>
              <w:spacing w:line="276" w:lineRule="auto"/>
              <w:jc w:val="center"/>
              <w:rPr>
                <w:rFonts w:ascii="Times New Roman" w:hAnsi="Times New Roman"/>
                <w:lang w:val="hr-BA" w:eastAsia="hr-BA"/>
              </w:rPr>
            </w:pPr>
            <w:r w:rsidRPr="00B560D0">
              <w:rPr>
                <w:rFonts w:ascii="Times New Roman" w:hAnsi="Times New Roman"/>
                <w:lang w:val="hr-BA" w:eastAsia="hr-BA"/>
              </w:rPr>
              <w:t>41</w:t>
            </w:r>
          </w:p>
        </w:tc>
      </w:tr>
      <w:tr w:rsidR="00A131AD" w:rsidRPr="00B560D0" w:rsidTr="001911A6">
        <w:trPr>
          <w:cantSplit/>
          <w:trHeight w:hRule="exact" w:val="321"/>
          <w:jc w:val="center"/>
        </w:trPr>
        <w:tc>
          <w:tcPr>
            <w:tcW w:w="98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A131AD" w:rsidRPr="00B560D0" w:rsidRDefault="00A131AD" w:rsidP="000C0138">
            <w:pPr>
              <w:spacing w:line="276" w:lineRule="auto"/>
              <w:jc w:val="center"/>
              <w:rPr>
                <w:rFonts w:ascii="Times New Roman" w:hAnsi="Times New Roman"/>
                <w:bCs/>
                <w:lang w:val="hr-BA" w:eastAsia="hr-BA"/>
              </w:rPr>
            </w:pPr>
            <w:r w:rsidRPr="00B560D0">
              <w:rPr>
                <w:rFonts w:ascii="Times New Roman" w:hAnsi="Times New Roman"/>
                <w:bCs/>
                <w:lang w:val="hr-BA" w:eastAsia="hr-BA"/>
              </w:rPr>
              <w:t>201</w:t>
            </w:r>
            <w:r w:rsidRPr="00B560D0">
              <w:rPr>
                <w:rFonts w:ascii="Times New Roman" w:hAnsi="Times New Roman"/>
                <w:bCs/>
                <w:lang w:eastAsia="hr-BA"/>
              </w:rPr>
              <w:t>3</w:t>
            </w:r>
            <w:r w:rsidRPr="00B560D0">
              <w:rPr>
                <w:rFonts w:ascii="Times New Roman" w:hAnsi="Times New Roman"/>
                <w:bCs/>
                <w:lang w:val="hr-BA" w:eastAsia="hr-BA"/>
              </w:rPr>
              <w:t>.</w:t>
            </w:r>
          </w:p>
        </w:tc>
        <w:tc>
          <w:tcPr>
            <w:tcW w:w="38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B560D0" w:rsidRDefault="00A131AD" w:rsidP="000C0138">
            <w:pPr>
              <w:spacing w:line="276" w:lineRule="auto"/>
              <w:rPr>
                <w:rFonts w:ascii="Times New Roman" w:hAnsi="Times New Roman"/>
                <w:bCs/>
                <w:lang w:val="hr-BA" w:eastAsia="hr-BA"/>
              </w:rPr>
            </w:pPr>
            <w:r w:rsidRPr="00B560D0">
              <w:rPr>
                <w:rFonts w:ascii="Times New Roman" w:hAnsi="Times New Roman"/>
                <w:bCs/>
                <w:lang w:val="hr-BA" w:eastAsia="hr-BA"/>
              </w:rPr>
              <w:t>broj epidemija</w:t>
            </w:r>
          </w:p>
        </w:tc>
        <w:tc>
          <w:tcPr>
            <w:tcW w:w="2032" w:type="dxa"/>
            <w:tcBorders>
              <w:top w:val="single" w:sz="4" w:space="0" w:color="auto"/>
              <w:left w:val="single" w:sz="4" w:space="0" w:color="auto"/>
              <w:bottom w:val="single" w:sz="4" w:space="0" w:color="auto"/>
              <w:right w:val="single" w:sz="4" w:space="0" w:color="auto"/>
            </w:tcBorders>
            <w:shd w:val="clear" w:color="auto" w:fill="FFFFFF" w:themeFill="background1"/>
            <w:noWrap/>
          </w:tcPr>
          <w:p w:rsidR="00A131AD" w:rsidRPr="00B560D0" w:rsidRDefault="005E297E" w:rsidP="000C0138">
            <w:pPr>
              <w:spacing w:line="276" w:lineRule="auto"/>
              <w:jc w:val="center"/>
              <w:rPr>
                <w:rFonts w:ascii="Times New Roman" w:hAnsi="Times New Roman"/>
                <w:lang w:val="hr-BA" w:eastAsia="hr-BA"/>
              </w:rPr>
            </w:pPr>
            <w:r w:rsidRPr="00B560D0">
              <w:rPr>
                <w:rFonts w:ascii="Times New Roman" w:hAnsi="Times New Roman"/>
                <w:lang w:val="hr-BA" w:eastAsia="hr-BA"/>
              </w:rPr>
              <w:t>-</w:t>
            </w:r>
          </w:p>
        </w:tc>
        <w:tc>
          <w:tcPr>
            <w:tcW w:w="2172"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rsidR="00A131AD" w:rsidRPr="00B560D0" w:rsidRDefault="00A131AD" w:rsidP="000C0138">
            <w:pPr>
              <w:spacing w:line="276" w:lineRule="auto"/>
              <w:jc w:val="center"/>
              <w:rPr>
                <w:rFonts w:ascii="Times New Roman" w:hAnsi="Times New Roman"/>
                <w:lang w:val="hr-BA" w:eastAsia="hr-BA"/>
              </w:rPr>
            </w:pPr>
            <w:r w:rsidRPr="00B560D0">
              <w:rPr>
                <w:rFonts w:ascii="Times New Roman" w:hAnsi="Times New Roman"/>
                <w:lang w:val="hr-BA" w:eastAsia="hr-BA"/>
              </w:rPr>
              <w:t>2</w:t>
            </w:r>
          </w:p>
        </w:tc>
      </w:tr>
      <w:tr w:rsidR="00A131AD" w:rsidRPr="00B560D0" w:rsidTr="001911A6">
        <w:trPr>
          <w:cantSplit/>
          <w:trHeight w:hRule="exact" w:val="321"/>
          <w:jc w:val="center"/>
        </w:trPr>
        <w:tc>
          <w:tcPr>
            <w:tcW w:w="988"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B560D0" w:rsidRDefault="00A131AD" w:rsidP="000C0138">
            <w:pPr>
              <w:spacing w:line="276" w:lineRule="auto"/>
              <w:jc w:val="center"/>
              <w:rPr>
                <w:rFonts w:ascii="Times New Roman" w:hAnsi="Times New Roman"/>
                <w:bCs/>
                <w:noProof/>
                <w:lang w:val="hr-BA" w:eastAsia="hr-BA"/>
              </w:rPr>
            </w:pPr>
          </w:p>
        </w:tc>
        <w:tc>
          <w:tcPr>
            <w:tcW w:w="38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B560D0" w:rsidRDefault="00A131AD" w:rsidP="000C0138">
            <w:pPr>
              <w:spacing w:line="276" w:lineRule="auto"/>
              <w:rPr>
                <w:rFonts w:ascii="Times New Roman" w:hAnsi="Times New Roman"/>
                <w:bCs/>
                <w:lang w:val="hr-BA" w:eastAsia="hr-BA"/>
              </w:rPr>
            </w:pPr>
            <w:r w:rsidRPr="00B560D0">
              <w:rPr>
                <w:rFonts w:ascii="Times New Roman" w:hAnsi="Times New Roman"/>
                <w:bCs/>
                <w:lang w:val="hr-BA" w:eastAsia="hr-BA"/>
              </w:rPr>
              <w:t>broj oboljelih</w:t>
            </w:r>
          </w:p>
        </w:tc>
        <w:tc>
          <w:tcPr>
            <w:tcW w:w="2032" w:type="dxa"/>
            <w:tcBorders>
              <w:top w:val="single" w:sz="4" w:space="0" w:color="auto"/>
              <w:left w:val="single" w:sz="4" w:space="0" w:color="auto"/>
              <w:bottom w:val="single" w:sz="4" w:space="0" w:color="auto"/>
              <w:right w:val="single" w:sz="4" w:space="0" w:color="auto"/>
            </w:tcBorders>
            <w:shd w:val="clear" w:color="auto" w:fill="FFFFFF" w:themeFill="background1"/>
            <w:noWrap/>
          </w:tcPr>
          <w:p w:rsidR="00A131AD" w:rsidRPr="00B560D0" w:rsidRDefault="005E297E" w:rsidP="000C0138">
            <w:pPr>
              <w:spacing w:line="276" w:lineRule="auto"/>
              <w:jc w:val="center"/>
              <w:rPr>
                <w:rFonts w:ascii="Times New Roman" w:hAnsi="Times New Roman"/>
                <w:lang w:val="hr-BA" w:eastAsia="hr-BA"/>
              </w:rPr>
            </w:pPr>
            <w:r w:rsidRPr="00B560D0">
              <w:rPr>
                <w:rFonts w:ascii="Times New Roman" w:hAnsi="Times New Roman"/>
                <w:lang w:val="hr-BA" w:eastAsia="hr-BA"/>
              </w:rPr>
              <w:t>-</w:t>
            </w:r>
          </w:p>
        </w:tc>
        <w:tc>
          <w:tcPr>
            <w:tcW w:w="2172"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rsidR="00A131AD" w:rsidRPr="00B560D0" w:rsidRDefault="00A131AD" w:rsidP="000C0138">
            <w:pPr>
              <w:spacing w:line="276" w:lineRule="auto"/>
              <w:jc w:val="center"/>
              <w:rPr>
                <w:rFonts w:ascii="Times New Roman" w:hAnsi="Times New Roman"/>
                <w:lang w:val="hr-BA" w:eastAsia="hr-BA"/>
              </w:rPr>
            </w:pPr>
            <w:r w:rsidRPr="00B560D0">
              <w:rPr>
                <w:rFonts w:ascii="Times New Roman" w:hAnsi="Times New Roman"/>
                <w:lang w:val="hr-BA" w:eastAsia="hr-BA"/>
              </w:rPr>
              <w:t>117</w:t>
            </w:r>
          </w:p>
        </w:tc>
      </w:tr>
      <w:tr w:rsidR="00A131AD" w:rsidRPr="00B560D0" w:rsidTr="001911A6">
        <w:trPr>
          <w:cantSplit/>
          <w:trHeight w:hRule="exact" w:val="321"/>
          <w:jc w:val="center"/>
        </w:trPr>
        <w:tc>
          <w:tcPr>
            <w:tcW w:w="98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A131AD" w:rsidRPr="00B560D0" w:rsidRDefault="00A131AD" w:rsidP="000C0138">
            <w:pPr>
              <w:spacing w:line="276" w:lineRule="auto"/>
              <w:jc w:val="center"/>
              <w:rPr>
                <w:rFonts w:ascii="Times New Roman" w:hAnsi="Times New Roman"/>
                <w:bCs/>
                <w:lang w:val="hr-BA" w:eastAsia="hr-BA"/>
              </w:rPr>
            </w:pPr>
            <w:r w:rsidRPr="00B560D0">
              <w:rPr>
                <w:rFonts w:ascii="Times New Roman" w:hAnsi="Times New Roman"/>
                <w:bCs/>
                <w:lang w:val="hr-BA" w:eastAsia="hr-BA"/>
              </w:rPr>
              <w:t>201</w:t>
            </w:r>
            <w:r w:rsidRPr="00B560D0">
              <w:rPr>
                <w:rFonts w:ascii="Times New Roman" w:hAnsi="Times New Roman"/>
                <w:bCs/>
                <w:lang w:eastAsia="hr-BA"/>
              </w:rPr>
              <w:t>4</w:t>
            </w:r>
            <w:r w:rsidRPr="00B560D0">
              <w:rPr>
                <w:rFonts w:ascii="Times New Roman" w:hAnsi="Times New Roman"/>
                <w:bCs/>
                <w:lang w:val="hr-BA" w:eastAsia="hr-BA"/>
              </w:rPr>
              <w:t>.</w:t>
            </w:r>
          </w:p>
        </w:tc>
        <w:tc>
          <w:tcPr>
            <w:tcW w:w="38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B560D0" w:rsidRDefault="00A131AD" w:rsidP="000C0138">
            <w:pPr>
              <w:spacing w:line="276" w:lineRule="auto"/>
              <w:rPr>
                <w:rFonts w:ascii="Times New Roman" w:hAnsi="Times New Roman"/>
                <w:bCs/>
                <w:lang w:val="hr-BA" w:eastAsia="hr-BA"/>
              </w:rPr>
            </w:pPr>
            <w:r w:rsidRPr="00B560D0">
              <w:rPr>
                <w:rFonts w:ascii="Times New Roman" w:hAnsi="Times New Roman"/>
                <w:bCs/>
                <w:lang w:val="hr-BA" w:eastAsia="hr-BA"/>
              </w:rPr>
              <w:t>broj epidemija</w:t>
            </w:r>
          </w:p>
        </w:tc>
        <w:tc>
          <w:tcPr>
            <w:tcW w:w="2032"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rsidR="00A131AD" w:rsidRPr="00B560D0" w:rsidRDefault="00A131AD" w:rsidP="000C0138">
            <w:pPr>
              <w:spacing w:line="276" w:lineRule="auto"/>
              <w:jc w:val="center"/>
              <w:rPr>
                <w:rFonts w:ascii="Times New Roman" w:hAnsi="Times New Roman"/>
                <w:lang w:val="hr-BA" w:eastAsia="hr-BA"/>
              </w:rPr>
            </w:pPr>
            <w:r w:rsidRPr="00B560D0">
              <w:rPr>
                <w:rFonts w:ascii="Times New Roman" w:hAnsi="Times New Roman"/>
                <w:lang w:val="hr-BA" w:eastAsia="hr-BA"/>
              </w:rPr>
              <w:t>5</w:t>
            </w:r>
          </w:p>
        </w:tc>
        <w:tc>
          <w:tcPr>
            <w:tcW w:w="2172"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rsidR="00A131AD" w:rsidRPr="00B560D0" w:rsidRDefault="00A131AD" w:rsidP="000C0138">
            <w:pPr>
              <w:spacing w:line="276" w:lineRule="auto"/>
              <w:jc w:val="center"/>
              <w:rPr>
                <w:rFonts w:ascii="Times New Roman" w:hAnsi="Times New Roman"/>
                <w:lang w:val="hr-BA" w:eastAsia="hr-BA"/>
              </w:rPr>
            </w:pPr>
            <w:r w:rsidRPr="00B560D0">
              <w:rPr>
                <w:rFonts w:ascii="Times New Roman" w:hAnsi="Times New Roman"/>
                <w:lang w:val="hr-BA" w:eastAsia="hr-BA"/>
              </w:rPr>
              <w:t>4</w:t>
            </w:r>
          </w:p>
        </w:tc>
      </w:tr>
      <w:tr w:rsidR="00A131AD" w:rsidRPr="00B560D0" w:rsidTr="001911A6">
        <w:trPr>
          <w:cantSplit/>
          <w:trHeight w:hRule="exact" w:val="321"/>
          <w:jc w:val="center"/>
        </w:trPr>
        <w:tc>
          <w:tcPr>
            <w:tcW w:w="988"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B560D0" w:rsidRDefault="00A131AD" w:rsidP="000C0138">
            <w:pPr>
              <w:spacing w:line="276" w:lineRule="auto"/>
              <w:jc w:val="center"/>
              <w:rPr>
                <w:rFonts w:ascii="Times New Roman" w:hAnsi="Times New Roman"/>
                <w:bCs/>
                <w:noProof/>
                <w:lang w:val="hr-BA" w:eastAsia="hr-BA"/>
              </w:rPr>
            </w:pPr>
          </w:p>
        </w:tc>
        <w:tc>
          <w:tcPr>
            <w:tcW w:w="38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B560D0" w:rsidRDefault="00A131AD" w:rsidP="000C0138">
            <w:pPr>
              <w:spacing w:line="276" w:lineRule="auto"/>
              <w:rPr>
                <w:rFonts w:ascii="Times New Roman" w:hAnsi="Times New Roman"/>
                <w:bCs/>
                <w:lang w:val="hr-BA" w:eastAsia="hr-BA"/>
              </w:rPr>
            </w:pPr>
            <w:r w:rsidRPr="00B560D0">
              <w:rPr>
                <w:rFonts w:ascii="Times New Roman" w:hAnsi="Times New Roman"/>
                <w:bCs/>
                <w:lang w:val="hr-BA" w:eastAsia="hr-BA"/>
              </w:rPr>
              <w:t>broj oboljelih</w:t>
            </w:r>
          </w:p>
        </w:tc>
        <w:tc>
          <w:tcPr>
            <w:tcW w:w="2032"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rsidR="00A131AD" w:rsidRPr="00B560D0" w:rsidRDefault="00A131AD" w:rsidP="000C0138">
            <w:pPr>
              <w:spacing w:line="276" w:lineRule="auto"/>
              <w:jc w:val="center"/>
              <w:rPr>
                <w:rFonts w:ascii="Times New Roman" w:hAnsi="Times New Roman"/>
                <w:lang w:val="hr-BA" w:eastAsia="hr-BA"/>
              </w:rPr>
            </w:pPr>
            <w:r w:rsidRPr="00B560D0">
              <w:rPr>
                <w:rFonts w:ascii="Times New Roman" w:hAnsi="Times New Roman"/>
                <w:lang w:val="hr-BA" w:eastAsia="hr-BA"/>
              </w:rPr>
              <w:t>3375</w:t>
            </w:r>
          </w:p>
        </w:tc>
        <w:tc>
          <w:tcPr>
            <w:tcW w:w="2172"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rsidR="00A131AD" w:rsidRPr="00B560D0" w:rsidRDefault="00A131AD" w:rsidP="000C0138">
            <w:pPr>
              <w:spacing w:line="276" w:lineRule="auto"/>
              <w:jc w:val="center"/>
              <w:rPr>
                <w:rFonts w:ascii="Times New Roman" w:hAnsi="Times New Roman"/>
                <w:lang w:val="hr-BA" w:eastAsia="hr-BA"/>
              </w:rPr>
            </w:pPr>
            <w:r w:rsidRPr="00B560D0">
              <w:rPr>
                <w:rFonts w:ascii="Times New Roman" w:hAnsi="Times New Roman"/>
                <w:lang w:val="hr-BA" w:eastAsia="hr-BA"/>
              </w:rPr>
              <w:t>215</w:t>
            </w:r>
          </w:p>
        </w:tc>
      </w:tr>
      <w:tr w:rsidR="00A131AD" w:rsidRPr="00B560D0" w:rsidTr="001911A6">
        <w:trPr>
          <w:cantSplit/>
          <w:trHeight w:hRule="exact" w:val="321"/>
          <w:jc w:val="center"/>
        </w:trPr>
        <w:tc>
          <w:tcPr>
            <w:tcW w:w="98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A131AD" w:rsidRPr="00B560D0" w:rsidRDefault="00A131AD" w:rsidP="000C0138">
            <w:pPr>
              <w:spacing w:line="276" w:lineRule="auto"/>
              <w:jc w:val="center"/>
              <w:rPr>
                <w:rFonts w:ascii="Times New Roman" w:hAnsi="Times New Roman"/>
                <w:bCs/>
                <w:lang w:val="hr-BA" w:eastAsia="hr-BA"/>
              </w:rPr>
            </w:pPr>
            <w:r w:rsidRPr="00B560D0">
              <w:rPr>
                <w:rFonts w:ascii="Times New Roman" w:hAnsi="Times New Roman"/>
                <w:bCs/>
                <w:lang w:val="hr-BA" w:eastAsia="hr-BA"/>
              </w:rPr>
              <w:t>2015</w:t>
            </w:r>
            <w:r w:rsidR="00874E9B">
              <w:rPr>
                <w:rFonts w:ascii="Times New Roman" w:hAnsi="Times New Roman"/>
                <w:bCs/>
                <w:lang w:val="hr-BA" w:eastAsia="hr-BA"/>
              </w:rPr>
              <w:t>.</w:t>
            </w:r>
          </w:p>
        </w:tc>
        <w:tc>
          <w:tcPr>
            <w:tcW w:w="38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B560D0" w:rsidRDefault="00A131AD" w:rsidP="000C0138">
            <w:pPr>
              <w:spacing w:line="276" w:lineRule="auto"/>
              <w:rPr>
                <w:rFonts w:ascii="Times New Roman" w:hAnsi="Times New Roman"/>
                <w:bCs/>
                <w:lang w:val="hr-BA" w:eastAsia="hr-BA"/>
              </w:rPr>
            </w:pPr>
            <w:r w:rsidRPr="00B560D0">
              <w:rPr>
                <w:rFonts w:ascii="Times New Roman" w:hAnsi="Times New Roman"/>
                <w:bCs/>
                <w:lang w:val="hr-BA" w:eastAsia="hr-BA"/>
              </w:rPr>
              <w:t>broj epidemija</w:t>
            </w:r>
          </w:p>
        </w:tc>
        <w:tc>
          <w:tcPr>
            <w:tcW w:w="2032"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rsidR="00A131AD" w:rsidRPr="00B560D0" w:rsidRDefault="00A131AD" w:rsidP="000C0138">
            <w:pPr>
              <w:spacing w:line="276" w:lineRule="auto"/>
              <w:jc w:val="center"/>
              <w:rPr>
                <w:rFonts w:ascii="Times New Roman" w:hAnsi="Times New Roman"/>
                <w:lang w:val="hr-BA" w:eastAsia="hr-BA"/>
              </w:rPr>
            </w:pPr>
            <w:r w:rsidRPr="00B560D0">
              <w:rPr>
                <w:rFonts w:ascii="Times New Roman" w:hAnsi="Times New Roman"/>
                <w:lang w:val="hr-BA" w:eastAsia="hr-BA"/>
              </w:rPr>
              <w:t>1</w:t>
            </w:r>
          </w:p>
        </w:tc>
        <w:tc>
          <w:tcPr>
            <w:tcW w:w="2172"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rsidR="00A131AD" w:rsidRPr="00B560D0" w:rsidRDefault="00A131AD" w:rsidP="000C0138">
            <w:pPr>
              <w:spacing w:line="276" w:lineRule="auto"/>
              <w:jc w:val="center"/>
              <w:rPr>
                <w:rFonts w:ascii="Times New Roman" w:hAnsi="Times New Roman"/>
                <w:lang w:val="hr-BA" w:eastAsia="hr-BA"/>
              </w:rPr>
            </w:pPr>
            <w:r w:rsidRPr="00B560D0">
              <w:rPr>
                <w:rFonts w:ascii="Times New Roman" w:hAnsi="Times New Roman"/>
                <w:lang w:val="hr-BA" w:eastAsia="hr-BA"/>
              </w:rPr>
              <w:t>4</w:t>
            </w:r>
          </w:p>
        </w:tc>
      </w:tr>
      <w:tr w:rsidR="00A131AD" w:rsidRPr="00B560D0" w:rsidTr="001911A6">
        <w:trPr>
          <w:cantSplit/>
          <w:trHeight w:hRule="exact" w:val="321"/>
          <w:jc w:val="center"/>
        </w:trPr>
        <w:tc>
          <w:tcPr>
            <w:tcW w:w="988"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B560D0" w:rsidRDefault="00A131AD" w:rsidP="000C0138">
            <w:pPr>
              <w:spacing w:line="276" w:lineRule="auto"/>
              <w:rPr>
                <w:rFonts w:ascii="Times New Roman" w:hAnsi="Times New Roman"/>
                <w:bCs/>
                <w:noProof/>
                <w:lang w:val="hr-BA" w:eastAsia="hr-BA"/>
              </w:rPr>
            </w:pPr>
          </w:p>
        </w:tc>
        <w:tc>
          <w:tcPr>
            <w:tcW w:w="38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31AD" w:rsidRPr="00B560D0" w:rsidRDefault="00A131AD" w:rsidP="000C0138">
            <w:pPr>
              <w:spacing w:line="276" w:lineRule="auto"/>
              <w:rPr>
                <w:rFonts w:ascii="Times New Roman" w:hAnsi="Times New Roman"/>
                <w:bCs/>
                <w:lang w:val="hr-BA" w:eastAsia="hr-BA"/>
              </w:rPr>
            </w:pPr>
            <w:r w:rsidRPr="00B560D0">
              <w:rPr>
                <w:rFonts w:ascii="Times New Roman" w:hAnsi="Times New Roman"/>
                <w:bCs/>
                <w:lang w:val="hr-BA" w:eastAsia="hr-BA"/>
              </w:rPr>
              <w:t>broj oboljelih</w:t>
            </w:r>
          </w:p>
        </w:tc>
        <w:tc>
          <w:tcPr>
            <w:tcW w:w="2032"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rsidR="00A131AD" w:rsidRPr="00B560D0" w:rsidRDefault="00A131AD" w:rsidP="000C0138">
            <w:pPr>
              <w:spacing w:line="276" w:lineRule="auto"/>
              <w:jc w:val="center"/>
              <w:rPr>
                <w:rFonts w:ascii="Times New Roman" w:hAnsi="Times New Roman"/>
                <w:lang w:val="hr-BA" w:eastAsia="hr-BA"/>
              </w:rPr>
            </w:pPr>
            <w:r w:rsidRPr="00B560D0">
              <w:rPr>
                <w:rFonts w:ascii="Times New Roman" w:hAnsi="Times New Roman"/>
                <w:lang w:val="hr-BA" w:eastAsia="hr-BA"/>
              </w:rPr>
              <w:t>11</w:t>
            </w:r>
          </w:p>
        </w:tc>
        <w:tc>
          <w:tcPr>
            <w:tcW w:w="2172"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rsidR="00A131AD" w:rsidRPr="00B560D0" w:rsidRDefault="00A131AD" w:rsidP="000C0138">
            <w:pPr>
              <w:spacing w:line="276" w:lineRule="auto"/>
              <w:jc w:val="center"/>
              <w:rPr>
                <w:rFonts w:ascii="Times New Roman" w:hAnsi="Times New Roman"/>
                <w:lang w:val="hr-BA" w:eastAsia="hr-BA"/>
              </w:rPr>
            </w:pPr>
            <w:r w:rsidRPr="00B560D0">
              <w:rPr>
                <w:rFonts w:ascii="Times New Roman" w:hAnsi="Times New Roman"/>
                <w:lang w:val="hr-BA" w:eastAsia="hr-BA"/>
              </w:rPr>
              <w:t>451</w:t>
            </w:r>
          </w:p>
        </w:tc>
      </w:tr>
    </w:tbl>
    <w:p w:rsidR="00A131AD" w:rsidRDefault="00A131AD" w:rsidP="000C0138">
      <w:pPr>
        <w:spacing w:line="276" w:lineRule="auto"/>
        <w:outlineLvl w:val="0"/>
        <w:rPr>
          <w:rFonts w:ascii="Times New Roman" w:hAnsi="Times New Roman"/>
          <w:b/>
        </w:rPr>
      </w:pPr>
    </w:p>
    <w:p w:rsidR="00B4366E" w:rsidRDefault="00B4366E" w:rsidP="000C0138">
      <w:pPr>
        <w:spacing w:line="276" w:lineRule="auto"/>
        <w:outlineLvl w:val="0"/>
        <w:rPr>
          <w:rFonts w:ascii="Times New Roman" w:hAnsi="Times New Roman"/>
          <w:b/>
        </w:rPr>
      </w:pPr>
    </w:p>
    <w:p w:rsidR="00B560D0" w:rsidRDefault="00B560D0" w:rsidP="000C0138">
      <w:pPr>
        <w:spacing w:line="276" w:lineRule="auto"/>
        <w:outlineLvl w:val="0"/>
        <w:rPr>
          <w:rFonts w:ascii="Times New Roman" w:hAnsi="Times New Roman"/>
          <w:b/>
        </w:rPr>
      </w:pPr>
    </w:p>
    <w:p w:rsidR="00B560D0" w:rsidRDefault="00B560D0" w:rsidP="000C0138">
      <w:pPr>
        <w:spacing w:line="276" w:lineRule="auto"/>
        <w:outlineLvl w:val="0"/>
        <w:rPr>
          <w:rFonts w:ascii="Times New Roman" w:hAnsi="Times New Roman"/>
          <w:b/>
        </w:rPr>
      </w:pPr>
    </w:p>
    <w:p w:rsidR="00B560D0" w:rsidRDefault="00B560D0" w:rsidP="000C0138">
      <w:pPr>
        <w:spacing w:line="276" w:lineRule="auto"/>
        <w:outlineLvl w:val="0"/>
        <w:rPr>
          <w:rFonts w:ascii="Times New Roman" w:hAnsi="Times New Roman"/>
          <w:b/>
        </w:rPr>
      </w:pPr>
    </w:p>
    <w:p w:rsidR="00B560D0" w:rsidRDefault="00B560D0" w:rsidP="000C0138">
      <w:pPr>
        <w:spacing w:line="276" w:lineRule="auto"/>
        <w:outlineLvl w:val="0"/>
        <w:rPr>
          <w:rFonts w:ascii="Times New Roman" w:hAnsi="Times New Roman"/>
          <w:b/>
        </w:rPr>
      </w:pPr>
    </w:p>
    <w:p w:rsidR="003E3695" w:rsidRDefault="003E3695" w:rsidP="000C0138">
      <w:pPr>
        <w:spacing w:line="276" w:lineRule="auto"/>
        <w:outlineLvl w:val="0"/>
        <w:rPr>
          <w:rFonts w:ascii="Times New Roman" w:hAnsi="Times New Roman"/>
          <w:b/>
        </w:rPr>
      </w:pPr>
    </w:p>
    <w:p w:rsidR="00B560D0" w:rsidRDefault="00B560D0" w:rsidP="000C0138">
      <w:pPr>
        <w:spacing w:line="276" w:lineRule="auto"/>
        <w:outlineLvl w:val="0"/>
        <w:rPr>
          <w:rFonts w:ascii="Times New Roman" w:hAnsi="Times New Roman"/>
          <w:b/>
        </w:rPr>
      </w:pPr>
    </w:p>
    <w:p w:rsidR="00A131AD" w:rsidRPr="00155F80" w:rsidRDefault="00A131AD" w:rsidP="00EB7CC7">
      <w:pPr>
        <w:pStyle w:val="refererere"/>
        <w:rPr>
          <w:lang w:val="pl-PL"/>
        </w:rPr>
      </w:pPr>
      <w:r w:rsidRPr="00155F80">
        <w:rPr>
          <w:lang w:val="pl-PL"/>
        </w:rPr>
        <w:t>Tabl</w:t>
      </w:r>
      <w:r w:rsidR="00FE3B0D">
        <w:rPr>
          <w:lang w:val="pl-PL"/>
        </w:rPr>
        <w:t>ic</w:t>
      </w:r>
      <w:r w:rsidRPr="00155F80">
        <w:rPr>
          <w:lang w:val="pl-PL"/>
        </w:rPr>
        <w:t xml:space="preserve">a 11: </w:t>
      </w:r>
      <w:r w:rsidRPr="00155F80">
        <w:t xml:space="preserve"> </w:t>
      </w:r>
      <w:r w:rsidRPr="00155F80">
        <w:rPr>
          <w:lang w:val="pl-PL"/>
        </w:rPr>
        <w:t>Epidemije na podru</w:t>
      </w:r>
      <w:r w:rsidRPr="00155F80">
        <w:t>č</w:t>
      </w:r>
      <w:r w:rsidRPr="00155F80">
        <w:rPr>
          <w:lang w:val="pl-PL"/>
        </w:rPr>
        <w:t>ju Federacije BiH</w:t>
      </w:r>
      <w:r w:rsidRPr="00155F80">
        <w:t xml:space="preserve">, 2015. </w:t>
      </w:r>
      <w:r w:rsidRPr="00155F80">
        <w:rPr>
          <w:lang w:val="pl-PL"/>
        </w:rPr>
        <w:t>godina</w:t>
      </w:r>
    </w:p>
    <w:tbl>
      <w:tblPr>
        <w:tblW w:w="96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541"/>
        <w:gridCol w:w="2028"/>
        <w:gridCol w:w="1842"/>
        <w:gridCol w:w="2527"/>
        <w:gridCol w:w="1416"/>
        <w:gridCol w:w="1276"/>
      </w:tblGrid>
      <w:tr w:rsidR="00A131AD" w:rsidRPr="00155F80" w:rsidTr="00B560D0">
        <w:trPr>
          <w:jc w:val="center"/>
        </w:trPr>
        <w:tc>
          <w:tcPr>
            <w:tcW w:w="541" w:type="dxa"/>
            <w:tcBorders>
              <w:top w:val="single" w:sz="4" w:space="0" w:color="auto"/>
              <w:left w:val="single" w:sz="4" w:space="0" w:color="auto"/>
              <w:bottom w:val="single" w:sz="4" w:space="0" w:color="auto"/>
              <w:right w:val="single" w:sz="4" w:space="0" w:color="auto"/>
            </w:tcBorders>
            <w:shd w:val="clear" w:color="auto" w:fill="E7E6E6" w:themeFill="background2"/>
          </w:tcPr>
          <w:p w:rsidR="00A131AD" w:rsidRPr="00B560D0" w:rsidRDefault="00A131AD" w:rsidP="000C0138">
            <w:pPr>
              <w:spacing w:line="276" w:lineRule="auto"/>
              <w:jc w:val="center"/>
              <w:rPr>
                <w:rFonts w:ascii="Times New Roman" w:hAnsi="Times New Roman"/>
                <w:bCs/>
                <w:sz w:val="20"/>
                <w:szCs w:val="20"/>
                <w:lang w:val="pl-PL"/>
              </w:rPr>
            </w:pPr>
          </w:p>
          <w:p w:rsidR="00A131AD" w:rsidRPr="00B560D0" w:rsidRDefault="00A131AD" w:rsidP="000C0138">
            <w:pPr>
              <w:spacing w:line="276" w:lineRule="auto"/>
              <w:jc w:val="center"/>
              <w:rPr>
                <w:rFonts w:ascii="Times New Roman" w:hAnsi="Times New Roman"/>
                <w:bCs/>
                <w:sz w:val="20"/>
                <w:szCs w:val="20"/>
                <w:lang w:val="pl-PL"/>
              </w:rPr>
            </w:pPr>
            <w:r w:rsidRPr="00B560D0">
              <w:rPr>
                <w:rFonts w:ascii="Times New Roman" w:hAnsi="Times New Roman"/>
                <w:bCs/>
                <w:sz w:val="20"/>
                <w:szCs w:val="20"/>
                <w:lang w:val="pl-PL"/>
              </w:rPr>
              <w:t>R/B</w:t>
            </w:r>
          </w:p>
        </w:tc>
        <w:tc>
          <w:tcPr>
            <w:tcW w:w="2029"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rsidR="00A131AD" w:rsidRPr="00B560D0" w:rsidRDefault="00A131AD" w:rsidP="000C0138">
            <w:pPr>
              <w:spacing w:line="276" w:lineRule="auto"/>
              <w:jc w:val="center"/>
              <w:rPr>
                <w:rFonts w:ascii="Times New Roman" w:hAnsi="Times New Roman"/>
                <w:sz w:val="20"/>
                <w:szCs w:val="20"/>
                <w:lang w:val="pl-PL"/>
              </w:rPr>
            </w:pPr>
            <w:r w:rsidRPr="00B560D0">
              <w:rPr>
                <w:rFonts w:ascii="Times New Roman" w:hAnsi="Times New Roman"/>
                <w:sz w:val="20"/>
                <w:szCs w:val="20"/>
                <w:lang w:val="pl-PL"/>
              </w:rPr>
              <w:t>Bolest</w:t>
            </w:r>
          </w:p>
        </w:tc>
        <w:tc>
          <w:tcPr>
            <w:tcW w:w="1843"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rsidR="00A131AD" w:rsidRPr="00B560D0" w:rsidRDefault="00A131AD" w:rsidP="000C0138">
            <w:pPr>
              <w:spacing w:line="276" w:lineRule="auto"/>
              <w:jc w:val="center"/>
              <w:rPr>
                <w:rFonts w:ascii="Times New Roman" w:hAnsi="Times New Roman"/>
                <w:sz w:val="20"/>
                <w:szCs w:val="20"/>
                <w:lang w:val="pl-PL"/>
              </w:rPr>
            </w:pPr>
            <w:r w:rsidRPr="00B560D0">
              <w:rPr>
                <w:rFonts w:ascii="Times New Roman" w:hAnsi="Times New Roman"/>
                <w:sz w:val="20"/>
                <w:szCs w:val="20"/>
                <w:lang w:val="pl-PL"/>
              </w:rPr>
              <w:t>Kanton</w:t>
            </w:r>
          </w:p>
        </w:tc>
        <w:tc>
          <w:tcPr>
            <w:tcW w:w="2528"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rsidR="00A131AD" w:rsidRPr="00B560D0" w:rsidRDefault="00A131AD" w:rsidP="000C0138">
            <w:pPr>
              <w:spacing w:line="276" w:lineRule="auto"/>
              <w:jc w:val="center"/>
              <w:rPr>
                <w:rFonts w:ascii="Times New Roman" w:hAnsi="Times New Roman"/>
                <w:sz w:val="20"/>
                <w:szCs w:val="20"/>
                <w:lang w:val="pl-PL"/>
              </w:rPr>
            </w:pPr>
            <w:r w:rsidRPr="00B560D0">
              <w:rPr>
                <w:rFonts w:ascii="Times New Roman" w:hAnsi="Times New Roman"/>
                <w:sz w:val="20"/>
                <w:szCs w:val="20"/>
                <w:lang w:val="pl-PL"/>
              </w:rPr>
              <w:t>Općina</w:t>
            </w:r>
          </w:p>
        </w:tc>
        <w:tc>
          <w:tcPr>
            <w:tcW w:w="1416"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rsidR="00A131AD" w:rsidRPr="00B560D0" w:rsidRDefault="00A131AD" w:rsidP="000C0138">
            <w:pPr>
              <w:spacing w:line="276" w:lineRule="auto"/>
              <w:jc w:val="center"/>
              <w:rPr>
                <w:rFonts w:ascii="Times New Roman" w:hAnsi="Times New Roman"/>
                <w:sz w:val="20"/>
                <w:szCs w:val="20"/>
                <w:lang w:val="pl-PL"/>
              </w:rPr>
            </w:pPr>
            <w:r w:rsidRPr="00B560D0">
              <w:rPr>
                <w:rFonts w:ascii="Times New Roman" w:hAnsi="Times New Roman"/>
                <w:sz w:val="20"/>
                <w:szCs w:val="20"/>
                <w:lang w:val="pl-PL"/>
              </w:rPr>
              <w:t>Datum prijave</w:t>
            </w:r>
          </w:p>
        </w:tc>
        <w:tc>
          <w:tcPr>
            <w:tcW w:w="1276"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rsidR="00A131AD" w:rsidRPr="00B560D0" w:rsidRDefault="00A131AD" w:rsidP="000C0138">
            <w:pPr>
              <w:spacing w:line="276" w:lineRule="auto"/>
              <w:jc w:val="center"/>
              <w:rPr>
                <w:rFonts w:ascii="Times New Roman" w:hAnsi="Times New Roman"/>
                <w:sz w:val="20"/>
                <w:szCs w:val="20"/>
                <w:lang w:val="pl-PL"/>
              </w:rPr>
            </w:pPr>
            <w:r w:rsidRPr="00B560D0">
              <w:rPr>
                <w:rFonts w:ascii="Times New Roman" w:hAnsi="Times New Roman"/>
                <w:sz w:val="20"/>
                <w:szCs w:val="20"/>
                <w:lang w:val="pl-PL"/>
              </w:rPr>
              <w:t>Broj oboljelih</w:t>
            </w:r>
          </w:p>
        </w:tc>
      </w:tr>
      <w:tr w:rsidR="00A131AD" w:rsidRPr="00155F80" w:rsidTr="001911A6">
        <w:trPr>
          <w:trHeight w:val="614"/>
          <w:jc w:val="center"/>
        </w:trPr>
        <w:tc>
          <w:tcPr>
            <w:tcW w:w="5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spacing w:line="276" w:lineRule="auto"/>
              <w:jc w:val="center"/>
              <w:rPr>
                <w:rFonts w:ascii="Times New Roman" w:hAnsi="Times New Roman"/>
                <w:sz w:val="20"/>
                <w:szCs w:val="20"/>
                <w:lang w:val="hr-HR"/>
              </w:rPr>
            </w:pPr>
            <w:r w:rsidRPr="00155F80">
              <w:rPr>
                <w:rFonts w:ascii="Times New Roman" w:hAnsi="Times New Roman"/>
                <w:sz w:val="20"/>
                <w:szCs w:val="20"/>
              </w:rPr>
              <w:t>1.</w:t>
            </w:r>
          </w:p>
        </w:tc>
        <w:tc>
          <w:tcPr>
            <w:tcW w:w="2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spacing w:line="276" w:lineRule="auto"/>
              <w:rPr>
                <w:rFonts w:ascii="Times New Roman" w:hAnsi="Times New Roman"/>
                <w:sz w:val="20"/>
                <w:szCs w:val="20"/>
              </w:rPr>
            </w:pPr>
            <w:r w:rsidRPr="00155F80">
              <w:rPr>
                <w:rFonts w:ascii="Times New Roman" w:hAnsi="Times New Roman"/>
                <w:sz w:val="20"/>
                <w:szCs w:val="20"/>
              </w:rPr>
              <w:t>Enterocollitis ac.</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8A7130" w:rsidP="008A7130">
            <w:pPr>
              <w:spacing w:line="276" w:lineRule="auto"/>
              <w:rPr>
                <w:rFonts w:ascii="Times New Roman" w:hAnsi="Times New Roman"/>
                <w:sz w:val="20"/>
                <w:szCs w:val="20"/>
              </w:rPr>
            </w:pPr>
            <w:r>
              <w:rPr>
                <w:rFonts w:ascii="Times New Roman" w:hAnsi="Times New Roman"/>
                <w:sz w:val="20"/>
                <w:szCs w:val="20"/>
              </w:rPr>
              <w:t>Tuzlanski</w:t>
            </w:r>
          </w:p>
        </w:tc>
        <w:tc>
          <w:tcPr>
            <w:tcW w:w="2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7A7E4A">
            <w:pPr>
              <w:spacing w:line="276" w:lineRule="auto"/>
              <w:jc w:val="left"/>
              <w:rPr>
                <w:rFonts w:ascii="Times New Roman" w:hAnsi="Times New Roman"/>
                <w:bCs/>
                <w:sz w:val="20"/>
                <w:szCs w:val="20"/>
              </w:rPr>
            </w:pPr>
            <w:r w:rsidRPr="00155F80">
              <w:rPr>
                <w:rFonts w:ascii="Times New Roman" w:hAnsi="Times New Roman"/>
                <w:bCs/>
                <w:sz w:val="20"/>
                <w:szCs w:val="20"/>
              </w:rPr>
              <w:t>Živinice (MZ Đurđevik)-vodovod „Sinac“</w:t>
            </w:r>
          </w:p>
        </w:tc>
        <w:tc>
          <w:tcPr>
            <w:tcW w:w="14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spacing w:line="276" w:lineRule="auto"/>
              <w:jc w:val="center"/>
              <w:rPr>
                <w:rFonts w:ascii="Times New Roman" w:hAnsi="Times New Roman"/>
                <w:sz w:val="20"/>
                <w:szCs w:val="20"/>
              </w:rPr>
            </w:pPr>
            <w:r w:rsidRPr="00155F80">
              <w:rPr>
                <w:rFonts w:ascii="Times New Roman" w:hAnsi="Times New Roman"/>
                <w:sz w:val="20"/>
                <w:szCs w:val="20"/>
              </w:rPr>
              <w:t>26.1.2015</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spacing w:line="276" w:lineRule="auto"/>
              <w:jc w:val="center"/>
              <w:rPr>
                <w:rFonts w:ascii="Times New Roman" w:hAnsi="Times New Roman"/>
                <w:bCs/>
                <w:sz w:val="20"/>
                <w:szCs w:val="20"/>
              </w:rPr>
            </w:pPr>
            <w:r w:rsidRPr="00155F80">
              <w:rPr>
                <w:rFonts w:ascii="Times New Roman" w:hAnsi="Times New Roman"/>
                <w:bCs/>
                <w:sz w:val="20"/>
                <w:szCs w:val="20"/>
              </w:rPr>
              <w:t>55</w:t>
            </w:r>
          </w:p>
        </w:tc>
      </w:tr>
      <w:tr w:rsidR="00A131AD" w:rsidRPr="00155F80" w:rsidTr="001911A6">
        <w:trPr>
          <w:trHeight w:val="555"/>
          <w:jc w:val="center"/>
        </w:trPr>
        <w:tc>
          <w:tcPr>
            <w:tcW w:w="5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spacing w:line="276" w:lineRule="auto"/>
              <w:jc w:val="center"/>
              <w:rPr>
                <w:rFonts w:ascii="Times New Roman" w:hAnsi="Times New Roman"/>
                <w:sz w:val="20"/>
                <w:szCs w:val="20"/>
              </w:rPr>
            </w:pPr>
            <w:r w:rsidRPr="00155F80">
              <w:rPr>
                <w:rFonts w:ascii="Times New Roman" w:hAnsi="Times New Roman"/>
                <w:sz w:val="20"/>
                <w:szCs w:val="20"/>
              </w:rPr>
              <w:t>2.</w:t>
            </w:r>
          </w:p>
        </w:tc>
        <w:tc>
          <w:tcPr>
            <w:tcW w:w="2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spacing w:line="276" w:lineRule="auto"/>
              <w:rPr>
                <w:rFonts w:ascii="Times New Roman" w:hAnsi="Times New Roman"/>
                <w:sz w:val="20"/>
                <w:szCs w:val="20"/>
              </w:rPr>
            </w:pPr>
            <w:r w:rsidRPr="00155F80">
              <w:rPr>
                <w:rFonts w:ascii="Times New Roman" w:hAnsi="Times New Roman"/>
                <w:sz w:val="20"/>
                <w:szCs w:val="20"/>
              </w:rPr>
              <w:t>Toxiinfectio alimentaris</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8A7130">
            <w:pPr>
              <w:spacing w:line="276" w:lineRule="auto"/>
              <w:rPr>
                <w:rFonts w:ascii="Times New Roman" w:hAnsi="Times New Roman"/>
                <w:sz w:val="20"/>
                <w:szCs w:val="20"/>
              </w:rPr>
            </w:pPr>
            <w:r w:rsidRPr="00155F80">
              <w:rPr>
                <w:rFonts w:ascii="Times New Roman" w:hAnsi="Times New Roman"/>
                <w:sz w:val="20"/>
                <w:szCs w:val="20"/>
              </w:rPr>
              <w:t>Tuzlansk</w:t>
            </w:r>
            <w:r w:rsidR="008A7130">
              <w:rPr>
                <w:rFonts w:ascii="Times New Roman" w:hAnsi="Times New Roman"/>
                <w:sz w:val="20"/>
                <w:szCs w:val="20"/>
              </w:rPr>
              <w:t>i</w:t>
            </w:r>
          </w:p>
        </w:tc>
        <w:tc>
          <w:tcPr>
            <w:tcW w:w="2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7A7E4A">
            <w:pPr>
              <w:spacing w:line="276" w:lineRule="auto"/>
              <w:jc w:val="left"/>
              <w:rPr>
                <w:rFonts w:ascii="Times New Roman" w:hAnsi="Times New Roman"/>
                <w:sz w:val="20"/>
                <w:szCs w:val="20"/>
                <w:lang w:val="sv-SE"/>
              </w:rPr>
            </w:pPr>
            <w:r w:rsidRPr="00155F80">
              <w:rPr>
                <w:rFonts w:ascii="Times New Roman" w:hAnsi="Times New Roman"/>
                <w:sz w:val="20"/>
                <w:szCs w:val="20"/>
                <w:lang w:val="sv-SE"/>
              </w:rPr>
              <w:t>Tuzla (restoran društvene ishrane ”Termoelektrana”</w:t>
            </w:r>
          </w:p>
        </w:tc>
        <w:tc>
          <w:tcPr>
            <w:tcW w:w="14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spacing w:line="276" w:lineRule="auto"/>
              <w:jc w:val="center"/>
              <w:rPr>
                <w:rFonts w:ascii="Times New Roman" w:hAnsi="Times New Roman"/>
                <w:sz w:val="20"/>
                <w:szCs w:val="20"/>
                <w:lang w:val="sv-SE"/>
              </w:rPr>
            </w:pPr>
            <w:r w:rsidRPr="00155F80">
              <w:rPr>
                <w:rFonts w:ascii="Times New Roman" w:hAnsi="Times New Roman"/>
                <w:sz w:val="20"/>
                <w:szCs w:val="20"/>
                <w:lang w:val="sv-SE"/>
              </w:rPr>
              <w:t>28.1.2015</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spacing w:line="276" w:lineRule="auto"/>
              <w:jc w:val="center"/>
              <w:rPr>
                <w:rFonts w:ascii="Times New Roman" w:hAnsi="Times New Roman"/>
                <w:bCs/>
                <w:sz w:val="20"/>
                <w:szCs w:val="20"/>
                <w:lang w:val="hr-HR"/>
              </w:rPr>
            </w:pPr>
            <w:r w:rsidRPr="00155F80">
              <w:rPr>
                <w:rFonts w:ascii="Times New Roman" w:hAnsi="Times New Roman"/>
                <w:bCs/>
                <w:sz w:val="20"/>
                <w:szCs w:val="20"/>
              </w:rPr>
              <w:t>44</w:t>
            </w:r>
          </w:p>
        </w:tc>
      </w:tr>
      <w:tr w:rsidR="00A131AD" w:rsidRPr="00155F80" w:rsidTr="001911A6">
        <w:trPr>
          <w:trHeight w:val="555"/>
          <w:jc w:val="center"/>
        </w:trPr>
        <w:tc>
          <w:tcPr>
            <w:tcW w:w="5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spacing w:line="276" w:lineRule="auto"/>
              <w:jc w:val="center"/>
              <w:rPr>
                <w:rFonts w:ascii="Times New Roman" w:hAnsi="Times New Roman"/>
                <w:sz w:val="20"/>
                <w:szCs w:val="20"/>
              </w:rPr>
            </w:pPr>
            <w:r w:rsidRPr="00155F80">
              <w:rPr>
                <w:rFonts w:ascii="Times New Roman" w:hAnsi="Times New Roman"/>
                <w:sz w:val="20"/>
                <w:szCs w:val="20"/>
              </w:rPr>
              <w:t>3.</w:t>
            </w:r>
          </w:p>
        </w:tc>
        <w:tc>
          <w:tcPr>
            <w:tcW w:w="2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spacing w:line="276" w:lineRule="auto"/>
              <w:rPr>
                <w:rFonts w:ascii="Times New Roman" w:hAnsi="Times New Roman"/>
                <w:sz w:val="20"/>
                <w:szCs w:val="20"/>
              </w:rPr>
            </w:pPr>
            <w:r w:rsidRPr="00155F80">
              <w:rPr>
                <w:rFonts w:ascii="Times New Roman" w:hAnsi="Times New Roman"/>
                <w:sz w:val="20"/>
                <w:szCs w:val="20"/>
              </w:rPr>
              <w:t>Bolnička infekcija</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spacing w:line="276" w:lineRule="auto"/>
              <w:rPr>
                <w:rFonts w:ascii="Times New Roman" w:hAnsi="Times New Roman"/>
                <w:sz w:val="20"/>
                <w:szCs w:val="20"/>
              </w:rPr>
            </w:pPr>
            <w:r w:rsidRPr="00155F80">
              <w:rPr>
                <w:rFonts w:ascii="Times New Roman" w:hAnsi="Times New Roman"/>
                <w:bCs/>
                <w:sz w:val="20"/>
                <w:szCs w:val="20"/>
              </w:rPr>
              <w:t>Sarajevski</w:t>
            </w:r>
          </w:p>
        </w:tc>
        <w:tc>
          <w:tcPr>
            <w:tcW w:w="2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7A7E4A">
            <w:pPr>
              <w:spacing w:line="276" w:lineRule="auto"/>
              <w:jc w:val="left"/>
              <w:rPr>
                <w:rFonts w:ascii="Times New Roman" w:hAnsi="Times New Roman"/>
                <w:sz w:val="20"/>
                <w:szCs w:val="20"/>
                <w:lang w:val="sv-SE"/>
              </w:rPr>
            </w:pPr>
            <w:r w:rsidRPr="00155F80">
              <w:rPr>
                <w:rFonts w:ascii="Times New Roman" w:hAnsi="Times New Roman"/>
                <w:sz w:val="20"/>
                <w:szCs w:val="20"/>
                <w:lang w:val="sv-SE"/>
              </w:rPr>
              <w:t>KCU u Sarajevu/Klinika za hematologiju</w:t>
            </w:r>
          </w:p>
        </w:tc>
        <w:tc>
          <w:tcPr>
            <w:tcW w:w="14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spacing w:line="276" w:lineRule="auto"/>
              <w:jc w:val="center"/>
              <w:rPr>
                <w:rFonts w:ascii="Times New Roman" w:hAnsi="Times New Roman"/>
                <w:sz w:val="20"/>
                <w:szCs w:val="20"/>
                <w:lang w:val="sv-SE"/>
              </w:rPr>
            </w:pPr>
            <w:r w:rsidRPr="00155F80">
              <w:rPr>
                <w:rFonts w:ascii="Times New Roman" w:hAnsi="Times New Roman"/>
                <w:sz w:val="20"/>
                <w:szCs w:val="20"/>
                <w:lang w:val="sv-SE"/>
              </w:rPr>
              <w:t>6.4.2015</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spacing w:line="276" w:lineRule="auto"/>
              <w:jc w:val="center"/>
              <w:rPr>
                <w:rFonts w:ascii="Times New Roman" w:hAnsi="Times New Roman"/>
                <w:bCs/>
                <w:sz w:val="20"/>
                <w:szCs w:val="20"/>
                <w:lang w:val="hr-HR"/>
              </w:rPr>
            </w:pPr>
            <w:r w:rsidRPr="00155F80">
              <w:rPr>
                <w:rFonts w:ascii="Times New Roman" w:hAnsi="Times New Roman"/>
                <w:bCs/>
                <w:sz w:val="20"/>
                <w:szCs w:val="20"/>
              </w:rPr>
              <w:t>11</w:t>
            </w:r>
          </w:p>
        </w:tc>
      </w:tr>
      <w:tr w:rsidR="00A131AD" w:rsidRPr="00155F80" w:rsidTr="001911A6">
        <w:trPr>
          <w:trHeight w:val="555"/>
          <w:jc w:val="center"/>
        </w:trPr>
        <w:tc>
          <w:tcPr>
            <w:tcW w:w="5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spacing w:line="276" w:lineRule="auto"/>
              <w:jc w:val="center"/>
              <w:rPr>
                <w:rFonts w:ascii="Times New Roman" w:hAnsi="Times New Roman"/>
                <w:sz w:val="20"/>
                <w:szCs w:val="20"/>
              </w:rPr>
            </w:pPr>
            <w:r w:rsidRPr="00155F80">
              <w:rPr>
                <w:rFonts w:ascii="Times New Roman" w:hAnsi="Times New Roman"/>
                <w:sz w:val="20"/>
                <w:szCs w:val="20"/>
              </w:rPr>
              <w:t>4.</w:t>
            </w:r>
          </w:p>
        </w:tc>
        <w:tc>
          <w:tcPr>
            <w:tcW w:w="2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spacing w:line="276" w:lineRule="auto"/>
              <w:rPr>
                <w:rFonts w:ascii="Times New Roman" w:hAnsi="Times New Roman"/>
                <w:sz w:val="20"/>
                <w:szCs w:val="20"/>
              </w:rPr>
            </w:pPr>
            <w:r w:rsidRPr="00155F80">
              <w:rPr>
                <w:rFonts w:ascii="Times New Roman" w:hAnsi="Times New Roman"/>
                <w:sz w:val="20"/>
                <w:szCs w:val="20"/>
              </w:rPr>
              <w:t>Salmonellosis</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spacing w:line="276" w:lineRule="auto"/>
              <w:rPr>
                <w:rFonts w:ascii="Times New Roman" w:hAnsi="Times New Roman"/>
                <w:sz w:val="20"/>
                <w:szCs w:val="20"/>
              </w:rPr>
            </w:pPr>
            <w:r w:rsidRPr="00155F80">
              <w:rPr>
                <w:rFonts w:ascii="Times New Roman" w:hAnsi="Times New Roman"/>
                <w:bCs/>
                <w:sz w:val="20"/>
                <w:szCs w:val="20"/>
              </w:rPr>
              <w:t>Sarajevski</w:t>
            </w:r>
          </w:p>
        </w:tc>
        <w:tc>
          <w:tcPr>
            <w:tcW w:w="2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7A7E4A">
            <w:pPr>
              <w:spacing w:line="276" w:lineRule="auto"/>
              <w:jc w:val="left"/>
              <w:rPr>
                <w:rFonts w:ascii="Times New Roman" w:hAnsi="Times New Roman"/>
                <w:sz w:val="20"/>
                <w:szCs w:val="20"/>
                <w:lang w:val="sv-SE"/>
              </w:rPr>
            </w:pPr>
            <w:r w:rsidRPr="00155F80">
              <w:rPr>
                <w:rFonts w:ascii="Times New Roman" w:hAnsi="Times New Roman"/>
                <w:sz w:val="20"/>
                <w:szCs w:val="20"/>
                <w:lang w:val="sv-SE"/>
              </w:rPr>
              <w:t>JU Djeca Sarajeva-vrtići/Kanton Sarajevo</w:t>
            </w:r>
          </w:p>
        </w:tc>
        <w:tc>
          <w:tcPr>
            <w:tcW w:w="14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spacing w:line="276" w:lineRule="auto"/>
              <w:jc w:val="center"/>
              <w:rPr>
                <w:rFonts w:ascii="Times New Roman" w:hAnsi="Times New Roman"/>
                <w:sz w:val="20"/>
                <w:szCs w:val="20"/>
                <w:lang w:val="sv-SE"/>
              </w:rPr>
            </w:pPr>
            <w:r w:rsidRPr="00155F80">
              <w:rPr>
                <w:rFonts w:ascii="Times New Roman" w:hAnsi="Times New Roman"/>
                <w:sz w:val="20"/>
                <w:szCs w:val="20"/>
                <w:lang w:val="sv-SE"/>
              </w:rPr>
              <w:t>23.4.2015</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spacing w:line="276" w:lineRule="auto"/>
              <w:jc w:val="center"/>
              <w:rPr>
                <w:rFonts w:ascii="Times New Roman" w:hAnsi="Times New Roman"/>
                <w:bCs/>
                <w:sz w:val="20"/>
                <w:szCs w:val="20"/>
                <w:lang w:val="hr-HR"/>
              </w:rPr>
            </w:pPr>
            <w:r w:rsidRPr="00155F80">
              <w:rPr>
                <w:rFonts w:ascii="Times New Roman" w:hAnsi="Times New Roman"/>
                <w:bCs/>
                <w:sz w:val="20"/>
                <w:szCs w:val="20"/>
              </w:rPr>
              <w:t>249</w:t>
            </w:r>
          </w:p>
        </w:tc>
      </w:tr>
      <w:tr w:rsidR="00A131AD" w:rsidRPr="00155F80" w:rsidTr="001911A6">
        <w:trPr>
          <w:trHeight w:val="555"/>
          <w:jc w:val="center"/>
        </w:trPr>
        <w:tc>
          <w:tcPr>
            <w:tcW w:w="5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spacing w:line="276" w:lineRule="auto"/>
              <w:jc w:val="center"/>
              <w:rPr>
                <w:rFonts w:ascii="Times New Roman" w:hAnsi="Times New Roman"/>
                <w:sz w:val="20"/>
                <w:szCs w:val="20"/>
              </w:rPr>
            </w:pPr>
            <w:r w:rsidRPr="00155F80">
              <w:rPr>
                <w:rFonts w:ascii="Times New Roman" w:hAnsi="Times New Roman"/>
                <w:sz w:val="20"/>
                <w:szCs w:val="20"/>
              </w:rPr>
              <w:t>5.</w:t>
            </w:r>
          </w:p>
        </w:tc>
        <w:tc>
          <w:tcPr>
            <w:tcW w:w="2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spacing w:line="276" w:lineRule="auto"/>
              <w:rPr>
                <w:rFonts w:ascii="Times New Roman" w:hAnsi="Times New Roman"/>
                <w:sz w:val="20"/>
                <w:szCs w:val="20"/>
              </w:rPr>
            </w:pPr>
            <w:r w:rsidRPr="00155F80">
              <w:rPr>
                <w:rFonts w:ascii="Times New Roman" w:hAnsi="Times New Roman"/>
                <w:sz w:val="20"/>
                <w:szCs w:val="20"/>
              </w:rPr>
              <w:t>Enterocollitis ac.</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8A7130">
            <w:pPr>
              <w:spacing w:line="276" w:lineRule="auto"/>
              <w:rPr>
                <w:rFonts w:ascii="Times New Roman" w:hAnsi="Times New Roman"/>
                <w:sz w:val="20"/>
                <w:szCs w:val="20"/>
              </w:rPr>
            </w:pPr>
            <w:r w:rsidRPr="00155F80">
              <w:rPr>
                <w:rFonts w:ascii="Times New Roman" w:hAnsi="Times New Roman"/>
                <w:sz w:val="20"/>
                <w:szCs w:val="20"/>
              </w:rPr>
              <w:t>Tuzlansk</w:t>
            </w:r>
            <w:r w:rsidR="008A7130">
              <w:rPr>
                <w:rFonts w:ascii="Times New Roman" w:hAnsi="Times New Roman"/>
                <w:sz w:val="20"/>
                <w:szCs w:val="20"/>
              </w:rPr>
              <w:t>i</w:t>
            </w:r>
          </w:p>
        </w:tc>
        <w:tc>
          <w:tcPr>
            <w:tcW w:w="25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7A7E4A">
            <w:pPr>
              <w:spacing w:line="276" w:lineRule="auto"/>
              <w:jc w:val="left"/>
              <w:rPr>
                <w:rFonts w:ascii="Times New Roman" w:hAnsi="Times New Roman"/>
                <w:sz w:val="20"/>
                <w:szCs w:val="20"/>
                <w:lang w:val="sv-SE"/>
              </w:rPr>
            </w:pPr>
            <w:r w:rsidRPr="00155F80">
              <w:rPr>
                <w:rFonts w:ascii="Times New Roman" w:hAnsi="Times New Roman"/>
                <w:sz w:val="20"/>
                <w:szCs w:val="20"/>
                <w:lang w:val="sv-SE"/>
              </w:rPr>
              <w:t>Gračanica-vodovod Malešići</w:t>
            </w:r>
          </w:p>
        </w:tc>
        <w:tc>
          <w:tcPr>
            <w:tcW w:w="14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spacing w:line="276" w:lineRule="auto"/>
              <w:jc w:val="center"/>
              <w:rPr>
                <w:rFonts w:ascii="Times New Roman" w:hAnsi="Times New Roman"/>
                <w:sz w:val="20"/>
                <w:szCs w:val="20"/>
                <w:lang w:val="sv-SE"/>
              </w:rPr>
            </w:pPr>
            <w:r w:rsidRPr="00155F80">
              <w:rPr>
                <w:rFonts w:ascii="Times New Roman" w:hAnsi="Times New Roman"/>
                <w:sz w:val="20"/>
                <w:szCs w:val="20"/>
                <w:lang w:val="sv-SE"/>
              </w:rPr>
              <w:t>29.9.2015</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131AD" w:rsidRPr="00155F80" w:rsidRDefault="00A131AD" w:rsidP="000C0138">
            <w:pPr>
              <w:spacing w:line="276" w:lineRule="auto"/>
              <w:jc w:val="center"/>
              <w:rPr>
                <w:rFonts w:ascii="Times New Roman" w:hAnsi="Times New Roman"/>
                <w:bCs/>
                <w:sz w:val="20"/>
                <w:szCs w:val="20"/>
                <w:lang w:val="hr-HR"/>
              </w:rPr>
            </w:pPr>
            <w:r w:rsidRPr="00155F80">
              <w:rPr>
                <w:rFonts w:ascii="Times New Roman" w:hAnsi="Times New Roman"/>
                <w:bCs/>
                <w:sz w:val="20"/>
                <w:szCs w:val="20"/>
              </w:rPr>
              <w:t>103</w:t>
            </w:r>
          </w:p>
        </w:tc>
      </w:tr>
    </w:tbl>
    <w:p w:rsidR="00A131AD" w:rsidRDefault="00A131AD" w:rsidP="000C0138">
      <w:pPr>
        <w:pStyle w:val="Tekst0"/>
        <w:spacing w:before="0" w:line="276" w:lineRule="auto"/>
        <w:rPr>
          <w:sz w:val="22"/>
          <w:szCs w:val="22"/>
          <w:lang w:val="hr-HR"/>
        </w:rPr>
      </w:pPr>
    </w:p>
    <w:p w:rsidR="006A31AA" w:rsidRPr="00155F80" w:rsidRDefault="006A31AA" w:rsidP="000C0138">
      <w:pPr>
        <w:spacing w:line="276" w:lineRule="auto"/>
        <w:rPr>
          <w:rFonts w:ascii="Times New Roman" w:hAnsi="Times New Roman"/>
          <w:b/>
          <w:lang w:val="bs-Latn-BA" w:eastAsia="bs-Latn-BA"/>
        </w:rPr>
      </w:pPr>
      <w:r>
        <w:rPr>
          <w:rFonts w:ascii="Times New Roman" w:hAnsi="Times New Roman"/>
          <w:b/>
        </w:rPr>
        <w:t>Imunizacija</w:t>
      </w:r>
      <w:r w:rsidRPr="00155F80">
        <w:rPr>
          <w:rFonts w:ascii="Times New Roman" w:hAnsi="Times New Roman"/>
          <w:b/>
        </w:rPr>
        <w:t xml:space="preserve"> </w:t>
      </w:r>
    </w:p>
    <w:p w:rsidR="00A131AD" w:rsidRPr="00155F80" w:rsidRDefault="00A131AD" w:rsidP="000C0138">
      <w:pPr>
        <w:spacing w:line="276" w:lineRule="auto"/>
        <w:rPr>
          <w:rFonts w:ascii="Times New Roman" w:hAnsi="Times New Roman"/>
        </w:rPr>
      </w:pPr>
    </w:p>
    <w:p w:rsidR="00834139" w:rsidRPr="00155F80" w:rsidRDefault="00A131AD" w:rsidP="000C0138">
      <w:pPr>
        <w:spacing w:line="276" w:lineRule="auto"/>
        <w:rPr>
          <w:rFonts w:ascii="Times New Roman" w:hAnsi="Times New Roman"/>
          <w:color w:val="000000"/>
        </w:rPr>
      </w:pPr>
      <w:r w:rsidRPr="00155F80">
        <w:rPr>
          <w:rFonts w:ascii="Times New Roman" w:hAnsi="Times New Roman"/>
          <w:color w:val="000000"/>
        </w:rPr>
        <w:t>Poda</w:t>
      </w:r>
      <w:r w:rsidR="008A7130">
        <w:rPr>
          <w:rFonts w:ascii="Times New Roman" w:hAnsi="Times New Roman"/>
          <w:color w:val="000000"/>
        </w:rPr>
        <w:t>t</w:t>
      </w:r>
      <w:r w:rsidRPr="00155F80">
        <w:rPr>
          <w:rFonts w:ascii="Times New Roman" w:hAnsi="Times New Roman"/>
          <w:color w:val="000000"/>
        </w:rPr>
        <w:t xml:space="preserve">ci o pokrivenosti djece u Federaciji Bosne i Hercegovine </w:t>
      </w:r>
      <w:r w:rsidR="00311436">
        <w:rPr>
          <w:rFonts w:ascii="Times New Roman" w:hAnsi="Times New Roman"/>
          <w:color w:val="000000"/>
        </w:rPr>
        <w:t>cjepivima</w:t>
      </w:r>
      <w:r w:rsidRPr="00155F80">
        <w:rPr>
          <w:rFonts w:ascii="Times New Roman" w:hAnsi="Times New Roman"/>
          <w:color w:val="000000"/>
        </w:rPr>
        <w:t xml:space="preserve"> iz obveznog programa </w:t>
      </w:r>
      <w:r w:rsidR="00311436">
        <w:rPr>
          <w:rFonts w:ascii="Times New Roman" w:hAnsi="Times New Roman"/>
          <w:color w:val="000000"/>
        </w:rPr>
        <w:t>cijepljenja</w:t>
      </w:r>
      <w:r w:rsidRPr="00155F80">
        <w:rPr>
          <w:rFonts w:ascii="Times New Roman" w:hAnsi="Times New Roman"/>
          <w:color w:val="000000"/>
        </w:rPr>
        <w:t>, prikupljeni administrativnom metodom, rutinskim izvješ</w:t>
      </w:r>
      <w:r w:rsidR="008A7130">
        <w:rPr>
          <w:rFonts w:ascii="Times New Roman" w:hAnsi="Times New Roman"/>
          <w:color w:val="000000"/>
        </w:rPr>
        <w:t>ćiva</w:t>
      </w:r>
      <w:r w:rsidRPr="00155F80">
        <w:rPr>
          <w:rFonts w:ascii="Times New Roman" w:hAnsi="Times New Roman"/>
          <w:color w:val="000000"/>
        </w:rPr>
        <w:t xml:space="preserve">njem, počevši od zdravstvene </w:t>
      </w:r>
      <w:r w:rsidRPr="00155F80">
        <w:rPr>
          <w:rFonts w:ascii="Times New Roman" w:hAnsi="Times New Roman"/>
          <w:color w:val="000000"/>
        </w:rPr>
        <w:lastRenderedPageBreak/>
        <w:t>ustanove koja obavlja obveznu imunizaciju, preko nadležnih kantonalnih zavoda za javno zdravstvo do Federalnog zavoda za javno zdravstvo.</w:t>
      </w:r>
    </w:p>
    <w:p w:rsidR="00A131AD" w:rsidRPr="00155F80" w:rsidRDefault="00A131AD" w:rsidP="000C0138">
      <w:pPr>
        <w:spacing w:line="276" w:lineRule="auto"/>
        <w:rPr>
          <w:rFonts w:ascii="Times New Roman" w:hAnsi="Times New Roman"/>
        </w:rPr>
      </w:pPr>
    </w:p>
    <w:p w:rsidR="00A131AD" w:rsidRPr="00155F80" w:rsidRDefault="00A131AD" w:rsidP="00EB7CC7">
      <w:pPr>
        <w:pStyle w:val="refererere"/>
      </w:pPr>
      <w:r w:rsidRPr="00155F80">
        <w:t xml:space="preserve">Grafikon 48: Pokrivenosti djece u Federaciji BiH </w:t>
      </w:r>
      <w:r w:rsidR="008A7130">
        <w:t>cjepivom</w:t>
      </w:r>
      <w:r w:rsidRPr="00155F80">
        <w:t xml:space="preserve">, za </w:t>
      </w:r>
      <w:r w:rsidR="008A7130">
        <w:t>razdoblje</w:t>
      </w:r>
      <w:r w:rsidRPr="00155F80">
        <w:t xml:space="preserve"> 2011.- 2015.godina, indeks strukture</w:t>
      </w:r>
    </w:p>
    <w:p w:rsidR="00A131AD" w:rsidRPr="00155F80" w:rsidRDefault="00A131AD" w:rsidP="000C0138">
      <w:pPr>
        <w:spacing w:line="276" w:lineRule="auto"/>
        <w:rPr>
          <w:rFonts w:ascii="Times New Roman" w:hAnsi="Times New Roman"/>
        </w:rPr>
      </w:pPr>
      <w:r w:rsidRPr="00155F80">
        <w:rPr>
          <w:rFonts w:ascii="Times New Roman" w:hAnsi="Times New Roman"/>
          <w:noProof/>
          <w:lang w:val="bs-Latn-BA" w:eastAsia="bs-Latn-BA"/>
        </w:rPr>
        <w:drawing>
          <wp:inline distT="0" distB="0" distL="0" distR="0" wp14:anchorId="6F92B44D" wp14:editId="6A1BD17A">
            <wp:extent cx="5807676" cy="2740025"/>
            <wp:effectExtent l="0" t="0" r="3175" b="3175"/>
            <wp:docPr id="17" name="Chart 1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A131AD" w:rsidRPr="00155F80" w:rsidRDefault="00A131AD" w:rsidP="000C0138">
      <w:pPr>
        <w:spacing w:line="276" w:lineRule="auto"/>
        <w:rPr>
          <w:rFonts w:ascii="Times New Roman" w:hAnsi="Times New Roman"/>
        </w:rPr>
      </w:pPr>
    </w:p>
    <w:p w:rsidR="00A131AD" w:rsidRPr="00155F80" w:rsidRDefault="00A131AD" w:rsidP="000C0138">
      <w:pPr>
        <w:spacing w:line="276" w:lineRule="auto"/>
        <w:rPr>
          <w:rFonts w:ascii="Times New Roman" w:hAnsi="Times New Roman"/>
        </w:rPr>
      </w:pPr>
      <w:r w:rsidRPr="00155F80">
        <w:rPr>
          <w:rFonts w:ascii="Times New Roman" w:hAnsi="Times New Roman"/>
        </w:rPr>
        <w:t xml:space="preserve">U 2015. godini, registriran je pad pokrivnosti djece svim </w:t>
      </w:r>
      <w:r w:rsidR="00311436">
        <w:rPr>
          <w:rFonts w:ascii="Times New Roman" w:hAnsi="Times New Roman"/>
        </w:rPr>
        <w:t>cjepivima</w:t>
      </w:r>
      <w:r w:rsidRPr="00155F80">
        <w:rPr>
          <w:rFonts w:ascii="Times New Roman" w:hAnsi="Times New Roman"/>
        </w:rPr>
        <w:t xml:space="preserve"> iz obveznog programa imuniz</w:t>
      </w:r>
      <w:r w:rsidR="009E2387">
        <w:rPr>
          <w:rFonts w:ascii="Times New Roman" w:hAnsi="Times New Roman"/>
        </w:rPr>
        <w:t xml:space="preserve">acije, osim </w:t>
      </w:r>
      <w:r w:rsidR="00311436">
        <w:rPr>
          <w:rFonts w:ascii="Times New Roman" w:hAnsi="Times New Roman"/>
        </w:rPr>
        <w:t>cjepivom</w:t>
      </w:r>
      <w:r w:rsidRPr="00155F80">
        <w:rPr>
          <w:rFonts w:ascii="Times New Roman" w:hAnsi="Times New Roman"/>
        </w:rPr>
        <w:t xml:space="preserve"> protiv tuberkuloze (BCG) koja je registrirala najveći procenat pokrivenosti,  95,7% . Obu</w:t>
      </w:r>
      <w:r w:rsidR="009E2387">
        <w:rPr>
          <w:rFonts w:ascii="Times New Roman" w:hAnsi="Times New Roman"/>
        </w:rPr>
        <w:t xml:space="preserve">hvat sa tri doze </w:t>
      </w:r>
      <w:r w:rsidR="00311436">
        <w:rPr>
          <w:rFonts w:ascii="Times New Roman" w:hAnsi="Times New Roman"/>
        </w:rPr>
        <w:t>cjepiva</w:t>
      </w:r>
      <w:r w:rsidRPr="00155F80">
        <w:rPr>
          <w:rFonts w:ascii="Times New Roman" w:hAnsi="Times New Roman"/>
        </w:rPr>
        <w:t xml:space="preserve"> protiv hepatitisa B  iznosio je 78,8% (obuhvat s prvom dozom je 95,4</w:t>
      </w:r>
      <w:r w:rsidR="00DF5CCD">
        <w:rPr>
          <w:rFonts w:ascii="Times New Roman" w:hAnsi="Times New Roman"/>
          <w:color w:val="000000"/>
        </w:rPr>
        <w:t>%).</w:t>
      </w:r>
      <w:r w:rsidRPr="00155F80">
        <w:rPr>
          <w:rFonts w:ascii="Times New Roman" w:hAnsi="Times New Roman"/>
          <w:color w:val="000000"/>
        </w:rPr>
        <w:t xml:space="preserve"> Nizak obuhvat je sasvim sigurno povezan s odustajanjem od </w:t>
      </w:r>
      <w:r w:rsidR="00311436">
        <w:rPr>
          <w:rFonts w:ascii="Times New Roman" w:hAnsi="Times New Roman"/>
          <w:color w:val="000000"/>
        </w:rPr>
        <w:t>cijepljenja</w:t>
      </w:r>
      <w:r w:rsidRPr="00155F80">
        <w:rPr>
          <w:rFonts w:ascii="Times New Roman" w:hAnsi="Times New Roman"/>
          <w:color w:val="000000"/>
        </w:rPr>
        <w:t xml:space="preserve"> trećom dozom </w:t>
      </w:r>
      <w:r w:rsidR="00FE3B0D">
        <w:rPr>
          <w:rFonts w:ascii="Times New Roman" w:hAnsi="Times New Roman"/>
          <w:color w:val="000000"/>
        </w:rPr>
        <w:t>cjepiva</w:t>
      </w:r>
      <w:r w:rsidRPr="00155F80">
        <w:rPr>
          <w:rFonts w:ascii="Times New Roman" w:hAnsi="Times New Roman"/>
          <w:color w:val="000000"/>
        </w:rPr>
        <w:t xml:space="preserve"> protiv zarazne žutice tip B (hepatitis B) koja se isto</w:t>
      </w:r>
      <w:r w:rsidR="008A7130">
        <w:rPr>
          <w:rFonts w:ascii="Times New Roman" w:hAnsi="Times New Roman"/>
          <w:color w:val="000000"/>
        </w:rPr>
        <w:t>dobno</w:t>
      </w:r>
      <w:r w:rsidRPr="00155F80">
        <w:rPr>
          <w:rFonts w:ascii="Times New Roman" w:hAnsi="Times New Roman"/>
          <w:color w:val="000000"/>
        </w:rPr>
        <w:t xml:space="preserve"> primjenjivala sa t</w:t>
      </w:r>
      <w:r w:rsidR="009E2387">
        <w:rPr>
          <w:rFonts w:ascii="Times New Roman" w:hAnsi="Times New Roman"/>
          <w:color w:val="000000"/>
        </w:rPr>
        <w:t>rećom dozom celularn</w:t>
      </w:r>
      <w:r w:rsidR="008A7130">
        <w:rPr>
          <w:rFonts w:ascii="Times New Roman" w:hAnsi="Times New Roman"/>
          <w:color w:val="000000"/>
        </w:rPr>
        <w:t>og</w:t>
      </w:r>
      <w:r w:rsidR="009E2387">
        <w:rPr>
          <w:rFonts w:ascii="Times New Roman" w:hAnsi="Times New Roman"/>
          <w:color w:val="000000"/>
        </w:rPr>
        <w:t xml:space="preserve"> </w:t>
      </w:r>
      <w:r w:rsidR="008A7130">
        <w:rPr>
          <w:rFonts w:ascii="Times New Roman" w:hAnsi="Times New Roman"/>
          <w:color w:val="000000"/>
        </w:rPr>
        <w:t>cjepiva</w:t>
      </w:r>
      <w:r w:rsidRPr="00155F80">
        <w:rPr>
          <w:rFonts w:ascii="Times New Roman" w:hAnsi="Times New Roman"/>
          <w:color w:val="000000"/>
        </w:rPr>
        <w:t xml:space="preserve"> protiv difterije, tetanusa i velikog kašlja,</w:t>
      </w:r>
      <w:r w:rsidRPr="00155F80">
        <w:rPr>
          <w:rFonts w:ascii="Times New Roman" w:hAnsi="Times New Roman"/>
        </w:rPr>
        <w:t xml:space="preserve"> te odbijanja roditelja i</w:t>
      </w:r>
      <w:r w:rsidR="009E2387">
        <w:rPr>
          <w:rFonts w:ascii="Times New Roman" w:hAnsi="Times New Roman"/>
        </w:rPr>
        <w:t xml:space="preserve"> zdravstvenih </w:t>
      </w:r>
      <w:r w:rsidR="008A7130">
        <w:rPr>
          <w:rFonts w:ascii="Times New Roman" w:hAnsi="Times New Roman"/>
        </w:rPr>
        <w:t>djelatnika</w:t>
      </w:r>
      <w:r w:rsidR="009E2387">
        <w:rPr>
          <w:rFonts w:ascii="Times New Roman" w:hAnsi="Times New Roman"/>
        </w:rPr>
        <w:t xml:space="preserve"> da </w:t>
      </w:r>
      <w:r w:rsidR="00311436">
        <w:rPr>
          <w:rFonts w:ascii="Times New Roman" w:hAnsi="Times New Roman"/>
        </w:rPr>
        <w:t>cijepe djecu ovom vrstom cjepiva</w:t>
      </w:r>
      <w:r w:rsidRPr="00155F80">
        <w:rPr>
          <w:rFonts w:ascii="Times New Roman" w:hAnsi="Times New Roman"/>
        </w:rPr>
        <w:t>. Iz istih razloga, kao i zbog nestaš</w:t>
      </w:r>
      <w:r w:rsidR="009E2387">
        <w:rPr>
          <w:rFonts w:ascii="Times New Roman" w:hAnsi="Times New Roman"/>
        </w:rPr>
        <w:t xml:space="preserve">ice kombiniranih </w:t>
      </w:r>
      <w:r w:rsidR="00311436">
        <w:rPr>
          <w:rFonts w:ascii="Times New Roman" w:hAnsi="Times New Roman"/>
        </w:rPr>
        <w:t>cjepiva</w:t>
      </w:r>
      <w:r w:rsidRPr="00155F80">
        <w:rPr>
          <w:rFonts w:ascii="Times New Roman" w:hAnsi="Times New Roman"/>
        </w:rPr>
        <w:t xml:space="preserve">, obuhvat </w:t>
      </w:r>
      <w:r w:rsidR="00311436">
        <w:rPr>
          <w:rFonts w:ascii="Times New Roman" w:hAnsi="Times New Roman"/>
        </w:rPr>
        <w:t xml:space="preserve">cijepljenjem </w:t>
      </w:r>
      <w:r w:rsidRPr="00155F80">
        <w:rPr>
          <w:rFonts w:ascii="Times New Roman" w:hAnsi="Times New Roman"/>
        </w:rPr>
        <w:t xml:space="preserve"> protiv difterije, tetanusa, velikog kašlja i dječje paralize je </w:t>
      </w:r>
      <w:r w:rsidR="009E2387">
        <w:rPr>
          <w:rFonts w:ascii="Times New Roman" w:hAnsi="Times New Roman"/>
        </w:rPr>
        <w:t>ispod ciljne</w:t>
      </w:r>
      <w:r w:rsidRPr="00155F80">
        <w:rPr>
          <w:rFonts w:ascii="Times New Roman" w:hAnsi="Times New Roman"/>
        </w:rPr>
        <w:t xml:space="preserve"> i iznosio je 76,3%. </w:t>
      </w:r>
    </w:p>
    <w:p w:rsidR="00A131AD" w:rsidRPr="00155F80" w:rsidRDefault="00A131AD" w:rsidP="000C0138">
      <w:pPr>
        <w:spacing w:line="276" w:lineRule="auto"/>
        <w:rPr>
          <w:rFonts w:ascii="Times New Roman" w:hAnsi="Times New Roman"/>
        </w:rPr>
      </w:pPr>
      <w:r w:rsidRPr="00155F80">
        <w:rPr>
          <w:rFonts w:ascii="Times New Roman" w:hAnsi="Times New Roman"/>
        </w:rPr>
        <w:t xml:space="preserve">Docjepljivanje/revakcinacija </w:t>
      </w:r>
      <w:r w:rsidR="00311436">
        <w:rPr>
          <w:rFonts w:ascii="Times New Roman" w:hAnsi="Times New Roman"/>
        </w:rPr>
        <w:t>cjepivom</w:t>
      </w:r>
      <w:r w:rsidRPr="00155F80">
        <w:rPr>
          <w:rFonts w:ascii="Times New Roman" w:hAnsi="Times New Roman"/>
        </w:rPr>
        <w:t xml:space="preserve"> protiv difterije, velikog kašlja, tetanusa i dječije paralize (DTP+POLIO cjepivom) je provedeno sa vrlo niskim obuhvatom od 68,3%. </w:t>
      </w:r>
    </w:p>
    <w:p w:rsidR="00A131AD" w:rsidRPr="00155F80" w:rsidRDefault="009E2387" w:rsidP="000C0138">
      <w:pPr>
        <w:spacing w:line="276" w:lineRule="auto"/>
        <w:rPr>
          <w:rFonts w:ascii="Times New Roman" w:hAnsi="Times New Roman"/>
        </w:rPr>
      </w:pPr>
      <w:r>
        <w:rPr>
          <w:rFonts w:ascii="Times New Roman" w:hAnsi="Times New Roman"/>
        </w:rPr>
        <w:t xml:space="preserve">Obuhvat školske djece </w:t>
      </w:r>
      <w:r w:rsidR="008A7130">
        <w:rPr>
          <w:rFonts w:ascii="Times New Roman" w:hAnsi="Times New Roman"/>
        </w:rPr>
        <w:t>cjepivom</w:t>
      </w:r>
      <w:r w:rsidR="00A131AD" w:rsidRPr="00155F80">
        <w:rPr>
          <w:rFonts w:ascii="Times New Roman" w:hAnsi="Times New Roman"/>
        </w:rPr>
        <w:t xml:space="preserve"> protiv difterije, tetanusa i dječije paralize je zadovoljavajući i iznosio je  93,4%  za difteriju i tetanus, a za dječiju paralizu 91,7%. </w:t>
      </w:r>
    </w:p>
    <w:p w:rsidR="00A131AD" w:rsidRPr="00155F80" w:rsidRDefault="00A131AD" w:rsidP="000C0138">
      <w:pPr>
        <w:spacing w:line="276" w:lineRule="auto"/>
        <w:rPr>
          <w:rFonts w:ascii="Times New Roman" w:hAnsi="Times New Roman"/>
          <w:color w:val="FF0000"/>
        </w:rPr>
      </w:pPr>
    </w:p>
    <w:p w:rsidR="00A131AD" w:rsidRPr="00155F80" w:rsidRDefault="00A131AD" w:rsidP="000C0138">
      <w:pPr>
        <w:spacing w:line="276" w:lineRule="auto"/>
        <w:rPr>
          <w:rFonts w:ascii="Times New Roman" w:hAnsi="Times New Roman"/>
        </w:rPr>
      </w:pPr>
      <w:r w:rsidRPr="00155F80">
        <w:rPr>
          <w:rFonts w:ascii="Times New Roman" w:hAnsi="Times New Roman"/>
        </w:rPr>
        <w:t>Obuhvat cjepljenjem  protiv hemofilusa influence</w:t>
      </w:r>
      <w:r w:rsidR="009E2387">
        <w:rPr>
          <w:rFonts w:ascii="Times New Roman" w:hAnsi="Times New Roman"/>
        </w:rPr>
        <w:t xml:space="preserve"> tip b je iznosio 79,4%, dok je</w:t>
      </w:r>
      <w:r w:rsidRPr="00155F80">
        <w:rPr>
          <w:rFonts w:ascii="Times New Roman" w:hAnsi="Times New Roman"/>
        </w:rPr>
        <w:t xml:space="preserve"> u docjepljivanju  u osamnaestom mjesecu života iznosio 75,5%.</w:t>
      </w:r>
    </w:p>
    <w:p w:rsidR="00A131AD" w:rsidRPr="00155F80" w:rsidRDefault="00A131AD" w:rsidP="000C0138">
      <w:pPr>
        <w:spacing w:line="276" w:lineRule="auto"/>
        <w:rPr>
          <w:rFonts w:ascii="Times New Roman" w:hAnsi="Times New Roman"/>
        </w:rPr>
      </w:pPr>
    </w:p>
    <w:p w:rsidR="00A131AD" w:rsidRPr="00155F80" w:rsidRDefault="00A131AD" w:rsidP="000C0138">
      <w:pPr>
        <w:spacing w:line="276" w:lineRule="auto"/>
        <w:rPr>
          <w:rFonts w:ascii="Times New Roman" w:hAnsi="Times New Roman"/>
        </w:rPr>
      </w:pPr>
      <w:r w:rsidRPr="00155F80">
        <w:rPr>
          <w:rFonts w:ascii="Times New Roman" w:hAnsi="Times New Roman"/>
          <w:color w:val="000000"/>
        </w:rPr>
        <w:t xml:space="preserve">U 2015. godini obuhvat prvom dozom MRP </w:t>
      </w:r>
      <w:r w:rsidR="008A7130">
        <w:rPr>
          <w:rFonts w:ascii="Times New Roman" w:hAnsi="Times New Roman"/>
          <w:color w:val="000000"/>
        </w:rPr>
        <w:t>cjepiva</w:t>
      </w:r>
      <w:r w:rsidRPr="00155F80">
        <w:rPr>
          <w:rFonts w:ascii="Times New Roman" w:hAnsi="Times New Roman"/>
          <w:color w:val="000000"/>
        </w:rPr>
        <w:t xml:space="preserve"> je ispod ciljne, iznosi 77,9%, dok je obuhvat d</w:t>
      </w:r>
      <w:r w:rsidR="00311436">
        <w:rPr>
          <w:rFonts w:ascii="Times New Roman" w:hAnsi="Times New Roman"/>
          <w:color w:val="000000"/>
        </w:rPr>
        <w:t xml:space="preserve">rugom dozom MRP cjepiva </w:t>
      </w:r>
      <w:r w:rsidRPr="00155F80">
        <w:rPr>
          <w:rFonts w:ascii="Times New Roman" w:hAnsi="Times New Roman"/>
          <w:color w:val="000000"/>
        </w:rPr>
        <w:t>nešto veći, a iznosio je 81,5%. I</w:t>
      </w:r>
      <w:r w:rsidRPr="00155F80">
        <w:rPr>
          <w:rFonts w:ascii="Times New Roman" w:hAnsi="Times New Roman"/>
          <w:color w:val="FF0000"/>
        </w:rPr>
        <w:t xml:space="preserve"> </w:t>
      </w:r>
      <w:r w:rsidRPr="00155F80">
        <w:rPr>
          <w:rFonts w:ascii="Times New Roman" w:hAnsi="Times New Roman"/>
        </w:rPr>
        <w:t>ovdje je također zabilježen pad obuhvata u odnosu na prethodn</w:t>
      </w:r>
      <w:r w:rsidR="008A7130">
        <w:rPr>
          <w:rFonts w:ascii="Times New Roman" w:hAnsi="Times New Roman"/>
        </w:rPr>
        <w:t>o</w:t>
      </w:r>
      <w:r w:rsidRPr="00155F80">
        <w:rPr>
          <w:rFonts w:ascii="Times New Roman" w:hAnsi="Times New Roman"/>
        </w:rPr>
        <w:t xml:space="preserve"> petogodišnj</w:t>
      </w:r>
      <w:r w:rsidR="008A7130">
        <w:rPr>
          <w:rFonts w:ascii="Times New Roman" w:hAnsi="Times New Roman"/>
        </w:rPr>
        <w:t>e</w:t>
      </w:r>
      <w:r w:rsidRPr="00155F80">
        <w:rPr>
          <w:rFonts w:ascii="Times New Roman" w:hAnsi="Times New Roman"/>
        </w:rPr>
        <w:t xml:space="preserve"> </w:t>
      </w:r>
      <w:r w:rsidR="008A7130">
        <w:rPr>
          <w:rFonts w:ascii="Times New Roman" w:hAnsi="Times New Roman"/>
        </w:rPr>
        <w:t>razdoblje</w:t>
      </w:r>
      <w:r w:rsidRPr="00155F80">
        <w:rPr>
          <w:rFonts w:ascii="Times New Roman" w:hAnsi="Times New Roman"/>
        </w:rPr>
        <w:t>. Zbog epidemije morbila prov</w:t>
      </w:r>
      <w:r w:rsidR="00311436">
        <w:rPr>
          <w:rFonts w:ascii="Times New Roman" w:hAnsi="Times New Roman"/>
        </w:rPr>
        <w:t>edeno je cijepljenje</w:t>
      </w:r>
      <w:r w:rsidRPr="00155F80">
        <w:rPr>
          <w:rFonts w:ascii="Times New Roman" w:hAnsi="Times New Roman"/>
        </w:rPr>
        <w:t xml:space="preserve"> djece i starijih dobnih skupina, pa se procje</w:t>
      </w:r>
      <w:r w:rsidR="00311436">
        <w:rPr>
          <w:rFonts w:ascii="Times New Roman" w:hAnsi="Times New Roman"/>
        </w:rPr>
        <w:t>njuje da je obuhvat ipak veći (</w:t>
      </w:r>
      <w:r w:rsidRPr="00155F80">
        <w:rPr>
          <w:rFonts w:ascii="Times New Roman" w:hAnsi="Times New Roman"/>
        </w:rPr>
        <w:t>83,5%, odnosno 89,5%).</w:t>
      </w:r>
    </w:p>
    <w:p w:rsidR="00A131AD" w:rsidRPr="00155F80" w:rsidRDefault="00A131AD" w:rsidP="000C0138">
      <w:pPr>
        <w:spacing w:line="276" w:lineRule="auto"/>
        <w:rPr>
          <w:rFonts w:ascii="Times New Roman" w:hAnsi="Times New Roman"/>
        </w:rPr>
      </w:pPr>
    </w:p>
    <w:p w:rsidR="00A131AD" w:rsidRPr="00155F80" w:rsidRDefault="00A131AD" w:rsidP="000C0138">
      <w:pPr>
        <w:spacing w:line="276" w:lineRule="auto"/>
        <w:rPr>
          <w:rFonts w:ascii="Times New Roman" w:hAnsi="Times New Roman"/>
        </w:rPr>
      </w:pPr>
      <w:r w:rsidRPr="00155F80">
        <w:rPr>
          <w:rFonts w:ascii="Times New Roman" w:hAnsi="Times New Roman"/>
        </w:rPr>
        <w:t>Poda</w:t>
      </w:r>
      <w:r w:rsidR="008A7130">
        <w:rPr>
          <w:rFonts w:ascii="Times New Roman" w:hAnsi="Times New Roman"/>
        </w:rPr>
        <w:t>t</w:t>
      </w:r>
      <w:r w:rsidRPr="00155F80">
        <w:rPr>
          <w:rFonts w:ascii="Times New Roman" w:hAnsi="Times New Roman"/>
        </w:rPr>
        <w:t xml:space="preserve">ci o broju </w:t>
      </w:r>
      <w:r w:rsidR="00311436">
        <w:rPr>
          <w:rFonts w:ascii="Times New Roman" w:hAnsi="Times New Roman"/>
        </w:rPr>
        <w:t>cijepljenih</w:t>
      </w:r>
      <w:r w:rsidRPr="00155F80">
        <w:rPr>
          <w:rFonts w:ascii="Times New Roman" w:hAnsi="Times New Roman"/>
        </w:rPr>
        <w:t xml:space="preserve"> u privatnom sektoru nisu dostupni, ali je izvjesno da je značajan dio roditelja upravo tu cjepilo djecu cjepivom </w:t>
      </w:r>
      <w:r w:rsidR="00311436">
        <w:rPr>
          <w:rFonts w:ascii="Times New Roman" w:hAnsi="Times New Roman"/>
        </w:rPr>
        <w:t>s kombiniranim cjepivom</w:t>
      </w:r>
      <w:r w:rsidRPr="00155F80">
        <w:rPr>
          <w:rFonts w:ascii="Times New Roman" w:hAnsi="Times New Roman"/>
        </w:rPr>
        <w:t xml:space="preserve"> i da je obuhvat veći od zabilježenog.</w:t>
      </w:r>
    </w:p>
    <w:p w:rsidR="00A131AD" w:rsidRPr="00155F80" w:rsidRDefault="00A131AD" w:rsidP="000C0138">
      <w:pPr>
        <w:spacing w:line="276" w:lineRule="auto"/>
        <w:rPr>
          <w:rFonts w:ascii="Times New Roman" w:hAnsi="Times New Roman"/>
        </w:rPr>
      </w:pPr>
    </w:p>
    <w:p w:rsidR="00A131AD" w:rsidRPr="00155F80" w:rsidRDefault="00A131AD" w:rsidP="000C0138">
      <w:pPr>
        <w:spacing w:line="276" w:lineRule="auto"/>
        <w:rPr>
          <w:rFonts w:ascii="Times New Roman" w:hAnsi="Times New Roman"/>
        </w:rPr>
      </w:pPr>
      <w:r w:rsidRPr="00155F80">
        <w:rPr>
          <w:rFonts w:ascii="Times New Roman" w:hAnsi="Times New Roman"/>
        </w:rPr>
        <w:t xml:space="preserve">U 2015., kao </w:t>
      </w:r>
      <w:r w:rsidR="00311436">
        <w:rPr>
          <w:rFonts w:ascii="Times New Roman" w:hAnsi="Times New Roman"/>
        </w:rPr>
        <w:t>i u 2014. godini Federacija BiH</w:t>
      </w:r>
      <w:r w:rsidRPr="00155F80">
        <w:rPr>
          <w:rFonts w:ascii="Times New Roman" w:hAnsi="Times New Roman"/>
        </w:rPr>
        <w:t xml:space="preserve"> se suočila s problemom nabave</w:t>
      </w:r>
      <w:r w:rsidR="00311436">
        <w:rPr>
          <w:rFonts w:ascii="Times New Roman" w:hAnsi="Times New Roman"/>
        </w:rPr>
        <w:t xml:space="preserve"> kombiniranih cjepiva</w:t>
      </w:r>
      <w:r w:rsidRPr="00155F80">
        <w:rPr>
          <w:rFonts w:ascii="Times New Roman" w:hAnsi="Times New Roman"/>
        </w:rPr>
        <w:t xml:space="preserve">, što je za posljedicu imalo izmjenu kalendara cijepljenja. Problemi s nabavom i izmjena programa izazivaju nezadovoljstvo među općom i stručnom javnosti, te kompromitiraju program imunizacije. </w:t>
      </w:r>
      <w:r w:rsidR="00311436">
        <w:rPr>
          <w:rFonts w:ascii="Times New Roman" w:hAnsi="Times New Roman"/>
        </w:rPr>
        <w:lastRenderedPageBreak/>
        <w:t xml:space="preserve">Mnoge isporuke i drugih </w:t>
      </w:r>
      <w:r w:rsidRPr="00155F80">
        <w:rPr>
          <w:rFonts w:ascii="Times New Roman" w:hAnsi="Times New Roman"/>
        </w:rPr>
        <w:t>cjepiva su kasnile, što će biti izazovi za učinkovitu nabavu cjepiva u budućnosti. Ograničena baza dobavljača, ograničene opcije za nabavu cjepiva, nekoliko proizvođača na europskom tržištu za nov</w:t>
      </w:r>
      <w:r w:rsidR="008A7130">
        <w:rPr>
          <w:rFonts w:ascii="Times New Roman" w:hAnsi="Times New Roman"/>
        </w:rPr>
        <w:t>a</w:t>
      </w:r>
      <w:r w:rsidRPr="00155F80">
        <w:rPr>
          <w:rFonts w:ascii="Times New Roman" w:hAnsi="Times New Roman"/>
        </w:rPr>
        <w:t xml:space="preserve"> </w:t>
      </w:r>
      <w:r w:rsidR="008A7130">
        <w:rPr>
          <w:rFonts w:ascii="Times New Roman" w:hAnsi="Times New Roman"/>
        </w:rPr>
        <w:t>cjepiva</w:t>
      </w:r>
      <w:r w:rsidRPr="00155F80">
        <w:rPr>
          <w:rFonts w:ascii="Times New Roman" w:hAnsi="Times New Roman"/>
        </w:rPr>
        <w:t xml:space="preserve">, ograničena nabavna moć jer se ugovaraju male količine i izostanak višegodišnjih </w:t>
      </w:r>
      <w:r w:rsidR="008A7130">
        <w:rPr>
          <w:rFonts w:ascii="Times New Roman" w:hAnsi="Times New Roman"/>
        </w:rPr>
        <w:t>natječaja</w:t>
      </w:r>
      <w:r w:rsidRPr="00155F80">
        <w:rPr>
          <w:rFonts w:ascii="Times New Roman" w:hAnsi="Times New Roman"/>
        </w:rPr>
        <w:t xml:space="preserve">, nejednakost cijena (cijene za različite formulacije variraju), neučinkoviti sustavi nabave koji su neprilagođeni specifičnom tržištu cjepiva, te, što je naročito bio slučaj u ovoj godini, kasno raspisivanje </w:t>
      </w:r>
      <w:r w:rsidR="008A7130">
        <w:rPr>
          <w:rFonts w:ascii="Times New Roman" w:hAnsi="Times New Roman"/>
        </w:rPr>
        <w:t>natječaja</w:t>
      </w:r>
      <w:r w:rsidRPr="00155F80">
        <w:rPr>
          <w:rFonts w:ascii="Times New Roman" w:hAnsi="Times New Roman"/>
        </w:rPr>
        <w:t xml:space="preserve"> (nakon usvajanja </w:t>
      </w:r>
      <w:r w:rsidR="008A7130">
        <w:rPr>
          <w:rFonts w:ascii="Times New Roman" w:hAnsi="Times New Roman"/>
        </w:rPr>
        <w:t>P</w:t>
      </w:r>
      <w:r w:rsidRPr="00155F80">
        <w:rPr>
          <w:rFonts w:ascii="Times New Roman" w:hAnsi="Times New Roman"/>
        </w:rPr>
        <w:t>roračuna od strane Parlamenta).</w:t>
      </w:r>
    </w:p>
    <w:p w:rsidR="00A131AD" w:rsidRPr="00155F80" w:rsidRDefault="00A131AD" w:rsidP="000C0138">
      <w:pPr>
        <w:spacing w:line="276" w:lineRule="auto"/>
        <w:rPr>
          <w:rFonts w:ascii="Times New Roman" w:hAnsi="Times New Roman"/>
        </w:rPr>
      </w:pPr>
    </w:p>
    <w:p w:rsidR="00A131AD" w:rsidRPr="00155F80" w:rsidRDefault="00A131AD" w:rsidP="000C0138">
      <w:pPr>
        <w:spacing w:line="276" w:lineRule="auto"/>
        <w:rPr>
          <w:rFonts w:ascii="Times New Roman" w:hAnsi="Times New Roman"/>
        </w:rPr>
      </w:pPr>
      <w:r w:rsidRPr="00155F80">
        <w:rPr>
          <w:rFonts w:ascii="Times New Roman" w:hAnsi="Times New Roman"/>
        </w:rPr>
        <w:t>Drugi izazovi koji stoje pred programom imunizacije, dio su šireg društvenog fenomena, a vezani su uz t</w:t>
      </w:r>
      <w:r w:rsidR="005E297E">
        <w:rPr>
          <w:rFonts w:ascii="Times New Roman" w:hAnsi="Times New Roman"/>
        </w:rPr>
        <w:t>endenciju ka promjeni percepcije</w:t>
      </w:r>
      <w:r w:rsidRPr="00155F80">
        <w:rPr>
          <w:rFonts w:ascii="Times New Roman" w:hAnsi="Times New Roman"/>
        </w:rPr>
        <w:t xml:space="preserve"> rizika, gdje se bolesti koje se mogu prevenirati cjepivom smatraju manje opasnim ili s niskom incidenc</w:t>
      </w:r>
      <w:r w:rsidR="008A7130">
        <w:rPr>
          <w:rFonts w:ascii="Times New Roman" w:hAnsi="Times New Roman"/>
        </w:rPr>
        <w:t>ij</w:t>
      </w:r>
      <w:r w:rsidRPr="00155F80">
        <w:rPr>
          <w:rFonts w:ascii="Times New Roman" w:hAnsi="Times New Roman"/>
        </w:rPr>
        <w:t>om, neopravdan strah od cjepiva, skepticizam i nepovjerenje prema državnim ustanovama i farmaceutskoj industriji, izostanak adekvatne medijske potpore, bilo zbog potrage za senzacionalizmom ili nedovoljne edukacije kada je riječ o temama vezanim za zdravstvo, i konačno djelovanje antivakcinalnih lobista, prije svega na internetu i društvenim mrežama.</w:t>
      </w:r>
    </w:p>
    <w:p w:rsidR="00A131AD" w:rsidRPr="00155F80" w:rsidRDefault="00A131AD" w:rsidP="000C0138">
      <w:pPr>
        <w:spacing w:line="276" w:lineRule="auto"/>
        <w:rPr>
          <w:rFonts w:ascii="Times New Roman" w:hAnsi="Times New Roman"/>
        </w:rPr>
      </w:pPr>
    </w:p>
    <w:p w:rsidR="00A131AD" w:rsidRPr="00155F80" w:rsidRDefault="00A131AD" w:rsidP="000C0138">
      <w:pPr>
        <w:spacing w:line="276" w:lineRule="auto"/>
        <w:rPr>
          <w:rFonts w:ascii="Times New Roman" w:hAnsi="Times New Roman"/>
        </w:rPr>
      </w:pPr>
      <w:r w:rsidRPr="00155F80">
        <w:rPr>
          <w:rFonts w:ascii="Times New Roman" w:hAnsi="Times New Roman"/>
        </w:rPr>
        <w:t>Zemlja mora imati jasnu strateg</w:t>
      </w:r>
      <w:r w:rsidR="005E297E">
        <w:rPr>
          <w:rFonts w:ascii="Times New Roman" w:hAnsi="Times New Roman"/>
        </w:rPr>
        <w:t>iju kada je riječ o imunizaciji</w:t>
      </w:r>
      <w:r w:rsidRPr="00155F80">
        <w:rPr>
          <w:rFonts w:ascii="Times New Roman" w:hAnsi="Times New Roman"/>
        </w:rPr>
        <w:t xml:space="preserve"> u cilju sinhronog odgovora svih nositelja Programa </w:t>
      </w:r>
      <w:r w:rsidR="005E297E">
        <w:rPr>
          <w:rFonts w:ascii="Times New Roman" w:hAnsi="Times New Roman"/>
        </w:rPr>
        <w:t>imunizacije, održanja i unapr</w:t>
      </w:r>
      <w:r w:rsidRPr="00155F80">
        <w:rPr>
          <w:rFonts w:ascii="Times New Roman" w:hAnsi="Times New Roman"/>
        </w:rPr>
        <w:t>eđenja dostignutih vrijednosti prema državnim strateškim ciljevima, odnosno prema preporukama Svjetske zdravstvene organizacije i Globalnom/Europskom akcijskom planu cijepljenja.</w:t>
      </w:r>
    </w:p>
    <w:p w:rsidR="00A131AD" w:rsidRPr="00155F80" w:rsidRDefault="00A131AD" w:rsidP="000C0138">
      <w:pPr>
        <w:spacing w:line="276" w:lineRule="auto"/>
        <w:rPr>
          <w:rFonts w:ascii="Times New Roman" w:hAnsi="Times New Roman"/>
        </w:rPr>
      </w:pPr>
    </w:p>
    <w:p w:rsidR="00A131AD" w:rsidRPr="00FA3644" w:rsidRDefault="00A131AD" w:rsidP="00FA3644">
      <w:pPr>
        <w:rPr>
          <w:rFonts w:ascii="Times New Roman" w:hAnsi="Times New Roman"/>
          <w:b/>
        </w:rPr>
      </w:pPr>
      <w:bookmarkStart w:id="280" w:name="_Toc453328552"/>
      <w:bookmarkStart w:id="281" w:name="_Toc453917742"/>
      <w:bookmarkStart w:id="282" w:name="_Toc454797841"/>
      <w:bookmarkStart w:id="283" w:name="_Toc454799738"/>
      <w:r w:rsidRPr="00FA3644">
        <w:rPr>
          <w:rFonts w:ascii="Times New Roman" w:hAnsi="Times New Roman"/>
          <w:b/>
        </w:rPr>
        <w:t>EPI BOLESTI (BOLESTI KOJE SE MOGU SPRIJEČITI CJEPIVOM)</w:t>
      </w:r>
      <w:bookmarkEnd w:id="280"/>
      <w:bookmarkEnd w:id="281"/>
      <w:bookmarkEnd w:id="282"/>
      <w:bookmarkEnd w:id="283"/>
    </w:p>
    <w:p w:rsidR="00A131AD" w:rsidRPr="00155F80" w:rsidRDefault="00A131AD" w:rsidP="00250204">
      <w:pPr>
        <w:pStyle w:val="TEKST"/>
        <w:rPr>
          <w:i/>
        </w:rPr>
      </w:pPr>
      <w:r w:rsidRPr="00155F80">
        <w:t>Morbili (Ospice, krzamak)</w:t>
      </w:r>
    </w:p>
    <w:p w:rsidR="00A131AD" w:rsidRPr="00155F80" w:rsidRDefault="00A131AD" w:rsidP="00250204">
      <w:pPr>
        <w:pStyle w:val="TEKST"/>
        <w:rPr>
          <w:b/>
          <w:i/>
        </w:rPr>
      </w:pPr>
      <w:r w:rsidRPr="00155F80">
        <w:t xml:space="preserve">Epidemija morbila koja je započela u </w:t>
      </w:r>
      <w:r w:rsidR="00436B43">
        <w:t>veljači</w:t>
      </w:r>
      <w:r w:rsidRPr="00155F80">
        <w:t xml:space="preserve"> 2014. god</w:t>
      </w:r>
      <w:r w:rsidR="002053DE" w:rsidRPr="00155F80">
        <w:t>i</w:t>
      </w:r>
      <w:r w:rsidRPr="00155F80">
        <w:t>ne, nastavila se širiti  i u 2015.</w:t>
      </w:r>
      <w:r w:rsidR="002053DE" w:rsidRPr="00155F80">
        <w:t xml:space="preserve"> </w:t>
      </w:r>
      <w:r w:rsidRPr="00155F80">
        <w:t>godini. Zabilježeni su slu</w:t>
      </w:r>
      <w:r w:rsidR="005E297E">
        <w:t>čajevi morbila u sedam kantona, pa je u</w:t>
      </w:r>
      <w:r w:rsidRPr="00155F80">
        <w:t xml:space="preserve"> 2015.</w:t>
      </w:r>
      <w:r w:rsidR="005E297E">
        <w:t xml:space="preserve"> godini ukupno</w:t>
      </w:r>
      <w:r w:rsidRPr="00155F80">
        <w:t xml:space="preserve"> prijavljeno 1.677 slučajeva. O</w:t>
      </w:r>
      <w:r w:rsidR="002053DE" w:rsidRPr="00155F80">
        <w:t>boljeli,</w:t>
      </w:r>
      <w:r w:rsidRPr="00155F80">
        <w:t xml:space="preserve"> najčešće ne</w:t>
      </w:r>
      <w:r w:rsidR="00436B43">
        <w:t>cijepljeni</w:t>
      </w:r>
      <w:r w:rsidRPr="00155F80">
        <w:t xml:space="preserve"> ili s nepoznatim </w:t>
      </w:r>
      <w:r w:rsidR="00436B43">
        <w:t xml:space="preserve">cjepnim </w:t>
      </w:r>
      <w:r w:rsidRPr="00155F80">
        <w:t>statusom činili su 87,9% (1.474) te nepotpuno cijepljeni 8,2% (138). Gotovo deset posto oboljelih je bilo mlađe od godinu dana, premladi za cijepljenje, koji su trebali biti zaštićeni kolektivnim imunitetom.</w:t>
      </w:r>
      <w:r w:rsidRPr="00155F80">
        <w:rPr>
          <w:bCs/>
          <w:color w:val="000000"/>
        </w:rPr>
        <w:t xml:space="preserve"> Komplikacije koje su zahtijevale hospitalizaciju u smislu pneumonije, meningitisa, pa čak i gubitka ploda kod trudnice oboljele </w:t>
      </w:r>
      <w:r w:rsidR="009E2387">
        <w:rPr>
          <w:bCs/>
          <w:color w:val="000000"/>
        </w:rPr>
        <w:t xml:space="preserve">od morbila, 9 % oboljele djece mlađe od </w:t>
      </w:r>
      <w:r w:rsidRPr="00155F80">
        <w:rPr>
          <w:bCs/>
          <w:color w:val="000000"/>
        </w:rPr>
        <w:t>1 godine života, koja su trebala biti zaštićena</w:t>
      </w:r>
      <w:r w:rsidR="002053DE" w:rsidRPr="00155F80">
        <w:rPr>
          <w:bCs/>
          <w:color w:val="000000"/>
        </w:rPr>
        <w:t xml:space="preserve"> kolektivnim imunitetom</w:t>
      </w:r>
      <w:r w:rsidRPr="00155F80">
        <w:rPr>
          <w:bCs/>
          <w:color w:val="000000"/>
        </w:rPr>
        <w:t>, kao i druga iskustva sa epidemijom u Federaciji BiH naglašavaju potrebu za implementacijom svih preporuka SZO strateškog plana za eliminaciju morbila i rubeole, 2012</w:t>
      </w:r>
      <w:r w:rsidR="002053DE" w:rsidRPr="00155F80">
        <w:rPr>
          <w:bCs/>
          <w:color w:val="000000"/>
        </w:rPr>
        <w:t>.</w:t>
      </w:r>
      <w:r w:rsidRPr="00155F80">
        <w:rPr>
          <w:bCs/>
          <w:color w:val="000000"/>
        </w:rPr>
        <w:t>-2020. (http://www.who.int/immunization/newsroom/Measles_Rubella_StrategicPlan_2012_2020.pdf).  Implementacija ključnih preporuka Plana, doprinijet će spr</w:t>
      </w:r>
      <w:r w:rsidR="00436B43">
        <w:rPr>
          <w:bCs/>
          <w:color w:val="000000"/>
        </w:rPr>
        <w:t>j</w:t>
      </w:r>
      <w:r w:rsidRPr="00155F80">
        <w:rPr>
          <w:bCs/>
          <w:color w:val="000000"/>
        </w:rPr>
        <w:t>ečavanju sličnih epidemija u budućnosti, i voditi Federaciju BiH prema eliminaciji morbila i rubeole.</w:t>
      </w:r>
    </w:p>
    <w:p w:rsidR="00A131AD" w:rsidRPr="00155F80" w:rsidRDefault="00A131AD" w:rsidP="000C0138">
      <w:pPr>
        <w:spacing w:line="276" w:lineRule="auto"/>
        <w:rPr>
          <w:rFonts w:ascii="Times New Roman" w:hAnsi="Times New Roman"/>
          <w:lang w:val="hr-BA"/>
        </w:rPr>
      </w:pPr>
      <w:r w:rsidRPr="00155F80">
        <w:rPr>
          <w:rFonts w:ascii="Times New Roman" w:hAnsi="Times New Roman"/>
        </w:rPr>
        <w:t xml:space="preserve">Osim epidemije morbila, druge bolesti koje </w:t>
      </w:r>
      <w:r w:rsidR="005E297E">
        <w:rPr>
          <w:rFonts w:ascii="Times New Roman" w:hAnsi="Times New Roman"/>
        </w:rPr>
        <w:t>se mogu spriječiti cijepljenjem</w:t>
      </w:r>
      <w:r w:rsidRPr="00155F80">
        <w:rPr>
          <w:rFonts w:ascii="Times New Roman" w:hAnsi="Times New Roman"/>
        </w:rPr>
        <w:t xml:space="preserve"> registriraju se sporadično.</w:t>
      </w:r>
    </w:p>
    <w:p w:rsidR="00A131AD" w:rsidRPr="00155F80" w:rsidRDefault="00A131AD" w:rsidP="00250204">
      <w:pPr>
        <w:pStyle w:val="TEKST"/>
        <w:rPr>
          <w:i/>
        </w:rPr>
      </w:pPr>
      <w:r w:rsidRPr="00155F80">
        <w:t xml:space="preserve">U 2015. godini među bolestima koje se mogu prevenirati cijepljenjem registrirano je 56 slučajeva zaušnjaka (parotitisa), 12 slučajeva velikog kašlja (pertusisa) i 8 slučajeva rubeole. </w:t>
      </w:r>
    </w:p>
    <w:p w:rsidR="00A131AD" w:rsidRPr="00155F80" w:rsidRDefault="00A131AD" w:rsidP="00250204">
      <w:pPr>
        <w:pStyle w:val="TEKST"/>
        <w:rPr>
          <w:i/>
        </w:rPr>
      </w:pPr>
      <w:r w:rsidRPr="00155F80">
        <w:t>Invazivna oboljenja koja uzrokuje hemofilus influence tip b, u Federaciji BiH se ne prijavljuju, tako da pouzdanim informacijama o njima Zavod za javno zdravstvo FBiH ne raspolaže.</w:t>
      </w:r>
    </w:p>
    <w:p w:rsidR="009E2387" w:rsidRDefault="009E2387" w:rsidP="009E2387">
      <w:pPr>
        <w:tabs>
          <w:tab w:val="left" w:pos="567"/>
        </w:tabs>
        <w:spacing w:line="276" w:lineRule="auto"/>
        <w:rPr>
          <w:rFonts w:ascii="Times New Roman" w:hAnsi="Times New Roman"/>
          <w:bCs/>
          <w:lang w:val="it-IT"/>
        </w:rPr>
      </w:pPr>
    </w:p>
    <w:p w:rsidR="00A131AD" w:rsidRPr="009E2387" w:rsidRDefault="00A131AD" w:rsidP="009E2387">
      <w:pPr>
        <w:tabs>
          <w:tab w:val="left" w:pos="567"/>
        </w:tabs>
        <w:spacing w:line="276" w:lineRule="auto"/>
        <w:rPr>
          <w:rFonts w:ascii="Times New Roman" w:hAnsi="Times New Roman"/>
          <w:bCs/>
          <w:lang w:val="it-IT"/>
        </w:rPr>
      </w:pPr>
      <w:r w:rsidRPr="00155F80">
        <w:rPr>
          <w:rFonts w:ascii="Times New Roman" w:hAnsi="Times New Roman"/>
          <w:bCs/>
          <w:lang w:val="it-IT"/>
        </w:rPr>
        <w:t xml:space="preserve">U Federaciji BiH, u 2015. godini je registriran samo 1 slučaj akutne flakcidne paralize, na području Unsko-sanskog kantona, te </w:t>
      </w:r>
      <w:r w:rsidRPr="00155F80">
        <w:rPr>
          <w:rFonts w:ascii="Times New Roman" w:hAnsi="Times New Roman"/>
          <w:bCs/>
          <w:lang w:val="pl-PL"/>
        </w:rPr>
        <w:t>osjetlji</w:t>
      </w:r>
      <w:r w:rsidR="009E2387">
        <w:rPr>
          <w:rFonts w:ascii="Times New Roman" w:hAnsi="Times New Roman"/>
          <w:bCs/>
          <w:lang w:val="pl-PL"/>
        </w:rPr>
        <w:t>vost nadzora nad AFP, u F</w:t>
      </w:r>
      <w:r w:rsidRPr="00155F80">
        <w:rPr>
          <w:rFonts w:ascii="Times New Roman" w:hAnsi="Times New Roman"/>
          <w:bCs/>
          <w:lang w:val="pl-PL"/>
        </w:rPr>
        <w:t>ederaciji BiH je ispod  zadane vrijednosti i iznosi 0,3/100 000 djece mlađe od 15 godina</w:t>
      </w:r>
      <w:r w:rsidRPr="00155F80">
        <w:rPr>
          <w:rFonts w:ascii="Times New Roman" w:hAnsi="Times New Roman"/>
          <w:bCs/>
          <w:lang w:val="it-IT"/>
        </w:rPr>
        <w:t>. Slučaj je prijavljen od strane UKC Sarajevo, gdje je dijete liječeno. Uzorci stolice koji su obrađeni u akreditiranoj laboratoriji za polio, Svjetske</w:t>
      </w:r>
      <w:r w:rsidR="009E2387">
        <w:rPr>
          <w:rFonts w:ascii="Times New Roman" w:hAnsi="Times New Roman"/>
          <w:bCs/>
          <w:lang w:val="it-IT"/>
        </w:rPr>
        <w:t xml:space="preserve"> zdravstvene organizacije (Rim)</w:t>
      </w:r>
      <w:r w:rsidRPr="00155F80">
        <w:rPr>
          <w:rFonts w:ascii="Times New Roman" w:hAnsi="Times New Roman"/>
          <w:bCs/>
          <w:lang w:val="it-IT"/>
        </w:rPr>
        <w:t xml:space="preserve"> su negativni na POLIO virus. Dijete pregledano nakon 60 dana od pojave bolesti, od strane specijalista, nakon čega je potrebna dokumentacija data na uvid Ekspertno</w:t>
      </w:r>
      <w:r w:rsidR="004E052E">
        <w:rPr>
          <w:rFonts w:ascii="Times New Roman" w:hAnsi="Times New Roman"/>
          <w:bCs/>
          <w:lang w:val="it-IT"/>
        </w:rPr>
        <w:t>m</w:t>
      </w:r>
      <w:r w:rsidRPr="00155F80">
        <w:rPr>
          <w:rFonts w:ascii="Times New Roman" w:hAnsi="Times New Roman"/>
          <w:bCs/>
          <w:lang w:val="it-IT"/>
        </w:rPr>
        <w:t xml:space="preserve"> </w:t>
      </w:r>
      <w:r w:rsidR="004E052E">
        <w:rPr>
          <w:rFonts w:ascii="Times New Roman" w:hAnsi="Times New Roman"/>
          <w:bCs/>
          <w:lang w:val="it-IT"/>
        </w:rPr>
        <w:lastRenderedPageBreak/>
        <w:t>povjerenstvu</w:t>
      </w:r>
      <w:r w:rsidRPr="00155F80">
        <w:rPr>
          <w:rFonts w:ascii="Times New Roman" w:hAnsi="Times New Roman"/>
          <w:bCs/>
          <w:lang w:val="it-IT"/>
        </w:rPr>
        <w:t xml:space="preserve"> za krajnju klasifikaciju slučaja, Ministarstva civilnih poslova BiH, koja je</w:t>
      </w:r>
      <w:r w:rsidR="005E297E">
        <w:rPr>
          <w:rFonts w:ascii="Times New Roman" w:hAnsi="Times New Roman"/>
          <w:bCs/>
          <w:lang w:val="it-IT"/>
        </w:rPr>
        <w:t xml:space="preserve"> pak slučaj klasificirala kao “</w:t>
      </w:r>
      <w:r w:rsidRPr="00155F80">
        <w:rPr>
          <w:rFonts w:ascii="Times New Roman" w:hAnsi="Times New Roman"/>
          <w:color w:val="000000"/>
          <w:lang w:val="pl-PL"/>
        </w:rPr>
        <w:t>Odbačeni kao poliomijelitis</w:t>
      </w:r>
      <w:r w:rsidR="005E297E">
        <w:rPr>
          <w:rFonts w:ascii="Times New Roman" w:hAnsi="Times New Roman"/>
          <w:color w:val="000000"/>
          <w:lang w:val="pl-PL"/>
        </w:rPr>
        <w:t>”</w:t>
      </w:r>
      <w:r w:rsidRPr="00155F80">
        <w:rPr>
          <w:rFonts w:ascii="Times New Roman" w:hAnsi="Times New Roman"/>
          <w:bCs/>
          <w:lang w:val="it-IT"/>
        </w:rPr>
        <w:t>.</w:t>
      </w:r>
      <w:r w:rsidRPr="00155F80">
        <w:rPr>
          <w:rFonts w:ascii="Times New Roman" w:hAnsi="Times New Roman"/>
          <w:bCs/>
          <w:lang w:val="pl-PL"/>
        </w:rPr>
        <w:t xml:space="preserve"> </w:t>
      </w:r>
    </w:p>
    <w:p w:rsidR="00A131AD" w:rsidRPr="00155F80" w:rsidRDefault="002053DE" w:rsidP="00250204">
      <w:pPr>
        <w:pStyle w:val="TEKST"/>
        <w:rPr>
          <w:i/>
        </w:rPr>
      </w:pPr>
      <w:r w:rsidRPr="00155F80">
        <w:t>Mada je pasivni nadzor na</w:t>
      </w:r>
      <w:r w:rsidR="00A131AD" w:rsidRPr="00155F80">
        <w:t xml:space="preserve">d oboljenjima koje se mogu spriječiti </w:t>
      </w:r>
      <w:r w:rsidR="005E297E">
        <w:t>cjpljenjem</w:t>
      </w:r>
      <w:r w:rsidR="00A131AD" w:rsidRPr="00155F80">
        <w:t xml:space="preserve"> upotpunjen aktivnim nadzorom i dalje postoje poteškoće u realizaciji zacrtanih planova i strategija, jer zahtijevani indikatori kvalitet</w:t>
      </w:r>
      <w:r w:rsidR="004E052E">
        <w:t>a</w:t>
      </w:r>
      <w:r w:rsidR="00A131AD" w:rsidRPr="00155F80">
        <w:t xml:space="preserve"> nadzora nisu zadovoljavajući. Sve ukazuje na to da je neophodno raditi na re</w:t>
      </w:r>
      <w:r w:rsidRPr="00155F80">
        <w:t>a</w:t>
      </w:r>
      <w:r w:rsidR="00A131AD" w:rsidRPr="00155F80">
        <w:t xml:space="preserve">lizaciji planova proisteklih iz Strategija eliminacije i eradikacije ovih oboljenja-poboljšanju nadzora, postizanju visokog obuhvata </w:t>
      </w:r>
      <w:r w:rsidR="004E052E">
        <w:t>cjepivom</w:t>
      </w:r>
      <w:r w:rsidR="00A131AD" w:rsidRPr="00155F80">
        <w:t xml:space="preserve"> i dopunskoj imunizaciji.</w:t>
      </w:r>
    </w:p>
    <w:p w:rsidR="00A131AD" w:rsidRPr="00155F80" w:rsidRDefault="00A131AD" w:rsidP="000C0138">
      <w:pPr>
        <w:pStyle w:val="Header"/>
        <w:tabs>
          <w:tab w:val="left" w:pos="708"/>
        </w:tabs>
        <w:spacing w:line="276" w:lineRule="auto"/>
        <w:jc w:val="both"/>
        <w:rPr>
          <w:sz w:val="22"/>
          <w:szCs w:val="22"/>
        </w:rPr>
      </w:pPr>
    </w:p>
    <w:p w:rsidR="00A131AD" w:rsidRPr="00155F80" w:rsidRDefault="00A06016" w:rsidP="00A06016">
      <w:pPr>
        <w:pStyle w:val="Poglavlje3"/>
        <w:rPr>
          <w:noProof/>
          <w:lang w:val="bs-Latn-BA"/>
        </w:rPr>
      </w:pPr>
      <w:bookmarkStart w:id="284" w:name="_Toc456095914"/>
      <w:r>
        <w:rPr>
          <w:noProof/>
          <w:lang w:val="bs-Latn-BA"/>
        </w:rPr>
        <w:t xml:space="preserve">3.2.3 </w:t>
      </w:r>
      <w:r w:rsidR="000E1376" w:rsidRPr="00155F80">
        <w:rPr>
          <w:noProof/>
          <w:lang w:val="bs-Latn-BA"/>
        </w:rPr>
        <w:t xml:space="preserve"> </w:t>
      </w:r>
      <w:r w:rsidR="004E052E">
        <w:rPr>
          <w:noProof/>
          <w:lang w:val="bs-Latn-BA"/>
        </w:rPr>
        <w:t>Ozljede</w:t>
      </w:r>
      <w:r w:rsidR="00A131AD" w:rsidRPr="00155F80">
        <w:rPr>
          <w:noProof/>
          <w:lang w:val="bs-Latn-BA"/>
        </w:rPr>
        <w:t xml:space="preserve"> i trovanja</w:t>
      </w:r>
      <w:bookmarkEnd w:id="284"/>
    </w:p>
    <w:p w:rsidR="00A131AD" w:rsidRPr="00155F80" w:rsidRDefault="00A131AD" w:rsidP="000C0138">
      <w:pPr>
        <w:tabs>
          <w:tab w:val="left" w:pos="550"/>
        </w:tabs>
        <w:spacing w:before="120" w:line="276" w:lineRule="auto"/>
        <w:rPr>
          <w:rFonts w:ascii="Times New Roman" w:hAnsi="Times New Roman"/>
          <w:noProof/>
          <w:lang w:val="bs-Latn-BA"/>
        </w:rPr>
      </w:pPr>
      <w:r w:rsidRPr="00155F80">
        <w:rPr>
          <w:rFonts w:ascii="Times New Roman" w:hAnsi="Times New Roman"/>
          <w:noProof/>
          <w:lang w:val="bs-Latn-BA"/>
        </w:rPr>
        <w:t xml:space="preserve">Stopa </w:t>
      </w:r>
      <w:r w:rsidR="004E052E">
        <w:rPr>
          <w:rFonts w:ascii="Times New Roman" w:hAnsi="Times New Roman"/>
          <w:noProof/>
          <w:lang w:val="bs-Latn-BA"/>
        </w:rPr>
        <w:t>ozljeđivanja</w:t>
      </w:r>
      <w:r w:rsidRPr="00155F80">
        <w:rPr>
          <w:rFonts w:ascii="Times New Roman" w:hAnsi="Times New Roman"/>
          <w:noProof/>
          <w:lang w:val="bs-Latn-BA"/>
        </w:rPr>
        <w:t xml:space="preserve"> zadržava sličn</w:t>
      </w:r>
      <w:r w:rsidR="004E052E">
        <w:rPr>
          <w:rFonts w:ascii="Times New Roman" w:hAnsi="Times New Roman"/>
          <w:noProof/>
          <w:lang w:val="bs-Latn-BA"/>
        </w:rPr>
        <w:t>u</w:t>
      </w:r>
      <w:r w:rsidRPr="00155F80">
        <w:rPr>
          <w:rFonts w:ascii="Times New Roman" w:hAnsi="Times New Roman"/>
          <w:noProof/>
          <w:lang w:val="bs-Latn-BA"/>
        </w:rPr>
        <w:t xml:space="preserve"> </w:t>
      </w:r>
      <w:r w:rsidR="004E052E">
        <w:rPr>
          <w:rFonts w:ascii="Times New Roman" w:hAnsi="Times New Roman"/>
          <w:noProof/>
          <w:lang w:val="bs-Latn-BA"/>
        </w:rPr>
        <w:t>razinu</w:t>
      </w:r>
      <w:r w:rsidRPr="00155F80">
        <w:rPr>
          <w:rFonts w:ascii="Times New Roman" w:hAnsi="Times New Roman"/>
          <w:noProof/>
          <w:lang w:val="bs-Latn-BA"/>
        </w:rPr>
        <w:t xml:space="preserve"> u </w:t>
      </w:r>
      <w:r w:rsidR="004E052E">
        <w:rPr>
          <w:rFonts w:ascii="Times New Roman" w:hAnsi="Times New Roman"/>
          <w:noProof/>
          <w:lang w:val="bs-Latn-BA"/>
        </w:rPr>
        <w:t>razdoblju</w:t>
      </w:r>
      <w:r w:rsidRPr="00155F80">
        <w:rPr>
          <w:rFonts w:ascii="Times New Roman" w:hAnsi="Times New Roman"/>
          <w:noProof/>
          <w:lang w:val="bs-Latn-BA"/>
        </w:rPr>
        <w:t xml:space="preserve"> od 2010.</w:t>
      </w:r>
      <w:r w:rsidR="004E052E">
        <w:rPr>
          <w:rFonts w:ascii="Times New Roman" w:hAnsi="Times New Roman"/>
          <w:noProof/>
          <w:lang w:val="bs-Latn-BA"/>
        </w:rPr>
        <w:t xml:space="preserve"> do </w:t>
      </w:r>
      <w:r w:rsidRPr="00155F80">
        <w:rPr>
          <w:rFonts w:ascii="Times New Roman" w:hAnsi="Times New Roman"/>
          <w:noProof/>
          <w:lang w:val="bs-Latn-BA"/>
        </w:rPr>
        <w:t xml:space="preserve">2015. godine, 2010. godine je iznosila 318/10.000 stanovnika, a 2015. godine 310/10.000. </w:t>
      </w:r>
      <w:r w:rsidR="004E052E">
        <w:rPr>
          <w:rFonts w:ascii="Times New Roman" w:hAnsi="Times New Roman"/>
          <w:noProof/>
          <w:lang w:val="bs-Latn-BA"/>
        </w:rPr>
        <w:t>Ozljede</w:t>
      </w:r>
      <w:r w:rsidRPr="00155F80">
        <w:rPr>
          <w:rFonts w:ascii="Times New Roman" w:hAnsi="Times New Roman"/>
          <w:noProof/>
          <w:lang w:val="bs-Latn-BA"/>
        </w:rPr>
        <w:t xml:space="preserve"> i trovanja su najčešći među mladim</w:t>
      </w:r>
      <w:r w:rsidR="004E052E">
        <w:rPr>
          <w:rFonts w:ascii="Times New Roman" w:hAnsi="Times New Roman"/>
          <w:noProof/>
          <w:lang w:val="bs-Latn-BA"/>
        </w:rPr>
        <w:t>a</w:t>
      </w:r>
      <w:r w:rsidRPr="00155F80">
        <w:rPr>
          <w:rFonts w:ascii="Times New Roman" w:hAnsi="Times New Roman"/>
          <w:noProof/>
          <w:lang w:val="bs-Latn-BA"/>
        </w:rPr>
        <w:t xml:space="preserve">, pa su stope </w:t>
      </w:r>
      <w:r w:rsidR="004E052E">
        <w:rPr>
          <w:rFonts w:ascii="Times New Roman" w:hAnsi="Times New Roman"/>
          <w:noProof/>
          <w:lang w:val="bs-Latn-BA"/>
        </w:rPr>
        <w:t>ozljeđivanja</w:t>
      </w:r>
      <w:r w:rsidRPr="00155F80">
        <w:rPr>
          <w:rFonts w:ascii="Times New Roman" w:hAnsi="Times New Roman"/>
          <w:noProof/>
          <w:lang w:val="bs-Latn-BA"/>
        </w:rPr>
        <w:t xml:space="preserve"> najviše </w:t>
      </w:r>
      <w:r w:rsidR="0067516B">
        <w:rPr>
          <w:rFonts w:ascii="Times New Roman" w:hAnsi="Times New Roman"/>
          <w:noProof/>
          <w:lang w:val="bs-Latn-BA"/>
        </w:rPr>
        <w:t>među stanovništvom</w:t>
      </w:r>
      <w:r w:rsidRPr="00155F80">
        <w:rPr>
          <w:rFonts w:ascii="Times New Roman" w:hAnsi="Times New Roman"/>
          <w:noProof/>
          <w:lang w:val="bs-Latn-BA"/>
        </w:rPr>
        <w:t xml:space="preserve"> starosti 7-</w:t>
      </w:r>
      <w:r w:rsidR="009F6A9F">
        <w:rPr>
          <w:rFonts w:ascii="Times New Roman" w:hAnsi="Times New Roman"/>
          <w:noProof/>
          <w:lang w:val="bs-Latn-BA"/>
        </w:rPr>
        <w:t>18</w:t>
      </w:r>
      <w:r w:rsidRPr="00155F80">
        <w:rPr>
          <w:rFonts w:ascii="Times New Roman" w:hAnsi="Times New Roman"/>
          <w:noProof/>
          <w:lang w:val="bs-Latn-BA"/>
        </w:rPr>
        <w:t xml:space="preserve"> godina.</w:t>
      </w:r>
    </w:p>
    <w:p w:rsidR="00A131AD" w:rsidRPr="00155F80" w:rsidRDefault="00A131AD" w:rsidP="000C0138">
      <w:pPr>
        <w:tabs>
          <w:tab w:val="left" w:pos="550"/>
        </w:tabs>
        <w:spacing w:before="120" w:line="276" w:lineRule="auto"/>
        <w:rPr>
          <w:rFonts w:ascii="Times New Roman" w:hAnsi="Times New Roman"/>
          <w:noProof/>
          <w:lang w:val="bs-Latn-BA"/>
        </w:rPr>
      </w:pPr>
    </w:p>
    <w:p w:rsidR="00A131AD" w:rsidRDefault="00A131AD" w:rsidP="00EB7CC7">
      <w:pPr>
        <w:pStyle w:val="refererere"/>
        <w:rPr>
          <w:noProof/>
          <w:lang w:val="bs-Latn-BA"/>
        </w:rPr>
      </w:pPr>
      <w:r w:rsidRPr="0067516B">
        <w:rPr>
          <w:noProof/>
          <w:lang w:val="bs-Latn-BA"/>
        </w:rPr>
        <w:t xml:space="preserve">Grafikon 49: </w:t>
      </w:r>
      <w:r w:rsidR="004E052E">
        <w:rPr>
          <w:noProof/>
          <w:lang w:val="bs-Latn-BA"/>
        </w:rPr>
        <w:t>Ozljede</w:t>
      </w:r>
      <w:r w:rsidRPr="0067516B">
        <w:rPr>
          <w:noProof/>
          <w:lang w:val="bs-Latn-BA"/>
        </w:rPr>
        <w:t>, trovanja i druge posljedice vanjskog uzroka morbid</w:t>
      </w:r>
      <w:r w:rsidR="00A5788D" w:rsidRPr="0067516B">
        <w:rPr>
          <w:noProof/>
          <w:lang w:val="bs-Latn-BA"/>
        </w:rPr>
        <w:t>iteta prema starosnim grupama,</w:t>
      </w:r>
      <w:r w:rsidRPr="0067516B">
        <w:rPr>
          <w:noProof/>
          <w:lang w:val="bs-Latn-BA"/>
        </w:rPr>
        <w:t xml:space="preserve"> </w:t>
      </w:r>
      <w:r w:rsidR="00A5788D" w:rsidRPr="0067516B">
        <w:rPr>
          <w:noProof/>
          <w:lang w:val="bs-Latn-BA"/>
        </w:rPr>
        <w:t xml:space="preserve">2010. i </w:t>
      </w:r>
      <w:r w:rsidRPr="0067516B">
        <w:rPr>
          <w:noProof/>
          <w:lang w:val="bs-Latn-BA"/>
        </w:rPr>
        <w:t>2015. godina, stopa na 10.000 stanovnika</w:t>
      </w:r>
    </w:p>
    <w:p w:rsidR="009F6A9F" w:rsidRDefault="009F6A9F" w:rsidP="00EB7CC7">
      <w:pPr>
        <w:pStyle w:val="refererere"/>
        <w:rPr>
          <w:noProof/>
          <w:lang w:val="bs-Latn-BA"/>
        </w:rPr>
      </w:pPr>
    </w:p>
    <w:p w:rsidR="009F6A9F" w:rsidRDefault="009F6A9F" w:rsidP="00EB7CC7">
      <w:pPr>
        <w:pStyle w:val="refererere"/>
        <w:rPr>
          <w:noProof/>
          <w:lang w:val="bs-Latn-BA"/>
        </w:rPr>
      </w:pPr>
      <w:r>
        <w:rPr>
          <w:noProof/>
          <w:lang w:val="bs-Latn-BA" w:eastAsia="bs-Latn-BA"/>
        </w:rPr>
        <w:drawing>
          <wp:inline distT="0" distB="0" distL="0" distR="0" wp14:anchorId="4840178D" wp14:editId="5DD45B15">
            <wp:extent cx="5657850" cy="2181225"/>
            <wp:effectExtent l="0" t="0" r="0" b="9525"/>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9F6A9F" w:rsidRPr="00155F80" w:rsidRDefault="009F6A9F" w:rsidP="00EB7CC7">
      <w:pPr>
        <w:pStyle w:val="refererere"/>
        <w:rPr>
          <w:noProof/>
          <w:lang w:val="bs-Latn-BA"/>
        </w:rPr>
      </w:pPr>
    </w:p>
    <w:p w:rsidR="00A131AD" w:rsidRDefault="00A06016" w:rsidP="00A06016">
      <w:pPr>
        <w:pStyle w:val="Poglavlje3"/>
        <w:rPr>
          <w:rFonts w:eastAsiaTheme="minorHAnsi"/>
          <w:lang w:val="bs-Latn-BA"/>
        </w:rPr>
      </w:pPr>
      <w:bookmarkStart w:id="285" w:name="_Toc456095915"/>
      <w:r>
        <w:rPr>
          <w:rFonts w:eastAsiaTheme="minorHAnsi"/>
          <w:lang w:val="bs-Latn-BA"/>
        </w:rPr>
        <w:t xml:space="preserve">3.2.4 </w:t>
      </w:r>
      <w:r w:rsidR="00524835" w:rsidRPr="00155F80">
        <w:rPr>
          <w:rFonts w:eastAsiaTheme="minorHAnsi"/>
          <w:lang w:val="bs-Latn-BA"/>
        </w:rPr>
        <w:t xml:space="preserve"> Bolnički morbiditet</w:t>
      </w:r>
      <w:bookmarkEnd w:id="285"/>
    </w:p>
    <w:p w:rsidR="00A06016" w:rsidRPr="00155F80" w:rsidRDefault="00A06016" w:rsidP="00A06016">
      <w:pPr>
        <w:pStyle w:val="Poglavlje3"/>
        <w:rPr>
          <w:rFonts w:eastAsiaTheme="minorHAnsi"/>
          <w:lang w:val="bs-Latn-BA"/>
        </w:rPr>
      </w:pPr>
    </w:p>
    <w:p w:rsidR="00524835" w:rsidRDefault="00524835" w:rsidP="0067516B">
      <w:pPr>
        <w:spacing w:after="160" w:line="276" w:lineRule="auto"/>
        <w:rPr>
          <w:rFonts w:ascii="Times New Roman" w:eastAsiaTheme="minorHAnsi" w:hAnsi="Times New Roman"/>
          <w:lang w:val="bs-Latn-BA"/>
        </w:rPr>
      </w:pPr>
      <w:r w:rsidRPr="00155F80">
        <w:rPr>
          <w:rFonts w:ascii="Times New Roman" w:eastAsiaTheme="minorHAnsi" w:hAnsi="Times New Roman"/>
          <w:lang w:val="bs-Latn-BA"/>
        </w:rPr>
        <w:t>Prema poda</w:t>
      </w:r>
      <w:r w:rsidR="004E052E">
        <w:rPr>
          <w:rFonts w:ascii="Times New Roman" w:eastAsiaTheme="minorHAnsi" w:hAnsi="Times New Roman"/>
          <w:lang w:val="bs-Latn-BA"/>
        </w:rPr>
        <w:t>t</w:t>
      </w:r>
      <w:r w:rsidRPr="00155F80">
        <w:rPr>
          <w:rFonts w:ascii="Times New Roman" w:eastAsiaTheme="minorHAnsi" w:hAnsi="Times New Roman"/>
          <w:lang w:val="bs-Latn-BA"/>
        </w:rPr>
        <w:t>cima</w:t>
      </w:r>
      <w:r w:rsidR="0067516B">
        <w:rPr>
          <w:rFonts w:ascii="Times New Roman" w:eastAsiaTheme="minorHAnsi" w:hAnsi="Times New Roman"/>
          <w:lang w:val="bs-Latn-BA"/>
        </w:rPr>
        <w:t xml:space="preserve"> bolničkog morbiditeta, </w:t>
      </w:r>
      <w:r w:rsidRPr="00155F80">
        <w:rPr>
          <w:rFonts w:ascii="Times New Roman" w:eastAsiaTheme="minorHAnsi" w:hAnsi="Times New Roman"/>
          <w:lang w:val="bs-Latn-BA"/>
        </w:rPr>
        <w:t xml:space="preserve">u bolnicama u Federaciji BiH u 2015. godini je liječeno </w:t>
      </w:r>
      <w:r w:rsidR="0067516B">
        <w:rPr>
          <w:rFonts w:ascii="Times New Roman" w:eastAsiaTheme="minorHAnsi" w:hAnsi="Times New Roman"/>
          <w:lang w:val="bs-Latn-BA"/>
        </w:rPr>
        <w:t>215.709</w:t>
      </w:r>
      <w:r w:rsidRPr="00155F80">
        <w:rPr>
          <w:rFonts w:ascii="Times New Roman" w:eastAsiaTheme="minorHAnsi" w:hAnsi="Times New Roman"/>
          <w:lang w:val="bs-Latn-BA"/>
        </w:rPr>
        <w:t xml:space="preserve"> pacijenata i ostvaren</w:t>
      </w:r>
      <w:r w:rsidR="0067516B">
        <w:rPr>
          <w:rFonts w:ascii="Times New Roman" w:eastAsiaTheme="minorHAnsi" w:hAnsi="Times New Roman"/>
          <w:lang w:val="bs-Latn-BA"/>
        </w:rPr>
        <w:t>o je 1.724.329</w:t>
      </w:r>
      <w:r w:rsidR="00087E45" w:rsidRPr="00155F80">
        <w:rPr>
          <w:rFonts w:ascii="Times New Roman" w:eastAsiaTheme="minorHAnsi" w:hAnsi="Times New Roman"/>
          <w:lang w:val="bs-Latn-BA"/>
        </w:rPr>
        <w:t xml:space="preserve"> bolesničkih dana, među kojima su n</w:t>
      </w:r>
      <w:r w:rsidRPr="00155F80">
        <w:rPr>
          <w:rFonts w:ascii="Times New Roman" w:eastAsiaTheme="minorHAnsi" w:hAnsi="Times New Roman"/>
          <w:lang w:val="bs-Latn-BA"/>
        </w:rPr>
        <w:t>aj</w:t>
      </w:r>
      <w:r w:rsidR="00087E45" w:rsidRPr="00155F80">
        <w:rPr>
          <w:rFonts w:ascii="Times New Roman" w:eastAsiaTheme="minorHAnsi" w:hAnsi="Times New Roman"/>
          <w:lang w:val="bs-Latn-BA"/>
        </w:rPr>
        <w:t>već</w:t>
      </w:r>
      <w:r w:rsidR="004E052E">
        <w:rPr>
          <w:rFonts w:ascii="Times New Roman" w:eastAsiaTheme="minorHAnsi" w:hAnsi="Times New Roman"/>
          <w:lang w:val="bs-Latn-BA"/>
        </w:rPr>
        <w:t>i</w:t>
      </w:r>
      <w:r w:rsidRPr="00155F80">
        <w:rPr>
          <w:rFonts w:ascii="Times New Roman" w:eastAsiaTheme="minorHAnsi" w:hAnsi="Times New Roman"/>
          <w:lang w:val="bs-Latn-BA"/>
        </w:rPr>
        <w:t xml:space="preserve"> </w:t>
      </w:r>
      <w:r w:rsidR="00087E45" w:rsidRPr="00155F80">
        <w:rPr>
          <w:rFonts w:ascii="Times New Roman" w:eastAsiaTheme="minorHAnsi" w:hAnsi="Times New Roman"/>
          <w:lang w:val="bs-Latn-BA"/>
        </w:rPr>
        <w:t>u</w:t>
      </w:r>
      <w:r w:rsidR="004E052E">
        <w:rPr>
          <w:rFonts w:ascii="Times New Roman" w:eastAsiaTheme="minorHAnsi" w:hAnsi="Times New Roman"/>
          <w:lang w:val="bs-Latn-BA"/>
        </w:rPr>
        <w:t>dio</w:t>
      </w:r>
      <w:r w:rsidR="00087E45" w:rsidRPr="00155F80">
        <w:rPr>
          <w:rFonts w:ascii="Times New Roman" w:eastAsiaTheme="minorHAnsi" w:hAnsi="Times New Roman"/>
          <w:lang w:val="bs-Latn-BA"/>
        </w:rPr>
        <w:t xml:space="preserve"> </w:t>
      </w:r>
      <w:r w:rsidRPr="00155F80">
        <w:rPr>
          <w:rFonts w:ascii="Times New Roman" w:eastAsiaTheme="minorHAnsi" w:hAnsi="Times New Roman"/>
          <w:lang w:val="bs-Latn-BA"/>
        </w:rPr>
        <w:t xml:space="preserve">imale bolesti srca </w:t>
      </w:r>
      <w:r w:rsidR="00087E45" w:rsidRPr="00155F80">
        <w:rPr>
          <w:rFonts w:ascii="Times New Roman" w:eastAsiaTheme="minorHAnsi" w:hAnsi="Times New Roman"/>
          <w:lang w:val="bs-Latn-BA"/>
        </w:rPr>
        <w:t xml:space="preserve">i krvnih sudova sa 15,6% </w:t>
      </w:r>
      <w:r w:rsidR="004E052E">
        <w:rPr>
          <w:rFonts w:ascii="Times New Roman" w:eastAsiaTheme="minorHAnsi" w:hAnsi="Times New Roman"/>
          <w:lang w:val="bs-Latn-BA"/>
        </w:rPr>
        <w:t xml:space="preserve"> udjela</w:t>
      </w:r>
      <w:r w:rsidR="00087E45" w:rsidRPr="00155F80">
        <w:rPr>
          <w:rFonts w:ascii="Times New Roman" w:eastAsiaTheme="minorHAnsi" w:hAnsi="Times New Roman"/>
          <w:lang w:val="bs-Latn-BA"/>
        </w:rPr>
        <w:t xml:space="preserve">, </w:t>
      </w:r>
      <w:r w:rsidR="00386071">
        <w:rPr>
          <w:rFonts w:ascii="Times New Roman" w:eastAsiaTheme="minorHAnsi" w:hAnsi="Times New Roman"/>
          <w:lang w:val="bs-Latn-BA"/>
        </w:rPr>
        <w:t>oboljenja koštano-mišićnog s</w:t>
      </w:r>
      <w:r w:rsidR="004E052E">
        <w:rPr>
          <w:rFonts w:ascii="Times New Roman" w:eastAsiaTheme="minorHAnsi" w:hAnsi="Times New Roman"/>
          <w:lang w:val="bs-Latn-BA"/>
        </w:rPr>
        <w:t>ustava</w:t>
      </w:r>
      <w:r w:rsidR="00386071">
        <w:rPr>
          <w:rFonts w:ascii="Times New Roman" w:eastAsiaTheme="minorHAnsi" w:hAnsi="Times New Roman"/>
          <w:lang w:val="bs-Latn-BA"/>
        </w:rPr>
        <w:t xml:space="preserve"> i vezivnog tkiva sa 10,9%, te </w:t>
      </w:r>
      <w:r w:rsidR="004E052E">
        <w:rPr>
          <w:rFonts w:ascii="Times New Roman" w:eastAsiaTheme="minorHAnsi" w:hAnsi="Times New Roman"/>
          <w:lang w:val="bs-Latn-BA"/>
        </w:rPr>
        <w:t xml:space="preserve"> udio </w:t>
      </w:r>
      <w:r w:rsidRPr="00155F80">
        <w:rPr>
          <w:rFonts w:ascii="Times New Roman" w:eastAsiaTheme="minorHAnsi" w:hAnsi="Times New Roman"/>
          <w:lang w:val="bs-Latn-BA"/>
        </w:rPr>
        <w:t>maligne neoplazme sa 1</w:t>
      </w:r>
      <w:r w:rsidR="0067516B">
        <w:rPr>
          <w:rFonts w:ascii="Times New Roman" w:eastAsiaTheme="minorHAnsi" w:hAnsi="Times New Roman"/>
          <w:lang w:val="bs-Latn-BA"/>
        </w:rPr>
        <w:t>0</w:t>
      </w:r>
      <w:r w:rsidRPr="00155F80">
        <w:rPr>
          <w:rFonts w:ascii="Times New Roman" w:eastAsiaTheme="minorHAnsi" w:hAnsi="Times New Roman"/>
          <w:lang w:val="bs-Latn-BA"/>
        </w:rPr>
        <w:t>,4% u</w:t>
      </w:r>
      <w:r w:rsidR="00243A26">
        <w:rPr>
          <w:rFonts w:ascii="Times New Roman" w:eastAsiaTheme="minorHAnsi" w:hAnsi="Times New Roman"/>
          <w:lang w:val="bs-Latn-BA"/>
        </w:rPr>
        <w:t>djela.</w:t>
      </w:r>
      <w:r w:rsidRPr="00155F80">
        <w:rPr>
          <w:rFonts w:ascii="Times New Roman" w:eastAsiaTheme="minorHAnsi" w:hAnsi="Times New Roman"/>
          <w:lang w:val="bs-Latn-BA"/>
        </w:rPr>
        <w:t xml:space="preserve"> </w:t>
      </w:r>
    </w:p>
    <w:p w:rsidR="00A726E5" w:rsidRDefault="00A06016" w:rsidP="00A06016">
      <w:pPr>
        <w:pStyle w:val="Poglavlje3"/>
        <w:rPr>
          <w:rFonts w:eastAsiaTheme="minorHAnsi"/>
          <w:lang w:val="bs-Latn-BA"/>
        </w:rPr>
      </w:pPr>
      <w:bookmarkStart w:id="286" w:name="_Toc456095916"/>
      <w:r>
        <w:rPr>
          <w:rFonts w:eastAsiaTheme="minorHAnsi"/>
          <w:lang w:val="bs-Latn-BA"/>
        </w:rPr>
        <w:t xml:space="preserve">3.2.5 </w:t>
      </w:r>
      <w:r w:rsidR="00AE2EDA">
        <w:rPr>
          <w:rFonts w:eastAsiaTheme="minorHAnsi"/>
          <w:lang w:val="bs-Latn-BA"/>
        </w:rPr>
        <w:t xml:space="preserve"> </w:t>
      </w:r>
      <w:r w:rsidR="00A131AD" w:rsidRPr="00155F80">
        <w:rPr>
          <w:rFonts w:eastAsiaTheme="minorHAnsi"/>
          <w:lang w:val="bs-Latn-BA"/>
        </w:rPr>
        <w:t>Zdravlje populaci</w:t>
      </w:r>
      <w:r w:rsidR="004E052E">
        <w:rPr>
          <w:rFonts w:eastAsiaTheme="minorHAnsi"/>
          <w:lang w:val="bs-Latn-BA"/>
        </w:rPr>
        <w:t>jskih</w:t>
      </w:r>
      <w:r w:rsidR="00A131AD" w:rsidRPr="00155F80">
        <w:rPr>
          <w:rFonts w:eastAsiaTheme="minorHAnsi"/>
          <w:lang w:val="bs-Latn-BA"/>
        </w:rPr>
        <w:t xml:space="preserve"> grupa</w:t>
      </w:r>
      <w:bookmarkEnd w:id="286"/>
    </w:p>
    <w:p w:rsidR="00A06016" w:rsidRPr="00155F80" w:rsidRDefault="00A06016" w:rsidP="00A06016">
      <w:pPr>
        <w:pStyle w:val="Poglavlje3"/>
        <w:rPr>
          <w:rFonts w:eastAsiaTheme="minorHAnsi"/>
          <w:lang w:val="bs-Latn-BA"/>
        </w:rPr>
      </w:pPr>
    </w:p>
    <w:p w:rsidR="00A131AD" w:rsidRPr="003E3695" w:rsidRDefault="00A06016" w:rsidP="003E3695">
      <w:pPr>
        <w:pStyle w:val="Poglavlje3"/>
      </w:pPr>
      <w:bookmarkStart w:id="287" w:name="_Toc456095917"/>
      <w:r w:rsidRPr="003E3695">
        <w:t xml:space="preserve">3.2.5.1 </w:t>
      </w:r>
      <w:r w:rsidR="00F81BD5" w:rsidRPr="003E3695">
        <w:t xml:space="preserve"> </w:t>
      </w:r>
      <w:r w:rsidR="00A131AD" w:rsidRPr="003E3695">
        <w:t>Djeca i mladi</w:t>
      </w:r>
      <w:bookmarkEnd w:id="287"/>
    </w:p>
    <w:p w:rsidR="0059581E" w:rsidRPr="00155F80" w:rsidRDefault="0059581E" w:rsidP="0059581E">
      <w:pPr>
        <w:pStyle w:val="Poglavlje3"/>
        <w:rPr>
          <w:rFonts w:eastAsiaTheme="minorHAnsi"/>
          <w:lang w:val="bs-Latn-BA"/>
        </w:rPr>
      </w:pPr>
    </w:p>
    <w:p w:rsidR="00A131AD" w:rsidRPr="00155F80" w:rsidRDefault="00A131AD" w:rsidP="000C0138">
      <w:pPr>
        <w:spacing w:after="160" w:line="276" w:lineRule="auto"/>
        <w:rPr>
          <w:rFonts w:ascii="Times New Roman" w:eastAsiaTheme="minorHAnsi" w:hAnsi="Times New Roman"/>
          <w:b/>
          <w:lang w:val="bs-Latn-BA"/>
        </w:rPr>
      </w:pPr>
      <w:r w:rsidRPr="00155F80">
        <w:rPr>
          <w:rFonts w:ascii="Times New Roman" w:eastAsiaTheme="minorHAnsi" w:hAnsi="Times New Roman"/>
          <w:b/>
          <w:lang w:val="bs-Latn-BA"/>
        </w:rPr>
        <w:t>Dojenačk</w:t>
      </w:r>
      <w:r w:rsidR="004E052E">
        <w:rPr>
          <w:rFonts w:ascii="Times New Roman" w:eastAsiaTheme="minorHAnsi" w:hAnsi="Times New Roman"/>
          <w:b/>
          <w:lang w:val="bs-Latn-BA"/>
        </w:rPr>
        <w:t>o</w:t>
      </w:r>
      <w:r w:rsidRPr="00155F80">
        <w:rPr>
          <w:rFonts w:ascii="Times New Roman" w:eastAsiaTheme="minorHAnsi" w:hAnsi="Times New Roman"/>
          <w:b/>
          <w:lang w:val="bs-Latn-BA"/>
        </w:rPr>
        <w:t xml:space="preserve"> </w:t>
      </w:r>
      <w:r w:rsidR="004E052E">
        <w:rPr>
          <w:rFonts w:ascii="Times New Roman" w:eastAsiaTheme="minorHAnsi" w:hAnsi="Times New Roman"/>
          <w:b/>
          <w:lang w:val="bs-Latn-BA"/>
        </w:rPr>
        <w:t>razdoblje</w:t>
      </w:r>
    </w:p>
    <w:p w:rsidR="00A131AD" w:rsidRPr="00155F80" w:rsidRDefault="00A131AD" w:rsidP="000C0138">
      <w:pPr>
        <w:spacing w:after="160" w:line="276" w:lineRule="auto"/>
        <w:rPr>
          <w:rFonts w:ascii="Times New Roman" w:eastAsiaTheme="minorHAnsi" w:hAnsi="Times New Roman"/>
          <w:lang w:val="bs-Latn-BA"/>
        </w:rPr>
      </w:pPr>
      <w:r w:rsidRPr="00155F80">
        <w:rPr>
          <w:rFonts w:ascii="Times New Roman" w:eastAsiaTheme="minorHAnsi" w:hAnsi="Times New Roman"/>
          <w:lang w:val="bs-Latn-BA"/>
        </w:rPr>
        <w:t>Prva godina života je najosjetljivij</w:t>
      </w:r>
      <w:r w:rsidR="004E052E">
        <w:rPr>
          <w:rFonts w:ascii="Times New Roman" w:eastAsiaTheme="minorHAnsi" w:hAnsi="Times New Roman"/>
          <w:lang w:val="bs-Latn-BA"/>
        </w:rPr>
        <w:t>e</w:t>
      </w:r>
      <w:r w:rsidRPr="00155F80">
        <w:rPr>
          <w:rFonts w:ascii="Times New Roman" w:eastAsiaTheme="minorHAnsi" w:hAnsi="Times New Roman"/>
          <w:lang w:val="bs-Latn-BA"/>
        </w:rPr>
        <w:t xml:space="preserve"> </w:t>
      </w:r>
      <w:r w:rsidR="004E052E">
        <w:rPr>
          <w:rFonts w:ascii="Times New Roman" w:eastAsiaTheme="minorHAnsi" w:hAnsi="Times New Roman"/>
          <w:lang w:val="bs-Latn-BA"/>
        </w:rPr>
        <w:t>razdoblje</w:t>
      </w:r>
      <w:r w:rsidRPr="00155F80">
        <w:rPr>
          <w:rFonts w:ascii="Times New Roman" w:eastAsiaTheme="minorHAnsi" w:hAnsi="Times New Roman"/>
          <w:lang w:val="bs-Latn-BA"/>
        </w:rPr>
        <w:t xml:space="preserve"> u životu djece, jer na zdravlje djece ovog uzrasta ut</w:t>
      </w:r>
      <w:r w:rsidR="004E052E">
        <w:rPr>
          <w:rFonts w:ascii="Times New Roman" w:eastAsiaTheme="minorHAnsi" w:hAnsi="Times New Roman"/>
          <w:lang w:val="bs-Latn-BA"/>
        </w:rPr>
        <w:t>je</w:t>
      </w:r>
      <w:r w:rsidRPr="00155F80">
        <w:rPr>
          <w:rFonts w:ascii="Times New Roman" w:eastAsiaTheme="minorHAnsi" w:hAnsi="Times New Roman"/>
          <w:lang w:val="bs-Latn-BA"/>
        </w:rPr>
        <w:t xml:space="preserve">če mnogo </w:t>
      </w:r>
      <w:r w:rsidR="004E052E">
        <w:rPr>
          <w:rFonts w:ascii="Times New Roman" w:eastAsiaTheme="minorHAnsi" w:hAnsi="Times New Roman"/>
          <w:lang w:val="bs-Latn-BA"/>
        </w:rPr>
        <w:t>čimbenika</w:t>
      </w:r>
      <w:r w:rsidRPr="00155F80">
        <w:rPr>
          <w:rFonts w:ascii="Times New Roman" w:eastAsiaTheme="minorHAnsi" w:hAnsi="Times New Roman"/>
          <w:lang w:val="bs-Latn-BA"/>
        </w:rPr>
        <w:t xml:space="preserve"> među kojima su važni zdravlje majke, način </w:t>
      </w:r>
      <w:r w:rsidR="004E052E">
        <w:rPr>
          <w:rFonts w:ascii="Times New Roman" w:eastAsiaTheme="minorHAnsi" w:hAnsi="Times New Roman"/>
          <w:lang w:val="bs-Latn-BA"/>
        </w:rPr>
        <w:t>pre</w:t>
      </w:r>
      <w:r w:rsidRPr="00155F80">
        <w:rPr>
          <w:rFonts w:ascii="Times New Roman" w:eastAsiaTheme="minorHAnsi" w:hAnsi="Times New Roman"/>
          <w:lang w:val="bs-Latn-BA"/>
        </w:rPr>
        <w:t>hrane, u</w:t>
      </w:r>
      <w:r w:rsidR="004E052E">
        <w:rPr>
          <w:rFonts w:ascii="Times New Roman" w:eastAsiaTheme="minorHAnsi" w:hAnsi="Times New Roman"/>
          <w:lang w:val="bs-Latn-BA"/>
        </w:rPr>
        <w:t>vjeti</w:t>
      </w:r>
      <w:r w:rsidRPr="00155F80">
        <w:rPr>
          <w:rFonts w:ascii="Times New Roman" w:eastAsiaTheme="minorHAnsi" w:hAnsi="Times New Roman"/>
          <w:lang w:val="bs-Latn-BA"/>
        </w:rPr>
        <w:t xml:space="preserve"> stanovanja itd. </w:t>
      </w:r>
    </w:p>
    <w:p w:rsidR="00A131AD" w:rsidRPr="00155F80" w:rsidRDefault="00A131AD" w:rsidP="000C0138">
      <w:pPr>
        <w:spacing w:after="160" w:line="276" w:lineRule="auto"/>
        <w:rPr>
          <w:rFonts w:ascii="Times New Roman" w:eastAsiaTheme="minorHAnsi" w:hAnsi="Times New Roman"/>
          <w:lang w:val="bs-Latn-BA"/>
        </w:rPr>
      </w:pPr>
      <w:r w:rsidRPr="00155F80">
        <w:rPr>
          <w:rFonts w:ascii="Times New Roman" w:eastAsiaTheme="minorHAnsi" w:hAnsi="Times New Roman"/>
          <w:lang w:val="bs-Latn-BA"/>
        </w:rPr>
        <w:t xml:space="preserve">Dobri pokazatelji zdravlja djece su dojenačka smrtnost i njeni sastavni dijelovi (mrtvorođenost, perinatalna smrtnost, neonatalna i postneonatalna smrtnost), koji u </w:t>
      </w:r>
      <w:r w:rsidR="004E052E">
        <w:rPr>
          <w:rFonts w:ascii="Times New Roman" w:eastAsiaTheme="minorHAnsi" w:hAnsi="Times New Roman"/>
          <w:lang w:val="bs-Latn-BA"/>
        </w:rPr>
        <w:t>razdoblju</w:t>
      </w:r>
      <w:r w:rsidRPr="00155F80">
        <w:rPr>
          <w:rFonts w:ascii="Times New Roman" w:eastAsiaTheme="minorHAnsi" w:hAnsi="Times New Roman"/>
          <w:lang w:val="bs-Latn-BA"/>
        </w:rPr>
        <w:t xml:space="preserve"> od 2010.-2015. godine imaju trend opadanja.</w:t>
      </w:r>
    </w:p>
    <w:p w:rsidR="00A131AD" w:rsidRPr="00155F80" w:rsidRDefault="00A131AD" w:rsidP="000C0138">
      <w:pPr>
        <w:spacing w:after="160" w:line="276" w:lineRule="auto"/>
        <w:rPr>
          <w:rFonts w:ascii="Times New Roman" w:eastAsiaTheme="minorHAnsi" w:hAnsi="Times New Roman"/>
          <w:lang w:val="bs-Latn-BA"/>
        </w:rPr>
      </w:pPr>
      <w:r w:rsidRPr="00155F80">
        <w:rPr>
          <w:rFonts w:ascii="Times New Roman" w:eastAsiaTheme="minorHAnsi" w:hAnsi="Times New Roman"/>
          <w:lang w:val="bs-Latn-BA"/>
        </w:rPr>
        <w:lastRenderedPageBreak/>
        <w:t>Na zdravlje djece u dojenačkom i predškolskom uzrastu ut</w:t>
      </w:r>
      <w:r w:rsidR="004E052E">
        <w:rPr>
          <w:rFonts w:ascii="Times New Roman" w:eastAsiaTheme="minorHAnsi" w:hAnsi="Times New Roman"/>
          <w:lang w:val="bs-Latn-BA"/>
        </w:rPr>
        <w:t>je</w:t>
      </w:r>
      <w:r w:rsidRPr="00155F80">
        <w:rPr>
          <w:rFonts w:ascii="Times New Roman" w:eastAsiaTheme="minorHAnsi" w:hAnsi="Times New Roman"/>
          <w:lang w:val="bs-Latn-BA"/>
        </w:rPr>
        <w:t xml:space="preserve">ču kongenitalne malformacije i deformacije. U 2015. godini, u dojenačkom </w:t>
      </w:r>
      <w:r w:rsidR="004E052E">
        <w:rPr>
          <w:rFonts w:ascii="Times New Roman" w:eastAsiaTheme="minorHAnsi" w:hAnsi="Times New Roman"/>
          <w:lang w:val="bs-Latn-BA"/>
        </w:rPr>
        <w:t>razdoblju</w:t>
      </w:r>
      <w:r w:rsidRPr="00155F80">
        <w:rPr>
          <w:rFonts w:ascii="Times New Roman" w:eastAsiaTheme="minorHAnsi" w:hAnsi="Times New Roman"/>
          <w:lang w:val="bs-Latn-BA"/>
        </w:rPr>
        <w:t xml:space="preserve"> je registr</w:t>
      </w:r>
      <w:r w:rsidR="004E052E">
        <w:rPr>
          <w:rFonts w:ascii="Times New Roman" w:eastAsiaTheme="minorHAnsi" w:hAnsi="Times New Roman"/>
          <w:lang w:val="bs-Latn-BA"/>
        </w:rPr>
        <w:t>irano</w:t>
      </w:r>
      <w:r w:rsidRPr="00155F80">
        <w:rPr>
          <w:rFonts w:ascii="Times New Roman" w:eastAsiaTheme="minorHAnsi" w:hAnsi="Times New Roman"/>
          <w:lang w:val="bs-Latn-BA"/>
        </w:rPr>
        <w:t xml:space="preserve"> najviše kongenitalnih malformacija cirkula</w:t>
      </w:r>
      <w:r w:rsidR="004E052E">
        <w:rPr>
          <w:rFonts w:ascii="Times New Roman" w:eastAsiaTheme="minorHAnsi" w:hAnsi="Times New Roman"/>
          <w:lang w:val="bs-Latn-BA"/>
        </w:rPr>
        <w:t>cijskog</w:t>
      </w:r>
      <w:r w:rsidRPr="00155F80">
        <w:rPr>
          <w:rFonts w:ascii="Times New Roman" w:eastAsiaTheme="minorHAnsi" w:hAnsi="Times New Roman"/>
          <w:lang w:val="bs-Latn-BA"/>
        </w:rPr>
        <w:t xml:space="preserve"> i respiratornog s</w:t>
      </w:r>
      <w:r w:rsidR="004E052E">
        <w:rPr>
          <w:rFonts w:ascii="Times New Roman" w:eastAsiaTheme="minorHAnsi" w:hAnsi="Times New Roman"/>
          <w:lang w:val="bs-Latn-BA"/>
        </w:rPr>
        <w:t>ustava</w:t>
      </w:r>
      <w:r w:rsidRPr="00155F80">
        <w:rPr>
          <w:rFonts w:ascii="Times New Roman" w:eastAsiaTheme="minorHAnsi" w:hAnsi="Times New Roman"/>
          <w:lang w:val="bs-Latn-BA"/>
        </w:rPr>
        <w:t xml:space="preserve"> (30,1%) i kongenitalnih malformacija </w:t>
      </w:r>
      <w:r w:rsidR="004E052E">
        <w:rPr>
          <w:rFonts w:ascii="Times New Roman" w:eastAsiaTheme="minorHAnsi" w:hAnsi="Times New Roman"/>
          <w:lang w:val="bs-Latn-BA"/>
        </w:rPr>
        <w:t>s</w:t>
      </w:r>
      <w:r w:rsidRPr="00155F80">
        <w:rPr>
          <w:rFonts w:ascii="Times New Roman" w:eastAsiaTheme="minorHAnsi" w:hAnsi="Times New Roman"/>
          <w:lang w:val="bs-Latn-BA"/>
        </w:rPr>
        <w:t>polnih organa i urinarnog s</w:t>
      </w:r>
      <w:r w:rsidR="004E052E">
        <w:rPr>
          <w:rFonts w:ascii="Times New Roman" w:eastAsiaTheme="minorHAnsi" w:hAnsi="Times New Roman"/>
          <w:lang w:val="bs-Latn-BA"/>
        </w:rPr>
        <w:t>ustava</w:t>
      </w:r>
      <w:r w:rsidRPr="00155F80">
        <w:rPr>
          <w:rFonts w:ascii="Times New Roman" w:eastAsiaTheme="minorHAnsi" w:hAnsi="Times New Roman"/>
          <w:lang w:val="bs-Latn-BA"/>
        </w:rPr>
        <w:t xml:space="preserve"> (24,6%). Kao uzroci smrti djece </w:t>
      </w:r>
      <w:r w:rsidR="004E052E">
        <w:rPr>
          <w:rFonts w:ascii="Times New Roman" w:eastAsiaTheme="minorHAnsi" w:hAnsi="Times New Roman"/>
          <w:lang w:val="bs-Latn-BA"/>
        </w:rPr>
        <w:t>dobi</w:t>
      </w:r>
      <w:r w:rsidRPr="00155F80">
        <w:rPr>
          <w:rFonts w:ascii="Times New Roman" w:eastAsiaTheme="minorHAnsi" w:hAnsi="Times New Roman"/>
          <w:lang w:val="bs-Latn-BA"/>
        </w:rPr>
        <w:t xml:space="preserve"> do jedne godine u 2015. godini od 12 registr</w:t>
      </w:r>
      <w:r w:rsidR="004E052E">
        <w:rPr>
          <w:rFonts w:ascii="Times New Roman" w:eastAsiaTheme="minorHAnsi" w:hAnsi="Times New Roman"/>
          <w:lang w:val="bs-Latn-BA"/>
        </w:rPr>
        <w:t>iranih</w:t>
      </w:r>
      <w:r w:rsidRPr="00155F80">
        <w:rPr>
          <w:rFonts w:ascii="Times New Roman" w:eastAsiaTheme="minorHAnsi" w:hAnsi="Times New Roman"/>
          <w:lang w:val="bs-Latn-BA"/>
        </w:rPr>
        <w:t xml:space="preserve"> smtnih ishoda kao najčešći uzrok su registr</w:t>
      </w:r>
      <w:r w:rsidR="004E052E">
        <w:rPr>
          <w:rFonts w:ascii="Times New Roman" w:eastAsiaTheme="minorHAnsi" w:hAnsi="Times New Roman"/>
          <w:lang w:val="bs-Latn-BA"/>
        </w:rPr>
        <w:t>irani</w:t>
      </w:r>
      <w:r w:rsidRPr="00155F80">
        <w:rPr>
          <w:rFonts w:ascii="Times New Roman" w:eastAsiaTheme="minorHAnsi" w:hAnsi="Times New Roman"/>
          <w:lang w:val="bs-Latn-BA"/>
        </w:rPr>
        <w:t xml:space="preserve"> drugi</w:t>
      </w:r>
      <w:r w:rsidR="00A726E5" w:rsidRPr="00155F80">
        <w:rPr>
          <w:rFonts w:ascii="Times New Roman" w:eastAsiaTheme="minorHAnsi" w:hAnsi="Times New Roman"/>
          <w:lang w:val="bs-Latn-BA"/>
        </w:rPr>
        <w:t xml:space="preserve"> kongenitalni sindromi (25%).  </w:t>
      </w:r>
    </w:p>
    <w:p w:rsidR="00A131AD" w:rsidRPr="00155F80" w:rsidRDefault="00A131AD" w:rsidP="000C0138">
      <w:pPr>
        <w:spacing w:after="160" w:line="276" w:lineRule="auto"/>
        <w:rPr>
          <w:rFonts w:ascii="Times New Roman" w:eastAsiaTheme="minorHAnsi" w:hAnsi="Times New Roman"/>
          <w:b/>
          <w:lang w:val="bs-Latn-BA"/>
        </w:rPr>
      </w:pPr>
      <w:r w:rsidRPr="00155F80">
        <w:rPr>
          <w:rFonts w:ascii="Times New Roman" w:eastAsiaTheme="minorHAnsi" w:hAnsi="Times New Roman"/>
          <w:b/>
          <w:lang w:val="bs-Latn-BA"/>
        </w:rPr>
        <w:t>Zdravlje djece predškolskog uzrasta</w:t>
      </w:r>
    </w:p>
    <w:p w:rsidR="00A131AD" w:rsidRPr="00155F80" w:rsidRDefault="00A131AD" w:rsidP="000C0138">
      <w:pPr>
        <w:tabs>
          <w:tab w:val="left" w:pos="550"/>
        </w:tabs>
        <w:spacing w:before="120" w:line="276" w:lineRule="auto"/>
        <w:rPr>
          <w:rFonts w:ascii="Times New Roman" w:hAnsi="Times New Roman"/>
          <w:noProof/>
          <w:color w:val="000000"/>
          <w:lang w:val="bs-Latn-BA"/>
        </w:rPr>
      </w:pPr>
      <w:r w:rsidRPr="00155F80">
        <w:rPr>
          <w:rFonts w:ascii="Times New Roman" w:hAnsi="Times New Roman"/>
          <w:noProof/>
          <w:lang w:val="bs-Latn-BA"/>
        </w:rPr>
        <w:t>Vodeća oboljenja kod djece uzrasta 0-6 godina u p</w:t>
      </w:r>
      <w:r w:rsidR="004E052E">
        <w:rPr>
          <w:rFonts w:ascii="Times New Roman" w:hAnsi="Times New Roman"/>
          <w:noProof/>
          <w:lang w:val="bs-Latn-BA"/>
        </w:rPr>
        <w:t>r</w:t>
      </w:r>
      <w:r w:rsidRPr="00155F80">
        <w:rPr>
          <w:rFonts w:ascii="Times New Roman" w:hAnsi="Times New Roman"/>
          <w:noProof/>
          <w:lang w:val="bs-Latn-BA"/>
        </w:rPr>
        <w:t xml:space="preserve">omatranom </w:t>
      </w:r>
      <w:r w:rsidR="004E052E">
        <w:rPr>
          <w:rFonts w:ascii="Times New Roman" w:hAnsi="Times New Roman"/>
          <w:noProof/>
          <w:lang w:val="bs-Latn-BA"/>
        </w:rPr>
        <w:t>razdoblju</w:t>
      </w:r>
      <w:r w:rsidRPr="00155F80">
        <w:rPr>
          <w:rFonts w:ascii="Times New Roman" w:hAnsi="Times New Roman"/>
          <w:noProof/>
          <w:lang w:val="bs-Latn-BA"/>
        </w:rPr>
        <w:t xml:space="preserve"> su: akutne infekcije gornjih dišnih puteva (J00</w:t>
      </w:r>
      <w:r w:rsidRPr="00155F80">
        <w:rPr>
          <w:rFonts w:ascii="Cambria Math" w:hAnsi="Cambria Math" w:cs="Cambria Math"/>
          <w:noProof/>
          <w:lang w:val="bs-Latn-BA"/>
        </w:rPr>
        <w:t>‐</w:t>
      </w:r>
      <w:r w:rsidRPr="00155F80">
        <w:rPr>
          <w:rFonts w:ascii="Times New Roman" w:hAnsi="Times New Roman"/>
          <w:noProof/>
          <w:lang w:val="bs-Latn-BA"/>
        </w:rPr>
        <w:t>J06)</w:t>
      </w:r>
      <w:r w:rsidR="0067516B">
        <w:rPr>
          <w:rFonts w:ascii="Times New Roman" w:hAnsi="Times New Roman"/>
          <w:noProof/>
          <w:lang w:val="bs-Latn-BA"/>
        </w:rPr>
        <w:t xml:space="preserve"> sa laganim trendom opadanja stope obol</w:t>
      </w:r>
      <w:r w:rsidR="004E052E">
        <w:rPr>
          <w:rFonts w:ascii="Times New Roman" w:hAnsi="Times New Roman"/>
          <w:noProof/>
          <w:lang w:val="bs-Latn-BA"/>
        </w:rPr>
        <w:t>i</w:t>
      </w:r>
      <w:r w:rsidR="0067516B">
        <w:rPr>
          <w:rFonts w:ascii="Times New Roman" w:hAnsi="Times New Roman"/>
          <w:noProof/>
          <w:lang w:val="bs-Latn-BA"/>
        </w:rPr>
        <w:t>jevanja</w:t>
      </w:r>
      <w:r w:rsidRPr="00155F80">
        <w:rPr>
          <w:rFonts w:ascii="Times New Roman" w:hAnsi="Times New Roman"/>
          <w:noProof/>
          <w:lang w:val="bs-Latn-BA"/>
        </w:rPr>
        <w:t>, zatim akutni bronhitis, bronhiolitis (J20</w:t>
      </w:r>
      <w:r w:rsidRPr="00155F80">
        <w:rPr>
          <w:rFonts w:ascii="Cambria Math" w:hAnsi="Cambria Math" w:cs="Cambria Math"/>
          <w:noProof/>
          <w:lang w:val="bs-Latn-BA"/>
        </w:rPr>
        <w:t>‐</w:t>
      </w:r>
      <w:r w:rsidRPr="00155F80">
        <w:rPr>
          <w:rFonts w:ascii="Times New Roman" w:hAnsi="Times New Roman"/>
          <w:noProof/>
          <w:lang w:val="bs-Latn-BA"/>
        </w:rPr>
        <w:t xml:space="preserve"> J21)</w:t>
      </w:r>
      <w:r w:rsidR="0067516B">
        <w:rPr>
          <w:rFonts w:ascii="Times New Roman" w:hAnsi="Times New Roman"/>
          <w:noProof/>
          <w:lang w:val="bs-Latn-BA"/>
        </w:rPr>
        <w:t xml:space="preserve"> sa trendom porasta obol</w:t>
      </w:r>
      <w:r w:rsidR="004E052E">
        <w:rPr>
          <w:rFonts w:ascii="Times New Roman" w:hAnsi="Times New Roman"/>
          <w:noProof/>
          <w:lang w:val="bs-Latn-BA"/>
        </w:rPr>
        <w:t>i</w:t>
      </w:r>
      <w:r w:rsidR="0067516B">
        <w:rPr>
          <w:rFonts w:ascii="Times New Roman" w:hAnsi="Times New Roman"/>
          <w:noProof/>
          <w:lang w:val="bs-Latn-BA"/>
        </w:rPr>
        <w:t>jevanja</w:t>
      </w:r>
      <w:r w:rsidRPr="00155F80">
        <w:rPr>
          <w:rFonts w:ascii="Times New Roman" w:hAnsi="Times New Roman"/>
          <w:noProof/>
          <w:lang w:val="bs-Latn-BA"/>
        </w:rPr>
        <w:t>, otitis media i drugi poremećaji srednjeg uha i mastoida (H65</w:t>
      </w:r>
      <w:r w:rsidRPr="00155F80">
        <w:rPr>
          <w:rFonts w:ascii="Cambria Math" w:hAnsi="Cambria Math" w:cs="Cambria Math"/>
          <w:noProof/>
          <w:lang w:val="bs-Latn-BA"/>
        </w:rPr>
        <w:t>‐</w:t>
      </w:r>
      <w:r w:rsidRPr="00155F80">
        <w:rPr>
          <w:rFonts w:ascii="Times New Roman" w:hAnsi="Times New Roman"/>
          <w:noProof/>
          <w:lang w:val="bs-Latn-BA"/>
        </w:rPr>
        <w:t>H75), infekcije kože i potkožnog tkiva (L00</w:t>
      </w:r>
      <w:r w:rsidRPr="00155F80">
        <w:rPr>
          <w:rFonts w:ascii="Cambria Math" w:hAnsi="Cambria Math" w:cs="Cambria Math"/>
          <w:noProof/>
          <w:lang w:val="bs-Latn-BA"/>
        </w:rPr>
        <w:t>‐</w:t>
      </w:r>
      <w:r w:rsidRPr="00155F80">
        <w:rPr>
          <w:rFonts w:ascii="Times New Roman" w:hAnsi="Times New Roman"/>
          <w:noProof/>
          <w:lang w:val="bs-Latn-BA"/>
        </w:rPr>
        <w:t xml:space="preserve">L08) i </w:t>
      </w:r>
      <w:r w:rsidRPr="00155F80">
        <w:rPr>
          <w:rFonts w:ascii="Times New Roman" w:hAnsi="Times New Roman"/>
          <w:noProof/>
          <w:color w:val="000000"/>
          <w:lang w:val="bs-Latn-BA"/>
        </w:rPr>
        <w:t>oboljenje oka i adneksa (H00-H59). Anemije usljed nedostatka željeza od 2013. godine nisu među pet vodećih oboljenja djece ovog uzrasta.</w:t>
      </w:r>
    </w:p>
    <w:p w:rsidR="00A131AD" w:rsidRPr="00155F80" w:rsidRDefault="00A131AD" w:rsidP="000C0138">
      <w:pPr>
        <w:tabs>
          <w:tab w:val="left" w:pos="550"/>
        </w:tabs>
        <w:spacing w:before="120" w:line="276" w:lineRule="auto"/>
        <w:rPr>
          <w:rFonts w:ascii="Times New Roman" w:hAnsi="Times New Roman"/>
          <w:noProof/>
          <w:color w:val="000000"/>
          <w:lang w:val="bs-Latn-BA"/>
        </w:rPr>
      </w:pPr>
    </w:p>
    <w:p w:rsidR="00A726E5" w:rsidRPr="00155F80" w:rsidRDefault="00A131AD" w:rsidP="00EB7CC7">
      <w:pPr>
        <w:pStyle w:val="refererere"/>
        <w:rPr>
          <w:noProof/>
          <w:lang w:val="bs-Latn-BA" w:eastAsia="bs-Latn-BA"/>
        </w:rPr>
      </w:pPr>
      <w:r w:rsidRPr="0059581E">
        <w:rPr>
          <w:noProof/>
          <w:color w:val="000000" w:themeColor="text1"/>
          <w:lang w:val="bs-Latn-BA" w:eastAsia="bs-Latn-BA"/>
        </w:rPr>
        <w:t xml:space="preserve">Grafikon 50: </w:t>
      </w:r>
      <w:r w:rsidRPr="0067516B">
        <w:rPr>
          <w:noProof/>
          <w:lang w:val="bs-Latn-BA" w:eastAsia="bs-Latn-BA"/>
        </w:rPr>
        <w:t>Vodeća oboljenja kod djece uzrasta 0</w:t>
      </w:r>
      <w:r w:rsidRPr="0067516B">
        <w:rPr>
          <w:rFonts w:ascii="Cambria Math" w:hAnsi="Cambria Math" w:cs="Cambria Math"/>
          <w:noProof/>
          <w:lang w:val="bs-Latn-BA" w:eastAsia="bs-Latn-BA"/>
        </w:rPr>
        <w:t>‐</w:t>
      </w:r>
      <w:r w:rsidRPr="0067516B">
        <w:rPr>
          <w:noProof/>
          <w:lang w:val="bs-Latn-BA" w:eastAsia="bs-Latn-BA"/>
        </w:rPr>
        <w:t xml:space="preserve">6 godina u Federaciji BiH, za </w:t>
      </w:r>
      <w:r w:rsidR="004E052E">
        <w:rPr>
          <w:noProof/>
          <w:lang w:val="bs-Latn-BA" w:eastAsia="bs-Latn-BA"/>
        </w:rPr>
        <w:t>razdoblje</w:t>
      </w:r>
      <w:r w:rsidRPr="0067516B">
        <w:rPr>
          <w:noProof/>
          <w:lang w:val="bs-Latn-BA" w:eastAsia="bs-Latn-BA"/>
        </w:rPr>
        <w:t xml:space="preserve"> 2010.</w:t>
      </w:r>
      <w:r w:rsidRPr="0067516B">
        <w:rPr>
          <w:rFonts w:ascii="Cambria Math" w:hAnsi="Cambria Math" w:cs="Cambria Math"/>
          <w:noProof/>
          <w:lang w:val="bs-Latn-BA" w:eastAsia="bs-Latn-BA"/>
        </w:rPr>
        <w:t>‐</w:t>
      </w:r>
      <w:r w:rsidRPr="0067516B">
        <w:rPr>
          <w:noProof/>
          <w:lang w:val="bs-Latn-BA" w:eastAsia="bs-Latn-BA"/>
        </w:rPr>
        <w:t xml:space="preserve"> </w:t>
      </w:r>
      <w:r w:rsidR="00EB7CC7" w:rsidRPr="0067516B">
        <w:rPr>
          <w:noProof/>
          <w:lang w:val="bs-Latn-BA" w:eastAsia="bs-Latn-BA"/>
        </w:rPr>
        <w:br/>
        <w:t xml:space="preserve"> </w:t>
      </w:r>
      <w:r w:rsidRPr="0067516B">
        <w:rPr>
          <w:noProof/>
          <w:lang w:val="bs-Latn-BA" w:eastAsia="bs-Latn-BA"/>
        </w:rPr>
        <w:t>2015. godina, stopa  na 10.000 stanovnika</w:t>
      </w:r>
      <w:r w:rsidRPr="00155F80">
        <w:rPr>
          <w:noProof/>
          <w:lang w:val="bs-Latn-BA" w:eastAsia="bs-Latn-BA"/>
        </w:rPr>
        <w:t xml:space="preserve"> </w:t>
      </w:r>
    </w:p>
    <w:p w:rsidR="00A131AD" w:rsidRPr="00155F80" w:rsidRDefault="00E85560" w:rsidP="000C0138">
      <w:pPr>
        <w:spacing w:after="160" w:line="276" w:lineRule="auto"/>
        <w:rPr>
          <w:rFonts w:ascii="Times New Roman" w:eastAsiaTheme="minorHAnsi" w:hAnsi="Times New Roman"/>
          <w:b/>
          <w:lang w:val="bs-Latn-BA"/>
        </w:rPr>
      </w:pPr>
      <w:r>
        <w:rPr>
          <w:noProof/>
          <w:lang w:val="bs-Latn-BA" w:eastAsia="bs-Latn-BA"/>
        </w:rPr>
        <w:drawing>
          <wp:inline distT="0" distB="0" distL="0" distR="0" wp14:anchorId="36B70CD2" wp14:editId="2773A61D">
            <wp:extent cx="5686425" cy="2324100"/>
            <wp:effectExtent l="0" t="0" r="9525" b="0"/>
            <wp:docPr id="94" name="Chart 94"/>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A131AD" w:rsidRPr="00155F80" w:rsidRDefault="00A131AD" w:rsidP="000C0138">
      <w:pPr>
        <w:spacing w:after="160" w:line="276" w:lineRule="auto"/>
        <w:rPr>
          <w:rFonts w:ascii="Times New Roman" w:eastAsiaTheme="minorHAnsi" w:hAnsi="Times New Roman"/>
          <w:b/>
          <w:lang w:val="bs-Latn-BA"/>
        </w:rPr>
      </w:pPr>
    </w:p>
    <w:p w:rsidR="00EB7CC7" w:rsidRPr="00155F80" w:rsidRDefault="00A131AD" w:rsidP="000C0138">
      <w:pPr>
        <w:spacing w:after="160" w:line="276" w:lineRule="auto"/>
        <w:rPr>
          <w:rFonts w:ascii="Times New Roman" w:eastAsiaTheme="minorHAnsi" w:hAnsi="Times New Roman"/>
          <w:b/>
          <w:lang w:val="bs-Latn-BA"/>
        </w:rPr>
      </w:pPr>
      <w:r w:rsidRPr="00155F80">
        <w:rPr>
          <w:rFonts w:ascii="Times New Roman" w:eastAsiaTheme="minorHAnsi" w:hAnsi="Times New Roman"/>
          <w:lang w:val="bs-Latn-BA"/>
        </w:rPr>
        <w:t>Osim najčešćih oboljenja koja se pojavljuju u ovom uzrastu, na zdravlje djece veoma ut</w:t>
      </w:r>
      <w:r w:rsidR="004E052E">
        <w:rPr>
          <w:rFonts w:ascii="Times New Roman" w:eastAsiaTheme="minorHAnsi" w:hAnsi="Times New Roman"/>
          <w:lang w:val="bs-Latn-BA"/>
        </w:rPr>
        <w:t>je</w:t>
      </w:r>
      <w:r w:rsidRPr="00155F80">
        <w:rPr>
          <w:rFonts w:ascii="Times New Roman" w:eastAsiaTheme="minorHAnsi" w:hAnsi="Times New Roman"/>
          <w:lang w:val="bs-Latn-BA"/>
        </w:rPr>
        <w:t>ču razni socijalni rizici, među kojima su važni zanemarivanje i zlostavljanje.</w:t>
      </w:r>
    </w:p>
    <w:p w:rsidR="00A131AD" w:rsidRPr="00155F80" w:rsidRDefault="00A131AD" w:rsidP="000C0138">
      <w:pPr>
        <w:spacing w:after="160" w:line="276" w:lineRule="auto"/>
        <w:rPr>
          <w:rFonts w:ascii="Times New Roman" w:eastAsiaTheme="minorHAnsi" w:hAnsi="Times New Roman"/>
          <w:b/>
          <w:lang w:val="bs-Latn-BA"/>
        </w:rPr>
      </w:pPr>
      <w:r w:rsidRPr="00155F80">
        <w:rPr>
          <w:rFonts w:ascii="Times New Roman" w:eastAsiaTheme="minorHAnsi" w:hAnsi="Times New Roman"/>
          <w:b/>
          <w:lang w:val="bs-Latn-BA"/>
        </w:rPr>
        <w:t xml:space="preserve">Indeks ranog rasta i razvoja </w:t>
      </w:r>
    </w:p>
    <w:p w:rsidR="00A131AD" w:rsidRPr="00155F80" w:rsidRDefault="00516B30" w:rsidP="000C0138">
      <w:pPr>
        <w:tabs>
          <w:tab w:val="left" w:pos="550"/>
        </w:tabs>
        <w:spacing w:before="120" w:line="276" w:lineRule="auto"/>
        <w:rPr>
          <w:rFonts w:ascii="Times New Roman" w:hAnsi="Times New Roman"/>
          <w:noProof/>
          <w:lang w:val="bs-Latn-BA"/>
        </w:rPr>
      </w:pPr>
      <w:r>
        <w:rPr>
          <w:rFonts w:ascii="Times New Roman" w:hAnsi="Times New Roman"/>
          <w:noProof/>
          <w:lang w:val="bs-Latn-BA"/>
        </w:rPr>
        <w:t>P</w:t>
      </w:r>
      <w:r w:rsidR="00A131AD" w:rsidRPr="00155F80">
        <w:rPr>
          <w:rFonts w:ascii="Times New Roman" w:hAnsi="Times New Roman"/>
          <w:noProof/>
          <w:lang w:val="bs-Latn-BA"/>
        </w:rPr>
        <w:t xml:space="preserve">raćenje </w:t>
      </w:r>
      <w:r>
        <w:rPr>
          <w:rFonts w:ascii="Times New Roman" w:hAnsi="Times New Roman"/>
          <w:noProof/>
          <w:lang w:val="bs-Latn-BA"/>
        </w:rPr>
        <w:t xml:space="preserve">ranog rasta i razvoja djece ima veliki značaj. </w:t>
      </w:r>
    </w:p>
    <w:p w:rsidR="00A131AD" w:rsidRPr="00155F80" w:rsidRDefault="00A131AD" w:rsidP="000C0138">
      <w:pPr>
        <w:tabs>
          <w:tab w:val="left" w:pos="550"/>
        </w:tabs>
        <w:spacing w:before="120" w:line="276" w:lineRule="auto"/>
        <w:rPr>
          <w:rFonts w:ascii="Times New Roman" w:hAnsi="Times New Roman"/>
          <w:noProof/>
          <w:lang w:val="bs-Latn-BA"/>
        </w:rPr>
      </w:pPr>
      <w:r w:rsidRPr="00155F80">
        <w:rPr>
          <w:rFonts w:ascii="Times New Roman" w:hAnsi="Times New Roman"/>
          <w:noProof/>
          <w:lang w:val="bs-Latn-BA"/>
        </w:rPr>
        <w:t>Indeks ranog rasta i razvoja predstavlja p</w:t>
      </w:r>
      <w:r w:rsidR="0046000D">
        <w:rPr>
          <w:rFonts w:ascii="Times New Roman" w:hAnsi="Times New Roman"/>
          <w:noProof/>
          <w:lang w:val="bs-Latn-BA"/>
        </w:rPr>
        <w:t>rocenat</w:t>
      </w:r>
      <w:r w:rsidRPr="00155F80">
        <w:rPr>
          <w:rFonts w:ascii="Times New Roman" w:hAnsi="Times New Roman"/>
          <w:noProof/>
          <w:lang w:val="bs-Latn-BA"/>
        </w:rPr>
        <w:t xml:space="preserve"> djece s očekivan</w:t>
      </w:r>
      <w:r w:rsidR="0046000D">
        <w:rPr>
          <w:rFonts w:ascii="Times New Roman" w:hAnsi="Times New Roman"/>
          <w:noProof/>
          <w:lang w:val="bs-Latn-BA"/>
        </w:rPr>
        <w:t>o</w:t>
      </w:r>
      <w:r w:rsidRPr="00155F80">
        <w:rPr>
          <w:rFonts w:ascii="Times New Roman" w:hAnsi="Times New Roman"/>
          <w:noProof/>
          <w:lang w:val="bs-Latn-BA"/>
        </w:rPr>
        <w:t xml:space="preserve">m </w:t>
      </w:r>
      <w:r w:rsidR="0046000D">
        <w:rPr>
          <w:rFonts w:ascii="Times New Roman" w:hAnsi="Times New Roman"/>
          <w:noProof/>
          <w:lang w:val="bs-Latn-BA"/>
        </w:rPr>
        <w:t>razinom</w:t>
      </w:r>
      <w:r w:rsidRPr="00155F80">
        <w:rPr>
          <w:rFonts w:ascii="Times New Roman" w:hAnsi="Times New Roman"/>
          <w:noProof/>
          <w:lang w:val="bs-Latn-BA"/>
        </w:rPr>
        <w:t xml:space="preserve"> razvoja u najmanje tri od sljedeć</w:t>
      </w:r>
      <w:r w:rsidR="0046000D">
        <w:rPr>
          <w:rFonts w:ascii="Times New Roman" w:hAnsi="Times New Roman"/>
          <w:noProof/>
          <w:lang w:val="bs-Latn-BA"/>
        </w:rPr>
        <w:t>a</w:t>
      </w:r>
      <w:r w:rsidRPr="00155F80">
        <w:rPr>
          <w:rFonts w:ascii="Times New Roman" w:hAnsi="Times New Roman"/>
          <w:noProof/>
          <w:lang w:val="bs-Latn-BA"/>
        </w:rPr>
        <w:t xml:space="preserve"> četiri </w:t>
      </w:r>
      <w:r w:rsidR="0046000D">
        <w:rPr>
          <w:rFonts w:ascii="Times New Roman" w:hAnsi="Times New Roman"/>
          <w:noProof/>
          <w:lang w:val="bs-Latn-BA"/>
        </w:rPr>
        <w:t>područja</w:t>
      </w:r>
      <w:r w:rsidRPr="00155F80">
        <w:rPr>
          <w:rFonts w:ascii="Times New Roman" w:hAnsi="Times New Roman"/>
          <w:noProof/>
          <w:lang w:val="bs-Latn-BA"/>
        </w:rPr>
        <w:t xml:space="preserve">: pismenost i poznavanje brojeva, tjelesni razvoj, socijalni i emocionalni razvoj i učenje. </w:t>
      </w:r>
    </w:p>
    <w:p w:rsidR="00B560D0" w:rsidRDefault="00A131AD" w:rsidP="00B560D0">
      <w:pPr>
        <w:tabs>
          <w:tab w:val="left" w:pos="550"/>
        </w:tabs>
        <w:spacing w:line="276" w:lineRule="auto"/>
        <w:rPr>
          <w:rFonts w:ascii="Times New Roman" w:hAnsi="Times New Roman"/>
          <w:noProof/>
          <w:lang w:val="bs-Latn-BA"/>
        </w:rPr>
      </w:pPr>
      <w:r w:rsidRPr="00155F80">
        <w:rPr>
          <w:rFonts w:ascii="Times New Roman" w:hAnsi="Times New Roman"/>
          <w:noProof/>
          <w:lang w:val="bs-Latn-BA"/>
        </w:rPr>
        <w:t>Prema MICS4 istraživanju u Federaciji BiH 95,6% djece uzrasta 36</w:t>
      </w:r>
      <w:r w:rsidRPr="00155F80">
        <w:rPr>
          <w:rFonts w:ascii="Cambria Math" w:hAnsi="Cambria Math" w:cs="Cambria Math"/>
          <w:noProof/>
          <w:lang w:val="bs-Latn-BA"/>
        </w:rPr>
        <w:t>‐</w:t>
      </w:r>
      <w:r w:rsidRPr="00155F80">
        <w:rPr>
          <w:rFonts w:ascii="Times New Roman" w:hAnsi="Times New Roman"/>
          <w:noProof/>
          <w:lang w:val="bs-Latn-BA"/>
        </w:rPr>
        <w:t>59 mjeseci je dostiglo očekivan</w:t>
      </w:r>
      <w:r w:rsidR="0046000D">
        <w:rPr>
          <w:rFonts w:ascii="Times New Roman" w:hAnsi="Times New Roman"/>
          <w:noProof/>
          <w:lang w:val="bs-Latn-BA"/>
        </w:rPr>
        <w:t>u</w:t>
      </w:r>
      <w:r w:rsidRPr="00155F80">
        <w:rPr>
          <w:rFonts w:ascii="Times New Roman" w:hAnsi="Times New Roman"/>
          <w:noProof/>
          <w:lang w:val="bs-Latn-BA"/>
        </w:rPr>
        <w:t xml:space="preserve"> </w:t>
      </w:r>
      <w:r w:rsidR="0046000D">
        <w:rPr>
          <w:rFonts w:ascii="Times New Roman" w:hAnsi="Times New Roman"/>
          <w:noProof/>
          <w:lang w:val="bs-Latn-BA"/>
        </w:rPr>
        <w:t>razinu</w:t>
      </w:r>
      <w:r w:rsidRPr="00155F80">
        <w:rPr>
          <w:rFonts w:ascii="Times New Roman" w:hAnsi="Times New Roman"/>
          <w:noProof/>
          <w:lang w:val="bs-Latn-BA"/>
        </w:rPr>
        <w:t xml:space="preserve"> razvoja. </w:t>
      </w:r>
      <w:r w:rsidR="0046000D">
        <w:rPr>
          <w:rFonts w:ascii="Times New Roman" w:hAnsi="Times New Roman"/>
          <w:noProof/>
          <w:lang w:val="bs-Latn-BA"/>
        </w:rPr>
        <w:t>Razina</w:t>
      </w:r>
      <w:r w:rsidRPr="00155F80">
        <w:rPr>
          <w:rFonts w:ascii="Times New Roman" w:hAnsi="Times New Roman"/>
          <w:noProof/>
          <w:lang w:val="bs-Latn-BA"/>
        </w:rPr>
        <w:t xml:space="preserve"> razvoja u domeni tjelesnog, socijalnog i emocionalnog razvoja i učenja veća je od 90%, dok je </w:t>
      </w:r>
      <w:r w:rsidR="0046000D">
        <w:rPr>
          <w:rFonts w:ascii="Times New Roman" w:hAnsi="Times New Roman"/>
          <w:noProof/>
          <w:lang w:val="bs-Latn-BA"/>
        </w:rPr>
        <w:t>razina</w:t>
      </w:r>
      <w:r w:rsidRPr="00155F80">
        <w:rPr>
          <w:rFonts w:ascii="Times New Roman" w:hAnsi="Times New Roman"/>
          <w:noProof/>
          <w:lang w:val="bs-Latn-BA"/>
        </w:rPr>
        <w:t xml:space="preserve"> razvoja u domeni pismenosti i poznavanja brojeva očekivano manja među djecom ovog uzrasta i iznosi 26,7%.</w:t>
      </w:r>
    </w:p>
    <w:p w:rsidR="00B560D0" w:rsidRDefault="00B560D0" w:rsidP="00B560D0">
      <w:pPr>
        <w:tabs>
          <w:tab w:val="left" w:pos="550"/>
        </w:tabs>
        <w:spacing w:line="276" w:lineRule="auto"/>
        <w:rPr>
          <w:rFonts w:ascii="Times New Roman" w:hAnsi="Times New Roman"/>
          <w:noProof/>
          <w:lang w:val="bs-Latn-BA"/>
        </w:rPr>
      </w:pPr>
    </w:p>
    <w:p w:rsidR="00A131AD" w:rsidRPr="00155F80" w:rsidRDefault="00A131AD" w:rsidP="00B560D0">
      <w:pPr>
        <w:tabs>
          <w:tab w:val="left" w:pos="550"/>
        </w:tabs>
        <w:spacing w:line="276" w:lineRule="auto"/>
        <w:rPr>
          <w:rFonts w:ascii="Times New Roman" w:eastAsiaTheme="minorHAnsi" w:hAnsi="Times New Roman"/>
          <w:b/>
          <w:lang w:val="bs-Latn-BA"/>
        </w:rPr>
      </w:pPr>
      <w:r w:rsidRPr="00155F80">
        <w:rPr>
          <w:rFonts w:ascii="Times New Roman" w:eastAsiaTheme="minorHAnsi" w:hAnsi="Times New Roman"/>
          <w:b/>
          <w:lang w:val="bs-Latn-BA"/>
        </w:rPr>
        <w:t>Školski u</w:t>
      </w:r>
      <w:r w:rsidR="00516B30">
        <w:rPr>
          <w:rFonts w:ascii="Times New Roman" w:eastAsiaTheme="minorHAnsi" w:hAnsi="Times New Roman"/>
          <w:b/>
          <w:lang w:val="bs-Latn-BA"/>
        </w:rPr>
        <w:t>zrast (6-18</w:t>
      </w:r>
      <w:r w:rsidRPr="00155F80">
        <w:rPr>
          <w:rFonts w:ascii="Times New Roman" w:eastAsiaTheme="minorHAnsi" w:hAnsi="Times New Roman"/>
          <w:b/>
          <w:lang w:val="bs-Latn-BA"/>
        </w:rPr>
        <w:t xml:space="preserve"> godina)</w:t>
      </w:r>
    </w:p>
    <w:p w:rsidR="00A131AD" w:rsidRPr="00155F80" w:rsidRDefault="00A131AD" w:rsidP="000C0138">
      <w:pPr>
        <w:tabs>
          <w:tab w:val="left" w:pos="550"/>
        </w:tabs>
        <w:spacing w:before="120" w:line="276" w:lineRule="auto"/>
        <w:rPr>
          <w:rFonts w:ascii="Times New Roman" w:hAnsi="Times New Roman"/>
          <w:noProof/>
          <w:lang w:val="bs-Latn-BA"/>
        </w:rPr>
      </w:pPr>
      <w:r w:rsidRPr="00155F80">
        <w:rPr>
          <w:rFonts w:ascii="Times New Roman" w:hAnsi="Times New Roman"/>
          <w:noProof/>
          <w:lang w:val="bs-Latn-BA"/>
        </w:rPr>
        <w:lastRenderedPageBreak/>
        <w:t>U ovim godinama djeca prelaze iz dječjeg uzrasta u adolescente, st</w:t>
      </w:r>
      <w:r w:rsidR="0046000D">
        <w:rPr>
          <w:rFonts w:ascii="Times New Roman" w:hAnsi="Times New Roman"/>
          <w:noProof/>
          <w:lang w:val="bs-Latn-BA"/>
        </w:rPr>
        <w:t>je</w:t>
      </w:r>
      <w:r w:rsidRPr="00155F80">
        <w:rPr>
          <w:rFonts w:ascii="Times New Roman" w:hAnsi="Times New Roman"/>
          <w:noProof/>
          <w:lang w:val="bs-Latn-BA"/>
        </w:rPr>
        <w:t>ču životne navike pod različitim ut</w:t>
      </w:r>
      <w:r w:rsidR="0046000D">
        <w:rPr>
          <w:rFonts w:ascii="Times New Roman" w:hAnsi="Times New Roman"/>
          <w:noProof/>
          <w:lang w:val="bs-Latn-BA"/>
        </w:rPr>
        <w:t>je</w:t>
      </w:r>
      <w:r w:rsidRPr="00155F80">
        <w:rPr>
          <w:rFonts w:ascii="Times New Roman" w:hAnsi="Times New Roman"/>
          <w:noProof/>
          <w:lang w:val="bs-Latn-BA"/>
        </w:rPr>
        <w:t>cajima vezane za konzumiranje duhana, alkohola, droga i psihoaktivnih tvari, tjelesnu aktivnost, seksualne odnose itd.</w:t>
      </w:r>
    </w:p>
    <w:p w:rsidR="00A131AD" w:rsidRPr="00155F80" w:rsidRDefault="00A131AD" w:rsidP="000C0138">
      <w:pPr>
        <w:tabs>
          <w:tab w:val="left" w:pos="550"/>
        </w:tabs>
        <w:spacing w:before="120" w:line="276" w:lineRule="auto"/>
        <w:rPr>
          <w:rFonts w:ascii="Times New Roman" w:hAnsi="Times New Roman"/>
          <w:noProof/>
          <w:color w:val="000000"/>
          <w:lang w:val="bs-Latn-BA"/>
        </w:rPr>
      </w:pPr>
      <w:r w:rsidRPr="00155F80">
        <w:rPr>
          <w:rFonts w:ascii="Times New Roman" w:hAnsi="Times New Roman"/>
          <w:noProof/>
          <w:lang w:val="bs-Latn-BA"/>
        </w:rPr>
        <w:t xml:space="preserve">Vodeće bolesti kod djece starosti </w:t>
      </w:r>
      <w:r w:rsidR="0046000D">
        <w:rPr>
          <w:rFonts w:ascii="Times New Roman" w:hAnsi="Times New Roman"/>
          <w:noProof/>
          <w:lang w:val="bs-Latn-BA"/>
        </w:rPr>
        <w:t xml:space="preserve">od </w:t>
      </w:r>
      <w:r w:rsidRPr="00155F80">
        <w:rPr>
          <w:rFonts w:ascii="Times New Roman" w:hAnsi="Times New Roman"/>
          <w:noProof/>
          <w:lang w:val="bs-Latn-BA"/>
        </w:rPr>
        <w:t xml:space="preserve">7-14 godina u </w:t>
      </w:r>
      <w:r w:rsidR="0046000D">
        <w:rPr>
          <w:rFonts w:ascii="Times New Roman" w:hAnsi="Times New Roman"/>
          <w:noProof/>
          <w:lang w:val="bs-Latn-BA"/>
        </w:rPr>
        <w:t>iz</w:t>
      </w:r>
      <w:r w:rsidRPr="00155F80">
        <w:rPr>
          <w:rFonts w:ascii="Times New Roman" w:hAnsi="Times New Roman"/>
          <w:noProof/>
          <w:lang w:val="bs-Latn-BA"/>
        </w:rPr>
        <w:t>vanbolničkoj zdravstvenoj zaštiti su slične u p</w:t>
      </w:r>
      <w:r w:rsidR="0046000D">
        <w:rPr>
          <w:rFonts w:ascii="Times New Roman" w:hAnsi="Times New Roman"/>
          <w:noProof/>
          <w:lang w:val="bs-Latn-BA"/>
        </w:rPr>
        <w:t>r</w:t>
      </w:r>
      <w:r w:rsidRPr="00155F80">
        <w:rPr>
          <w:rFonts w:ascii="Times New Roman" w:hAnsi="Times New Roman"/>
          <w:noProof/>
          <w:lang w:val="bs-Latn-BA"/>
        </w:rPr>
        <w:t>omatranom razdoblju i to su: akutne infekcije gornjih dišnih puteva (J00</w:t>
      </w:r>
      <w:r w:rsidRPr="00155F80">
        <w:rPr>
          <w:rFonts w:ascii="Cambria Math" w:hAnsi="Cambria Math" w:cs="Cambria Math"/>
          <w:noProof/>
          <w:lang w:val="bs-Latn-BA"/>
        </w:rPr>
        <w:t>‐</w:t>
      </w:r>
      <w:r w:rsidRPr="00155F80">
        <w:rPr>
          <w:rFonts w:ascii="Times New Roman" w:hAnsi="Times New Roman"/>
          <w:noProof/>
          <w:lang w:val="bs-Latn-BA"/>
        </w:rPr>
        <w:t>J06) i akutni bronhitis i bronhiolitis (J20</w:t>
      </w:r>
      <w:r w:rsidRPr="00155F80">
        <w:rPr>
          <w:rFonts w:ascii="Cambria Math" w:hAnsi="Cambria Math" w:cs="Cambria Math"/>
          <w:noProof/>
          <w:lang w:val="bs-Latn-BA"/>
        </w:rPr>
        <w:t>‐</w:t>
      </w:r>
      <w:r w:rsidRPr="00155F80">
        <w:rPr>
          <w:rFonts w:ascii="Times New Roman" w:hAnsi="Times New Roman"/>
          <w:noProof/>
          <w:lang w:val="bs-Latn-BA"/>
        </w:rPr>
        <w:t>J21) koji održavaju sličan trend obolijevanja</w:t>
      </w:r>
      <w:r w:rsidR="00A427D9">
        <w:rPr>
          <w:rFonts w:ascii="Times New Roman" w:hAnsi="Times New Roman"/>
          <w:noProof/>
          <w:lang w:val="bs-Latn-BA"/>
        </w:rPr>
        <w:t xml:space="preserve"> u p</w:t>
      </w:r>
      <w:r w:rsidR="0046000D">
        <w:rPr>
          <w:rFonts w:ascii="Times New Roman" w:hAnsi="Times New Roman"/>
          <w:noProof/>
          <w:lang w:val="bs-Latn-BA"/>
        </w:rPr>
        <w:t>r</w:t>
      </w:r>
      <w:r w:rsidR="00A427D9">
        <w:rPr>
          <w:rFonts w:ascii="Times New Roman" w:hAnsi="Times New Roman"/>
          <w:noProof/>
          <w:lang w:val="bs-Latn-BA"/>
        </w:rPr>
        <w:t xml:space="preserve">omatranom </w:t>
      </w:r>
      <w:r w:rsidR="0046000D">
        <w:rPr>
          <w:rFonts w:ascii="Times New Roman" w:hAnsi="Times New Roman"/>
          <w:noProof/>
          <w:lang w:val="bs-Latn-BA"/>
        </w:rPr>
        <w:t>razdoblju</w:t>
      </w:r>
      <w:r w:rsidRPr="00155F80">
        <w:rPr>
          <w:rFonts w:ascii="Times New Roman" w:hAnsi="Times New Roman"/>
          <w:noProof/>
          <w:lang w:val="bs-Latn-BA"/>
        </w:rPr>
        <w:t>, oboljenja oka i adneksa (H00</w:t>
      </w:r>
      <w:r w:rsidRPr="00155F80">
        <w:rPr>
          <w:rFonts w:ascii="Cambria Math" w:hAnsi="Cambria Math" w:cs="Cambria Math"/>
          <w:noProof/>
          <w:lang w:val="bs-Latn-BA"/>
        </w:rPr>
        <w:t>‐</w:t>
      </w:r>
      <w:r w:rsidRPr="00155F80">
        <w:rPr>
          <w:rFonts w:ascii="Times New Roman" w:hAnsi="Times New Roman"/>
          <w:noProof/>
          <w:lang w:val="bs-Latn-BA"/>
        </w:rPr>
        <w:t>H59, bez H28, H40, H42, H52), oboljenja kože i potkožnog tkiva (L10</w:t>
      </w:r>
      <w:r w:rsidRPr="00155F80">
        <w:rPr>
          <w:rFonts w:ascii="Cambria Math" w:hAnsi="Cambria Math" w:cs="Cambria Math"/>
          <w:noProof/>
          <w:lang w:val="bs-Latn-BA"/>
        </w:rPr>
        <w:t>‐</w:t>
      </w:r>
      <w:r w:rsidRPr="00155F80">
        <w:rPr>
          <w:rFonts w:ascii="Times New Roman" w:hAnsi="Times New Roman"/>
          <w:noProof/>
          <w:lang w:val="bs-Latn-BA"/>
        </w:rPr>
        <w:t>L14, L20</w:t>
      </w:r>
      <w:r w:rsidRPr="00155F80">
        <w:rPr>
          <w:rFonts w:ascii="Cambria Math" w:hAnsi="Cambria Math" w:cs="Cambria Math"/>
          <w:noProof/>
          <w:lang w:val="bs-Latn-BA"/>
        </w:rPr>
        <w:t>‐</w:t>
      </w:r>
      <w:r w:rsidRPr="00155F80">
        <w:rPr>
          <w:rFonts w:ascii="Times New Roman" w:hAnsi="Times New Roman"/>
          <w:noProof/>
          <w:lang w:val="bs-Latn-BA"/>
        </w:rPr>
        <w:t>L45, L55</w:t>
      </w:r>
      <w:r w:rsidRPr="00155F80">
        <w:rPr>
          <w:rFonts w:ascii="Cambria Math" w:hAnsi="Cambria Math" w:cs="Cambria Math"/>
          <w:noProof/>
          <w:lang w:val="bs-Latn-BA"/>
        </w:rPr>
        <w:t>‐</w:t>
      </w:r>
      <w:r w:rsidRPr="00155F80">
        <w:rPr>
          <w:rFonts w:ascii="Times New Roman" w:hAnsi="Times New Roman"/>
          <w:noProof/>
          <w:lang w:val="bs-Latn-BA"/>
        </w:rPr>
        <w:t xml:space="preserve">L99), te upale uha </w:t>
      </w:r>
      <w:r w:rsidRPr="00155F80">
        <w:rPr>
          <w:rFonts w:ascii="Times New Roman" w:hAnsi="Times New Roman"/>
          <w:noProof/>
          <w:color w:val="000000"/>
          <w:lang w:val="bs-Latn-BA"/>
        </w:rPr>
        <w:t>i drugi poremećaji srednjeg uha i mastoida (H65-H75).</w:t>
      </w:r>
    </w:p>
    <w:p w:rsidR="00A131AD" w:rsidRPr="00155F80" w:rsidRDefault="00A131AD" w:rsidP="000C0138">
      <w:pPr>
        <w:tabs>
          <w:tab w:val="left" w:pos="550"/>
        </w:tabs>
        <w:spacing w:before="120" w:line="276" w:lineRule="auto"/>
        <w:rPr>
          <w:rFonts w:ascii="Times New Roman" w:hAnsi="Times New Roman"/>
          <w:noProof/>
          <w:color w:val="000000"/>
          <w:lang w:val="bs-Latn-BA"/>
        </w:rPr>
      </w:pPr>
    </w:p>
    <w:p w:rsidR="00A131AD" w:rsidRPr="00155F80" w:rsidRDefault="00A131AD" w:rsidP="00EB7CC7">
      <w:pPr>
        <w:pStyle w:val="refererere"/>
        <w:rPr>
          <w:noProof/>
          <w:lang w:val="bs-Latn-BA" w:eastAsia="bs-Latn-BA"/>
        </w:rPr>
      </w:pPr>
      <w:r w:rsidRPr="00A427D9">
        <w:rPr>
          <w:noProof/>
          <w:lang w:val="bs-Latn-BA" w:eastAsia="bs-Latn-BA"/>
        </w:rPr>
        <w:t>Grafikon 51: Vodeća oboljenja kod djece starosti 7</w:t>
      </w:r>
      <w:r w:rsidRPr="00A427D9">
        <w:rPr>
          <w:rFonts w:ascii="Cambria Math" w:hAnsi="Cambria Math" w:cs="Cambria Math"/>
          <w:noProof/>
          <w:lang w:val="bs-Latn-BA" w:eastAsia="bs-Latn-BA"/>
        </w:rPr>
        <w:t>‐</w:t>
      </w:r>
      <w:r w:rsidRPr="00A427D9">
        <w:rPr>
          <w:noProof/>
          <w:lang w:val="bs-Latn-BA" w:eastAsia="bs-Latn-BA"/>
        </w:rPr>
        <w:t xml:space="preserve">14 godina u Federaciji BiH , za </w:t>
      </w:r>
      <w:r w:rsidR="0046000D">
        <w:rPr>
          <w:noProof/>
          <w:lang w:val="bs-Latn-BA" w:eastAsia="bs-Latn-BA"/>
        </w:rPr>
        <w:t>razdoblje</w:t>
      </w:r>
      <w:r w:rsidRPr="00A427D9">
        <w:rPr>
          <w:noProof/>
          <w:lang w:val="bs-Latn-BA" w:eastAsia="bs-Latn-BA"/>
        </w:rPr>
        <w:t xml:space="preserve"> 2010.</w:t>
      </w:r>
      <w:r w:rsidRPr="00A427D9">
        <w:rPr>
          <w:rFonts w:ascii="Cambria Math" w:hAnsi="Cambria Math" w:cs="Cambria Math"/>
          <w:noProof/>
          <w:lang w:val="bs-Latn-BA" w:eastAsia="bs-Latn-BA"/>
        </w:rPr>
        <w:t>‐</w:t>
      </w:r>
      <w:r w:rsidRPr="00A427D9">
        <w:rPr>
          <w:noProof/>
          <w:lang w:val="bs-Latn-BA" w:eastAsia="bs-Latn-BA"/>
        </w:rPr>
        <w:t xml:space="preserve"> 2015. godina, stopa na 10.000 stanovnika</w:t>
      </w:r>
    </w:p>
    <w:p w:rsidR="00A131AD" w:rsidRPr="00155F80" w:rsidRDefault="00E85560" w:rsidP="000C0138">
      <w:pPr>
        <w:autoSpaceDE w:val="0"/>
        <w:autoSpaceDN w:val="0"/>
        <w:adjustRightInd w:val="0"/>
        <w:spacing w:after="160" w:line="276" w:lineRule="auto"/>
        <w:jc w:val="left"/>
        <w:rPr>
          <w:rFonts w:ascii="Times New Roman" w:eastAsiaTheme="minorHAnsi" w:hAnsi="Times New Roman"/>
          <w:b/>
          <w:bCs/>
          <w:lang w:val="bs-Latn-BA"/>
        </w:rPr>
      </w:pPr>
      <w:r>
        <w:rPr>
          <w:noProof/>
          <w:lang w:val="bs-Latn-BA" w:eastAsia="bs-Latn-BA"/>
        </w:rPr>
        <w:drawing>
          <wp:inline distT="0" distB="0" distL="0" distR="0" wp14:anchorId="1AB86780" wp14:editId="2F675F7C">
            <wp:extent cx="5695950" cy="2228850"/>
            <wp:effectExtent l="0" t="0" r="0" b="0"/>
            <wp:docPr id="95" name="Chart 95"/>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A131AD" w:rsidRPr="00155F80" w:rsidRDefault="00A131AD" w:rsidP="000C0138">
      <w:pPr>
        <w:tabs>
          <w:tab w:val="left" w:pos="550"/>
        </w:tabs>
        <w:spacing w:before="120" w:line="276" w:lineRule="auto"/>
        <w:rPr>
          <w:rFonts w:ascii="Times New Roman" w:hAnsi="Times New Roman"/>
          <w:noProof/>
          <w:lang w:val="bs-Latn-BA"/>
        </w:rPr>
      </w:pPr>
      <w:r w:rsidRPr="00155F80">
        <w:rPr>
          <w:rFonts w:ascii="Times New Roman" w:hAnsi="Times New Roman"/>
          <w:noProof/>
          <w:lang w:val="bs-Latn-BA"/>
        </w:rPr>
        <w:t xml:space="preserve">Djeca i mladi starosti od 15-18 godina, kao najzdraviji dio stanovništva, </w:t>
      </w:r>
      <w:r w:rsidR="00A427D9">
        <w:rPr>
          <w:rFonts w:ascii="Times New Roman" w:hAnsi="Times New Roman"/>
          <w:noProof/>
          <w:lang w:val="bs-Latn-BA"/>
        </w:rPr>
        <w:t xml:space="preserve">manje </w:t>
      </w:r>
      <w:r w:rsidRPr="00155F80">
        <w:rPr>
          <w:rFonts w:ascii="Times New Roman" w:hAnsi="Times New Roman"/>
          <w:noProof/>
          <w:lang w:val="bs-Latn-BA"/>
        </w:rPr>
        <w:t xml:space="preserve">boluju od potencijalno teških bolesti iz dojenačkog razdoblja i ranog djetinjstva, a još nisu ugroženi </w:t>
      </w:r>
      <w:r w:rsidR="0046000D">
        <w:rPr>
          <w:rFonts w:ascii="Times New Roman" w:hAnsi="Times New Roman"/>
          <w:noProof/>
          <w:lang w:val="bs-Latn-BA"/>
        </w:rPr>
        <w:t>k</w:t>
      </w:r>
      <w:r w:rsidRPr="00155F80">
        <w:rPr>
          <w:rFonts w:ascii="Times New Roman" w:hAnsi="Times New Roman"/>
          <w:noProof/>
          <w:lang w:val="bs-Latn-BA"/>
        </w:rPr>
        <w:t>roničnim bolestima.</w:t>
      </w:r>
    </w:p>
    <w:p w:rsidR="00A131AD" w:rsidRDefault="00A131AD" w:rsidP="007A7E4A">
      <w:pPr>
        <w:tabs>
          <w:tab w:val="left" w:pos="550"/>
        </w:tabs>
        <w:spacing w:before="120" w:line="276" w:lineRule="auto"/>
        <w:rPr>
          <w:rFonts w:ascii="Times New Roman" w:hAnsi="Times New Roman"/>
          <w:noProof/>
          <w:lang w:val="bs-Latn-BA"/>
        </w:rPr>
      </w:pPr>
      <w:r w:rsidRPr="00155F80">
        <w:rPr>
          <w:rFonts w:ascii="Times New Roman" w:hAnsi="Times New Roman"/>
          <w:noProof/>
          <w:lang w:val="bs-Latn-BA"/>
        </w:rPr>
        <w:t>Vodeće bolesti kod mladih starosti 15</w:t>
      </w:r>
      <w:r w:rsidRPr="00155F80">
        <w:rPr>
          <w:rFonts w:ascii="Cambria Math" w:hAnsi="Cambria Math" w:cs="Cambria Math"/>
          <w:noProof/>
          <w:lang w:val="bs-Latn-BA"/>
        </w:rPr>
        <w:t>‐</w:t>
      </w:r>
      <w:r w:rsidRPr="00155F80">
        <w:rPr>
          <w:rFonts w:ascii="Times New Roman" w:hAnsi="Times New Roman"/>
          <w:noProof/>
          <w:lang w:val="bs-Latn-BA"/>
        </w:rPr>
        <w:t>1</w:t>
      </w:r>
      <w:r w:rsidR="00E10857">
        <w:rPr>
          <w:rFonts w:ascii="Times New Roman" w:hAnsi="Times New Roman"/>
          <w:noProof/>
          <w:lang w:val="bs-Latn-BA"/>
        </w:rPr>
        <w:t>8</w:t>
      </w:r>
      <w:r w:rsidRPr="00155F80">
        <w:rPr>
          <w:rFonts w:ascii="Times New Roman" w:hAnsi="Times New Roman"/>
          <w:noProof/>
          <w:lang w:val="bs-Latn-BA"/>
        </w:rPr>
        <w:t xml:space="preserve"> godina su slične u p</w:t>
      </w:r>
      <w:r w:rsidR="0046000D">
        <w:rPr>
          <w:rFonts w:ascii="Times New Roman" w:hAnsi="Times New Roman"/>
          <w:noProof/>
          <w:lang w:val="bs-Latn-BA"/>
        </w:rPr>
        <w:t>r</w:t>
      </w:r>
      <w:r w:rsidRPr="00155F80">
        <w:rPr>
          <w:rFonts w:ascii="Times New Roman" w:hAnsi="Times New Roman"/>
          <w:noProof/>
          <w:lang w:val="bs-Latn-BA"/>
        </w:rPr>
        <w:t>omatranom razdoblju i to su: akutne infekcije gornjih dišnih put</w:t>
      </w:r>
      <w:r w:rsidR="0046000D">
        <w:rPr>
          <w:rFonts w:ascii="Times New Roman" w:hAnsi="Times New Roman"/>
          <w:noProof/>
          <w:lang w:val="bs-Latn-BA"/>
        </w:rPr>
        <w:t>e</w:t>
      </w:r>
      <w:r w:rsidRPr="00155F80">
        <w:rPr>
          <w:rFonts w:ascii="Times New Roman" w:hAnsi="Times New Roman"/>
          <w:noProof/>
          <w:lang w:val="bs-Latn-BA"/>
        </w:rPr>
        <w:t>va (J00</w:t>
      </w:r>
      <w:r w:rsidRPr="00155F80">
        <w:rPr>
          <w:rFonts w:ascii="Cambria Math" w:hAnsi="Cambria Math" w:cs="Cambria Math"/>
          <w:noProof/>
          <w:lang w:val="bs-Latn-BA"/>
        </w:rPr>
        <w:t>‐</w:t>
      </w:r>
      <w:r w:rsidRPr="00155F80">
        <w:rPr>
          <w:rFonts w:ascii="Times New Roman" w:hAnsi="Times New Roman"/>
          <w:noProof/>
          <w:lang w:val="bs-Latn-BA"/>
        </w:rPr>
        <w:t>J06) koje imaju najvišu stopu obolijevanja</w:t>
      </w:r>
      <w:r w:rsidR="00A427D9">
        <w:rPr>
          <w:rFonts w:ascii="Times New Roman" w:hAnsi="Times New Roman"/>
          <w:noProof/>
          <w:lang w:val="bs-Latn-BA"/>
        </w:rPr>
        <w:t xml:space="preserve"> sa laganim padom u 2015. godini</w:t>
      </w:r>
      <w:r w:rsidRPr="00155F80">
        <w:rPr>
          <w:rFonts w:ascii="Times New Roman" w:hAnsi="Times New Roman"/>
          <w:noProof/>
          <w:lang w:val="bs-Latn-BA"/>
        </w:rPr>
        <w:t>, akutni bronhitis i bronhiolitis (J20</w:t>
      </w:r>
      <w:r w:rsidRPr="00155F80">
        <w:rPr>
          <w:rFonts w:ascii="Cambria Math" w:hAnsi="Cambria Math" w:cs="Cambria Math"/>
          <w:noProof/>
          <w:lang w:val="bs-Latn-BA"/>
        </w:rPr>
        <w:t>‐</w:t>
      </w:r>
      <w:r w:rsidRPr="00155F80">
        <w:rPr>
          <w:rFonts w:ascii="Times New Roman" w:hAnsi="Times New Roman"/>
          <w:noProof/>
          <w:lang w:val="bs-Latn-BA"/>
        </w:rPr>
        <w:t>J21), slijedi cistitis (N30), potom druga oboljenja kože i potkožnog tkiva (L10</w:t>
      </w:r>
      <w:r w:rsidRPr="00155F80">
        <w:rPr>
          <w:rFonts w:ascii="Cambria Math" w:hAnsi="Cambria Math" w:cs="Cambria Math"/>
          <w:noProof/>
          <w:lang w:val="bs-Latn-BA"/>
        </w:rPr>
        <w:t>‐</w:t>
      </w:r>
      <w:r w:rsidRPr="00155F80">
        <w:rPr>
          <w:rFonts w:ascii="Times New Roman" w:hAnsi="Times New Roman"/>
          <w:noProof/>
          <w:lang w:val="bs-Latn-BA"/>
        </w:rPr>
        <w:t>L14, L20</w:t>
      </w:r>
      <w:r w:rsidRPr="00155F80">
        <w:rPr>
          <w:rFonts w:ascii="Cambria Math" w:hAnsi="Cambria Math" w:cs="Cambria Math"/>
          <w:noProof/>
          <w:lang w:val="bs-Latn-BA"/>
        </w:rPr>
        <w:t>‐</w:t>
      </w:r>
      <w:r w:rsidRPr="00155F80">
        <w:rPr>
          <w:rFonts w:ascii="Times New Roman" w:hAnsi="Times New Roman"/>
          <w:noProof/>
          <w:lang w:val="bs-Latn-BA"/>
        </w:rPr>
        <w:t>L45, L55</w:t>
      </w:r>
      <w:r w:rsidRPr="00155F80">
        <w:rPr>
          <w:rFonts w:ascii="Cambria Math" w:hAnsi="Cambria Math" w:cs="Cambria Math"/>
          <w:noProof/>
          <w:lang w:val="bs-Latn-BA"/>
        </w:rPr>
        <w:t>‐</w:t>
      </w:r>
      <w:r w:rsidRPr="00155F80">
        <w:rPr>
          <w:rFonts w:ascii="Times New Roman" w:hAnsi="Times New Roman"/>
          <w:noProof/>
          <w:lang w:val="bs-Latn-BA"/>
        </w:rPr>
        <w:t>L99), dok se kao peto oboljenje po učestalosti pojavljuju oboljenja oka i adneksa (H00</w:t>
      </w:r>
      <w:r w:rsidRPr="00155F80">
        <w:rPr>
          <w:rFonts w:ascii="Cambria Math" w:hAnsi="Cambria Math" w:cs="Cambria Math"/>
          <w:noProof/>
          <w:lang w:val="bs-Latn-BA"/>
        </w:rPr>
        <w:t>‐</w:t>
      </w:r>
      <w:r w:rsidRPr="00155F80">
        <w:rPr>
          <w:rFonts w:ascii="Times New Roman" w:hAnsi="Times New Roman"/>
          <w:noProof/>
          <w:lang w:val="bs-Latn-BA"/>
        </w:rPr>
        <w:t>H59, bez H28,H40,H42,H52). Svih pet vodećih podgrupa oboljenja su zabilježila nižu stopu u 2015. godini u odnosu na prethodne godine.</w:t>
      </w:r>
    </w:p>
    <w:p w:rsidR="00A131AD" w:rsidRPr="00155F80" w:rsidRDefault="00A131AD" w:rsidP="00EB7CC7">
      <w:pPr>
        <w:pStyle w:val="refererere"/>
        <w:rPr>
          <w:noProof/>
          <w:lang w:val="bs-Latn-BA" w:eastAsia="bs-Latn-BA"/>
        </w:rPr>
      </w:pPr>
      <w:r w:rsidRPr="00A427D9">
        <w:rPr>
          <w:noProof/>
          <w:lang w:val="bs-Latn-BA" w:eastAsia="bs-Latn-BA"/>
        </w:rPr>
        <w:t>Grafikon 52: Vodeća oboljenja kod mladih dobi 15</w:t>
      </w:r>
      <w:r w:rsidRPr="00A427D9">
        <w:rPr>
          <w:rFonts w:ascii="Cambria Math" w:hAnsi="Cambria Math" w:cs="Cambria Math"/>
          <w:noProof/>
          <w:lang w:val="bs-Latn-BA" w:eastAsia="bs-Latn-BA"/>
        </w:rPr>
        <w:t>‐</w:t>
      </w:r>
      <w:r w:rsidR="00E10857" w:rsidRPr="00A427D9">
        <w:rPr>
          <w:noProof/>
          <w:lang w:val="bs-Latn-BA" w:eastAsia="bs-Latn-BA"/>
        </w:rPr>
        <w:t>18</w:t>
      </w:r>
      <w:r w:rsidRPr="00A427D9">
        <w:rPr>
          <w:noProof/>
          <w:lang w:val="bs-Latn-BA" w:eastAsia="bs-Latn-BA"/>
        </w:rPr>
        <w:t xml:space="preserve"> godina u Federaciji BiH, za </w:t>
      </w:r>
      <w:r w:rsidR="0046000D">
        <w:rPr>
          <w:noProof/>
          <w:lang w:val="bs-Latn-BA" w:eastAsia="bs-Latn-BA"/>
        </w:rPr>
        <w:t>razdoblje</w:t>
      </w:r>
      <w:r w:rsidRPr="00A427D9">
        <w:rPr>
          <w:noProof/>
          <w:lang w:val="bs-Latn-BA" w:eastAsia="bs-Latn-BA"/>
        </w:rPr>
        <w:t xml:space="preserve"> 2010.</w:t>
      </w:r>
      <w:r w:rsidRPr="00A427D9">
        <w:rPr>
          <w:rFonts w:ascii="Cambria Math" w:hAnsi="Cambria Math" w:cs="Cambria Math"/>
          <w:noProof/>
          <w:lang w:val="bs-Latn-BA" w:eastAsia="bs-Latn-BA"/>
        </w:rPr>
        <w:t>‐</w:t>
      </w:r>
      <w:r w:rsidRPr="00A427D9">
        <w:rPr>
          <w:noProof/>
          <w:lang w:val="bs-Latn-BA" w:eastAsia="bs-Latn-BA"/>
        </w:rPr>
        <w:t>2015. godina, stopa na 10.000 stanovnika</w:t>
      </w:r>
    </w:p>
    <w:p w:rsidR="00A131AD" w:rsidRPr="00155F80" w:rsidRDefault="00E85560" w:rsidP="000C0138">
      <w:pPr>
        <w:autoSpaceDE w:val="0"/>
        <w:autoSpaceDN w:val="0"/>
        <w:adjustRightInd w:val="0"/>
        <w:spacing w:after="160" w:line="276" w:lineRule="auto"/>
        <w:jc w:val="center"/>
        <w:rPr>
          <w:rFonts w:ascii="Times New Roman" w:eastAsiaTheme="minorHAnsi" w:hAnsi="Times New Roman"/>
          <w:b/>
          <w:bCs/>
          <w:lang w:val="bs-Latn-BA"/>
        </w:rPr>
      </w:pPr>
      <w:r>
        <w:rPr>
          <w:noProof/>
          <w:lang w:val="bs-Latn-BA" w:eastAsia="bs-Latn-BA"/>
        </w:rPr>
        <w:drawing>
          <wp:inline distT="0" distB="0" distL="0" distR="0" wp14:anchorId="2BC6E48D" wp14:editId="083ABA29">
            <wp:extent cx="5705475" cy="2114550"/>
            <wp:effectExtent l="0" t="0" r="9525" b="0"/>
            <wp:docPr id="98" name="Chart 98"/>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A131AD" w:rsidRPr="00155F80" w:rsidRDefault="00A131AD" w:rsidP="000C0138">
      <w:pPr>
        <w:tabs>
          <w:tab w:val="left" w:pos="550"/>
        </w:tabs>
        <w:spacing w:before="120" w:line="276" w:lineRule="auto"/>
        <w:rPr>
          <w:rFonts w:ascii="Times New Roman" w:hAnsi="Times New Roman"/>
          <w:noProof/>
          <w:lang w:val="bs-Latn-BA" w:eastAsia="bs-Latn-BA"/>
        </w:rPr>
      </w:pPr>
    </w:p>
    <w:p w:rsidR="00A131AD" w:rsidRPr="00155F80" w:rsidRDefault="00A131AD" w:rsidP="000C0138">
      <w:pPr>
        <w:tabs>
          <w:tab w:val="left" w:pos="550"/>
        </w:tabs>
        <w:spacing w:before="120" w:line="276" w:lineRule="auto"/>
        <w:rPr>
          <w:rFonts w:ascii="Times New Roman" w:hAnsi="Times New Roman"/>
          <w:noProof/>
          <w:lang w:val="bs-Latn-BA" w:eastAsia="bs-Latn-BA"/>
        </w:rPr>
      </w:pPr>
      <w:r w:rsidRPr="00155F80">
        <w:rPr>
          <w:rFonts w:ascii="Times New Roman" w:hAnsi="Times New Roman"/>
          <w:noProof/>
          <w:lang w:val="bs-Latn-BA" w:eastAsia="bs-Latn-BA"/>
        </w:rPr>
        <w:lastRenderedPageBreak/>
        <w:t>Vlada Federacije BiH zajedno s resornim ministarstvom za pitanja mladih – Ministarstvom kulture i sporta FBiH odlučna je u stvaranju boljih u</w:t>
      </w:r>
      <w:r w:rsidR="0046000D">
        <w:rPr>
          <w:rFonts w:ascii="Times New Roman" w:hAnsi="Times New Roman"/>
          <w:noProof/>
          <w:lang w:val="bs-Latn-BA" w:eastAsia="bs-Latn-BA"/>
        </w:rPr>
        <w:t>vjeta</w:t>
      </w:r>
      <w:r w:rsidRPr="00155F80">
        <w:rPr>
          <w:rFonts w:ascii="Times New Roman" w:hAnsi="Times New Roman"/>
          <w:noProof/>
          <w:lang w:val="bs-Latn-BA" w:eastAsia="bs-Latn-BA"/>
        </w:rPr>
        <w:t xml:space="preserve"> za život mladih u FBiH. </w:t>
      </w:r>
      <w:r w:rsidR="0075749A">
        <w:rPr>
          <w:rFonts w:ascii="Times New Roman" w:hAnsi="Times New Roman"/>
          <w:noProof/>
          <w:lang w:val="bs-Latn-BA" w:eastAsia="bs-Latn-BA"/>
        </w:rPr>
        <w:t xml:space="preserve">Prvi korak u toj namjeri je </w:t>
      </w:r>
      <w:r w:rsidRPr="00155F80">
        <w:rPr>
          <w:rFonts w:ascii="Times New Roman" w:hAnsi="Times New Roman"/>
          <w:noProof/>
          <w:lang w:val="bs-Latn-BA" w:eastAsia="bs-Latn-BA"/>
        </w:rPr>
        <w:t>kreiranje strategije prema mladima Federacije BiH</w:t>
      </w:r>
      <w:r w:rsidR="0075749A">
        <w:rPr>
          <w:rFonts w:ascii="Times New Roman" w:hAnsi="Times New Roman"/>
          <w:noProof/>
          <w:lang w:val="bs-Latn-BA" w:eastAsia="bs-Latn-BA"/>
        </w:rPr>
        <w:t>,</w:t>
      </w:r>
      <w:r w:rsidRPr="00155F80">
        <w:rPr>
          <w:rFonts w:ascii="Times New Roman" w:hAnsi="Times New Roman"/>
          <w:noProof/>
          <w:lang w:val="bs-Latn-BA" w:eastAsia="bs-Latn-BA"/>
        </w:rPr>
        <w:t xml:space="preserve"> što </w:t>
      </w:r>
      <w:r w:rsidR="0075749A">
        <w:rPr>
          <w:rFonts w:ascii="Times New Roman" w:hAnsi="Times New Roman"/>
          <w:noProof/>
          <w:lang w:val="bs-Latn-BA" w:eastAsia="bs-Latn-BA"/>
        </w:rPr>
        <w:t>je</w:t>
      </w:r>
      <w:r w:rsidRPr="00155F80">
        <w:rPr>
          <w:rFonts w:ascii="Times New Roman" w:hAnsi="Times New Roman"/>
          <w:noProof/>
          <w:lang w:val="bs-Latn-BA" w:eastAsia="bs-Latn-BA"/>
        </w:rPr>
        <w:t xml:space="preserve"> jedan od najznačajnijih predu</w:t>
      </w:r>
      <w:r w:rsidR="0046000D">
        <w:rPr>
          <w:rFonts w:ascii="Times New Roman" w:hAnsi="Times New Roman"/>
          <w:noProof/>
          <w:lang w:val="bs-Latn-BA" w:eastAsia="bs-Latn-BA"/>
        </w:rPr>
        <w:t>vjeta</w:t>
      </w:r>
      <w:r w:rsidRPr="00155F80">
        <w:rPr>
          <w:rFonts w:ascii="Times New Roman" w:hAnsi="Times New Roman"/>
          <w:noProof/>
          <w:lang w:val="bs-Latn-BA" w:eastAsia="bs-Latn-BA"/>
        </w:rPr>
        <w:t xml:space="preserve"> za uspostav</w:t>
      </w:r>
      <w:r w:rsidR="0046000D">
        <w:rPr>
          <w:rFonts w:ascii="Times New Roman" w:hAnsi="Times New Roman"/>
          <w:noProof/>
          <w:lang w:val="bs-Latn-BA" w:eastAsia="bs-Latn-BA"/>
        </w:rPr>
        <w:t>u</w:t>
      </w:r>
      <w:r w:rsidRPr="00155F80">
        <w:rPr>
          <w:rFonts w:ascii="Times New Roman" w:hAnsi="Times New Roman"/>
          <w:noProof/>
          <w:lang w:val="bs-Latn-BA" w:eastAsia="bs-Latn-BA"/>
        </w:rPr>
        <w:t xml:space="preserve"> s</w:t>
      </w:r>
      <w:r w:rsidR="0046000D">
        <w:rPr>
          <w:rFonts w:ascii="Times New Roman" w:hAnsi="Times New Roman"/>
          <w:noProof/>
          <w:lang w:val="bs-Latn-BA" w:eastAsia="bs-Latn-BA"/>
        </w:rPr>
        <w:t>ustavne</w:t>
      </w:r>
      <w:r w:rsidRPr="00155F80">
        <w:rPr>
          <w:rFonts w:ascii="Times New Roman" w:hAnsi="Times New Roman"/>
          <w:noProof/>
          <w:lang w:val="bs-Latn-BA" w:eastAsia="bs-Latn-BA"/>
        </w:rPr>
        <w:t xml:space="preserve"> brige o mladima. </w:t>
      </w:r>
    </w:p>
    <w:p w:rsidR="00A131AD" w:rsidRPr="00155F80" w:rsidRDefault="00A131AD" w:rsidP="000C0138">
      <w:pPr>
        <w:spacing w:after="160" w:line="276" w:lineRule="auto"/>
        <w:rPr>
          <w:rFonts w:ascii="Times New Roman" w:eastAsiaTheme="minorHAnsi" w:hAnsi="Times New Roman"/>
          <w:iCs/>
          <w:lang w:val="bs-Latn-BA"/>
        </w:rPr>
      </w:pPr>
      <w:r w:rsidRPr="00155F80">
        <w:rPr>
          <w:rFonts w:ascii="Times New Roman" w:eastAsiaTheme="minorHAnsi" w:hAnsi="Times New Roman"/>
          <w:lang w:val="bs-Latn-BA" w:eastAsia="bs-Latn-BA"/>
        </w:rPr>
        <w:t xml:space="preserve"> </w:t>
      </w:r>
      <w:r w:rsidRPr="00155F80">
        <w:rPr>
          <w:rFonts w:ascii="Times New Roman" w:eastAsiaTheme="minorHAnsi" w:hAnsi="Times New Roman"/>
          <w:iCs/>
          <w:lang w:val="bs-Latn-BA"/>
        </w:rPr>
        <w:t xml:space="preserve"> „</w:t>
      </w:r>
      <w:r w:rsidRPr="00155F80">
        <w:rPr>
          <w:rFonts w:ascii="Times New Roman" w:eastAsiaTheme="minorHAnsi" w:hAnsi="Times New Roman"/>
          <w:bCs/>
          <w:iCs/>
          <w:lang w:val="bs-Latn-BA"/>
        </w:rPr>
        <w:t>Strategija prema mladima</w:t>
      </w:r>
      <w:r w:rsidRPr="00155F80">
        <w:rPr>
          <w:rFonts w:ascii="Times New Roman" w:eastAsiaTheme="minorHAnsi" w:hAnsi="Times New Roman"/>
          <w:iCs/>
          <w:lang w:val="bs-Latn-BA"/>
        </w:rPr>
        <w:t>” je dokument sa programskim pristupom djelovanjima prema mladima što uključuje defini</w:t>
      </w:r>
      <w:r w:rsidR="0046000D">
        <w:rPr>
          <w:rFonts w:ascii="Times New Roman" w:eastAsiaTheme="minorHAnsi" w:hAnsi="Times New Roman"/>
          <w:iCs/>
          <w:lang w:val="bs-Latn-BA"/>
        </w:rPr>
        <w:t>r</w:t>
      </w:r>
      <w:r w:rsidRPr="00155F80">
        <w:rPr>
          <w:rFonts w:ascii="Times New Roman" w:eastAsiaTheme="minorHAnsi" w:hAnsi="Times New Roman"/>
          <w:iCs/>
          <w:lang w:val="bs-Latn-BA"/>
        </w:rPr>
        <w:t>anje problema i potreba mladih, strateške pravce djelovanja, te ciljeve strategije i mjere za realizaciju ciljeva strategije.</w:t>
      </w:r>
    </w:p>
    <w:p w:rsidR="001628EA" w:rsidRPr="001628EA" w:rsidRDefault="00E10857" w:rsidP="001628EA">
      <w:pPr>
        <w:spacing w:after="160" w:line="276" w:lineRule="auto"/>
        <w:rPr>
          <w:rFonts w:ascii="Times New Roman" w:eastAsiaTheme="minorHAnsi" w:hAnsi="Times New Roman"/>
          <w:iCs/>
          <w:lang w:val="bs-Latn-BA"/>
        </w:rPr>
      </w:pPr>
      <w:r>
        <w:rPr>
          <w:rFonts w:ascii="Times New Roman" w:eastAsiaTheme="minorHAnsi" w:hAnsi="Times New Roman"/>
          <w:iCs/>
          <w:lang w:val="bs-Latn-BA"/>
        </w:rPr>
        <w:t>T</w:t>
      </w:r>
      <w:r w:rsidR="0046000D">
        <w:rPr>
          <w:rFonts w:ascii="Times New Roman" w:eastAsiaTheme="minorHAnsi" w:hAnsi="Times New Roman"/>
          <w:iCs/>
          <w:lang w:val="bs-Latn-BA"/>
        </w:rPr>
        <w:t>ije</w:t>
      </w:r>
      <w:r>
        <w:rPr>
          <w:rFonts w:ascii="Times New Roman" w:eastAsiaTheme="minorHAnsi" w:hAnsi="Times New Roman"/>
          <w:iCs/>
          <w:lang w:val="bs-Latn-BA"/>
        </w:rPr>
        <w:t xml:space="preserve">kom </w:t>
      </w:r>
      <w:r w:rsidR="00A131AD" w:rsidRPr="00155F80">
        <w:rPr>
          <w:rFonts w:ascii="Times New Roman" w:eastAsiaTheme="minorHAnsi" w:hAnsi="Times New Roman"/>
          <w:iCs/>
          <w:lang w:val="bs-Latn-BA"/>
        </w:rPr>
        <w:t xml:space="preserve">2015. godine </w:t>
      </w:r>
      <w:r w:rsidRPr="00155F80">
        <w:rPr>
          <w:rFonts w:ascii="Times New Roman" w:eastAsiaTheme="minorHAnsi" w:hAnsi="Times New Roman"/>
          <w:iCs/>
          <w:lang w:val="bs-Latn-BA"/>
        </w:rPr>
        <w:t xml:space="preserve">je finaliziran </w:t>
      </w:r>
      <w:r>
        <w:rPr>
          <w:rFonts w:ascii="Times New Roman" w:eastAsiaTheme="minorHAnsi" w:hAnsi="Times New Roman"/>
          <w:iCs/>
          <w:lang w:val="bs-Latn-BA"/>
        </w:rPr>
        <w:t>nacrt</w:t>
      </w:r>
      <w:r w:rsidRPr="00155F80">
        <w:rPr>
          <w:rFonts w:ascii="Times New Roman" w:eastAsiaTheme="minorHAnsi" w:hAnsi="Times New Roman"/>
          <w:iCs/>
          <w:lang w:val="bs-Latn-BA"/>
        </w:rPr>
        <w:t xml:space="preserve"> Strategije prema mladima, </w:t>
      </w:r>
      <w:r>
        <w:rPr>
          <w:rFonts w:ascii="Times New Roman" w:eastAsiaTheme="minorHAnsi" w:hAnsi="Times New Roman"/>
          <w:iCs/>
          <w:lang w:val="bs-Latn-BA"/>
        </w:rPr>
        <w:t xml:space="preserve">u čemu su, uz članove Radne grupe, aktivno </w:t>
      </w:r>
      <w:r w:rsidR="0046000D">
        <w:rPr>
          <w:rFonts w:ascii="Times New Roman" w:eastAsiaTheme="minorHAnsi" w:hAnsi="Times New Roman"/>
          <w:iCs/>
          <w:lang w:val="bs-Latn-BA"/>
        </w:rPr>
        <w:t>sudjelovali</w:t>
      </w:r>
      <w:r>
        <w:rPr>
          <w:rFonts w:ascii="Times New Roman" w:eastAsiaTheme="minorHAnsi" w:hAnsi="Times New Roman"/>
          <w:iCs/>
          <w:lang w:val="bs-Latn-BA"/>
        </w:rPr>
        <w:t xml:space="preserve"> i predstavnici mladih i NVO, te je nadležno ministarstvo uputil</w:t>
      </w:r>
      <w:r w:rsidR="0046000D">
        <w:rPr>
          <w:rFonts w:ascii="Times New Roman" w:eastAsiaTheme="minorHAnsi" w:hAnsi="Times New Roman"/>
          <w:iCs/>
          <w:lang w:val="bs-Latn-BA"/>
        </w:rPr>
        <w:t>o</w:t>
      </w:r>
      <w:r>
        <w:rPr>
          <w:rFonts w:ascii="Times New Roman" w:eastAsiaTheme="minorHAnsi" w:hAnsi="Times New Roman"/>
          <w:iCs/>
          <w:lang w:val="bs-Latn-BA"/>
        </w:rPr>
        <w:t xml:space="preserve"> nacrt dokumenta na usvajanje. </w:t>
      </w:r>
      <w:r w:rsidR="00A131AD" w:rsidRPr="00155F80">
        <w:rPr>
          <w:rFonts w:ascii="Times New Roman" w:eastAsiaTheme="minorHAnsi" w:hAnsi="Times New Roman"/>
          <w:iCs/>
          <w:lang w:val="bs-Latn-BA"/>
        </w:rPr>
        <w:t xml:space="preserve"> </w:t>
      </w:r>
    </w:p>
    <w:p w:rsidR="001628EA" w:rsidRPr="00155F80" w:rsidRDefault="001628EA" w:rsidP="001628EA">
      <w:pPr>
        <w:tabs>
          <w:tab w:val="left" w:pos="550"/>
        </w:tabs>
        <w:spacing w:before="120" w:line="276" w:lineRule="auto"/>
        <w:rPr>
          <w:rFonts w:ascii="Times New Roman" w:hAnsi="Times New Roman"/>
          <w:noProof/>
          <w:lang w:val="bs-Latn-BA"/>
        </w:rPr>
      </w:pPr>
      <w:r w:rsidRPr="00155F80">
        <w:rPr>
          <w:rFonts w:ascii="Times New Roman" w:hAnsi="Times New Roman"/>
          <w:noProof/>
          <w:lang w:val="bs-Latn-BA"/>
        </w:rPr>
        <w:t>Za procjenu zdravstvenog stanja mladih (dobi 10</w:t>
      </w:r>
      <w:r w:rsidRPr="00155F80">
        <w:rPr>
          <w:rFonts w:ascii="Cambria Math" w:hAnsi="Cambria Math" w:cs="Cambria Math"/>
          <w:noProof/>
          <w:lang w:val="bs-Latn-BA"/>
        </w:rPr>
        <w:t>‐</w:t>
      </w:r>
      <w:r w:rsidRPr="00155F80">
        <w:rPr>
          <w:rFonts w:ascii="Times New Roman" w:hAnsi="Times New Roman"/>
          <w:noProof/>
          <w:lang w:val="bs-Latn-BA"/>
        </w:rPr>
        <w:t>26 godina) važni su i pokazatelji ponašanja, način života, pristup servisima za mlade, itd.</w:t>
      </w:r>
    </w:p>
    <w:p w:rsidR="001628EA" w:rsidRPr="00155F80" w:rsidRDefault="001628EA" w:rsidP="001628EA">
      <w:pPr>
        <w:tabs>
          <w:tab w:val="left" w:pos="550"/>
        </w:tabs>
        <w:spacing w:before="120" w:line="276" w:lineRule="auto"/>
        <w:rPr>
          <w:rFonts w:ascii="Times New Roman" w:hAnsi="Times New Roman"/>
          <w:noProof/>
          <w:lang w:val="bs-Latn-BA"/>
        </w:rPr>
      </w:pPr>
      <w:r w:rsidRPr="00155F80">
        <w:rPr>
          <w:rFonts w:ascii="Times New Roman" w:hAnsi="Times New Roman"/>
          <w:noProof/>
          <w:lang w:val="bs-Latn-BA"/>
        </w:rPr>
        <w:t>Prema poda</w:t>
      </w:r>
      <w:r w:rsidR="0046000D">
        <w:rPr>
          <w:rFonts w:ascii="Times New Roman" w:hAnsi="Times New Roman"/>
          <w:noProof/>
          <w:lang w:val="bs-Latn-BA"/>
        </w:rPr>
        <w:t>t</w:t>
      </w:r>
      <w:r w:rsidRPr="00155F80">
        <w:rPr>
          <w:rFonts w:ascii="Times New Roman" w:hAnsi="Times New Roman"/>
          <w:noProof/>
          <w:lang w:val="bs-Latn-BA"/>
        </w:rPr>
        <w:t>cima MICS4 istraživanja, konzumiranje duhana i duhanskih proizvoda je učestalije među  mladim muškarcima nego ženama. Alkohol su najviše konzumirali mladi dobi od 25 do 29 godina (55,7%), a među ženama od 20 do 24 godine (20,8%).</w:t>
      </w:r>
    </w:p>
    <w:p w:rsidR="001628EA" w:rsidRPr="00155F80" w:rsidRDefault="001628EA" w:rsidP="001628EA">
      <w:pPr>
        <w:tabs>
          <w:tab w:val="left" w:pos="550"/>
        </w:tabs>
        <w:spacing w:before="120" w:line="276" w:lineRule="auto"/>
        <w:rPr>
          <w:rFonts w:ascii="Times New Roman" w:hAnsi="Times New Roman"/>
          <w:noProof/>
          <w:lang w:val="bs-Latn-BA"/>
        </w:rPr>
      </w:pPr>
      <w:r w:rsidRPr="00155F80">
        <w:rPr>
          <w:rFonts w:ascii="Times New Roman" w:hAnsi="Times New Roman"/>
          <w:noProof/>
          <w:lang w:val="bs-Latn-BA"/>
        </w:rPr>
        <w:t>Prema MICS4 istraživanju, skoro četvrtina mladih ljudi, tj. 72,8% žena i 74% muškaraca u dobi od 15</w:t>
      </w:r>
      <w:r w:rsidRPr="00155F80">
        <w:rPr>
          <w:rFonts w:ascii="Cambria Math" w:hAnsi="Cambria Math" w:cs="Cambria Math"/>
          <w:noProof/>
          <w:lang w:val="bs-Latn-BA"/>
        </w:rPr>
        <w:t>‐</w:t>
      </w:r>
      <w:r w:rsidRPr="00155F80">
        <w:rPr>
          <w:rFonts w:ascii="Times New Roman" w:hAnsi="Times New Roman"/>
          <w:noProof/>
          <w:lang w:val="bs-Latn-BA"/>
        </w:rPr>
        <w:t>24 godine t</w:t>
      </w:r>
      <w:r w:rsidR="0046000D">
        <w:rPr>
          <w:rFonts w:ascii="Times New Roman" w:hAnsi="Times New Roman"/>
          <w:noProof/>
          <w:lang w:val="bs-Latn-BA"/>
        </w:rPr>
        <w:t>ije</w:t>
      </w:r>
      <w:r w:rsidRPr="00155F80">
        <w:rPr>
          <w:rFonts w:ascii="Times New Roman" w:hAnsi="Times New Roman"/>
          <w:noProof/>
          <w:lang w:val="bs-Latn-BA"/>
        </w:rPr>
        <w:t xml:space="preserve">kom posljednjeg spolnog odnosa koristilo je kondom. Ovo je važan pokazatelj za praćenje podizanja </w:t>
      </w:r>
      <w:r w:rsidR="0046000D">
        <w:rPr>
          <w:rFonts w:ascii="Times New Roman" w:hAnsi="Times New Roman"/>
          <w:noProof/>
          <w:lang w:val="bs-Latn-BA"/>
        </w:rPr>
        <w:t>razine</w:t>
      </w:r>
      <w:r w:rsidRPr="00155F80">
        <w:rPr>
          <w:rFonts w:ascii="Times New Roman" w:hAnsi="Times New Roman"/>
          <w:noProof/>
          <w:lang w:val="bs-Latn-BA"/>
        </w:rPr>
        <w:t xml:space="preserve"> svijesti mladih o sigurnijem seksu s</w:t>
      </w:r>
      <w:r w:rsidR="0046000D">
        <w:rPr>
          <w:rFonts w:ascii="Times New Roman" w:hAnsi="Times New Roman"/>
          <w:noProof/>
          <w:lang w:val="bs-Latn-BA"/>
        </w:rPr>
        <w:t>u</w:t>
      </w:r>
      <w:r w:rsidRPr="00155F80">
        <w:rPr>
          <w:rFonts w:ascii="Times New Roman" w:hAnsi="Times New Roman"/>
          <w:noProof/>
          <w:lang w:val="bs-Latn-BA"/>
        </w:rPr>
        <w:t>klad</w:t>
      </w:r>
      <w:r w:rsidR="0046000D">
        <w:rPr>
          <w:rFonts w:ascii="Times New Roman" w:hAnsi="Times New Roman"/>
          <w:noProof/>
          <w:lang w:val="bs-Latn-BA"/>
        </w:rPr>
        <w:t>no</w:t>
      </w:r>
      <w:r w:rsidRPr="00155F80">
        <w:rPr>
          <w:rFonts w:ascii="Times New Roman" w:hAnsi="Times New Roman"/>
          <w:noProof/>
          <w:lang w:val="bs-Latn-BA"/>
        </w:rPr>
        <w:t xml:space="preserve"> Strategij</w:t>
      </w:r>
      <w:r w:rsidR="0046000D">
        <w:rPr>
          <w:rFonts w:ascii="Times New Roman" w:hAnsi="Times New Roman"/>
          <w:noProof/>
          <w:lang w:val="bs-Latn-BA"/>
        </w:rPr>
        <w:t>i</w:t>
      </w:r>
      <w:r w:rsidRPr="00155F80">
        <w:rPr>
          <w:rFonts w:ascii="Times New Roman" w:hAnsi="Times New Roman"/>
          <w:noProof/>
          <w:lang w:val="bs-Latn-BA"/>
        </w:rPr>
        <w:t xml:space="preserve"> za promociju seksualnog i reproduktivnog zdravlja i prava u Federaciji BiH.</w:t>
      </w:r>
    </w:p>
    <w:p w:rsidR="001628EA" w:rsidRDefault="001628EA" w:rsidP="00B560D0">
      <w:pPr>
        <w:tabs>
          <w:tab w:val="left" w:pos="550"/>
        </w:tabs>
        <w:spacing w:before="120" w:line="276" w:lineRule="auto"/>
        <w:rPr>
          <w:rFonts w:ascii="Times New Roman" w:hAnsi="Times New Roman"/>
          <w:b/>
          <w:lang w:val="bs-Latn-BA"/>
        </w:rPr>
      </w:pPr>
      <w:r w:rsidRPr="00155F80">
        <w:rPr>
          <w:rFonts w:ascii="Times New Roman" w:hAnsi="Times New Roman"/>
          <w:noProof/>
          <w:lang w:val="bs-Latn-BA"/>
        </w:rPr>
        <w:t>U prijateljskim centrima za mlade širom Federacije BiH, mladima 14</w:t>
      </w:r>
      <w:r w:rsidRPr="00155F80">
        <w:rPr>
          <w:rFonts w:ascii="Cambria Math" w:hAnsi="Cambria Math" w:cs="Cambria Math"/>
          <w:noProof/>
          <w:lang w:val="bs-Latn-BA"/>
        </w:rPr>
        <w:t>‐</w:t>
      </w:r>
      <w:r w:rsidRPr="00155F80">
        <w:rPr>
          <w:rFonts w:ascii="Times New Roman" w:hAnsi="Times New Roman"/>
          <w:noProof/>
          <w:lang w:val="bs-Latn-BA"/>
        </w:rPr>
        <w:t>25 godina pružaju se usluge informi</w:t>
      </w:r>
      <w:r w:rsidR="0046000D">
        <w:rPr>
          <w:rFonts w:ascii="Times New Roman" w:hAnsi="Times New Roman"/>
          <w:noProof/>
          <w:lang w:val="bs-Latn-BA"/>
        </w:rPr>
        <w:t>r</w:t>
      </w:r>
      <w:r w:rsidRPr="00155F80">
        <w:rPr>
          <w:rFonts w:ascii="Times New Roman" w:hAnsi="Times New Roman"/>
          <w:noProof/>
          <w:lang w:val="bs-Latn-BA"/>
        </w:rPr>
        <w:t>anja, edukacije, psihološkog savjetovanja i ginekoloških pregleda s ciljem očuvanja i unapređenja zdravlja.</w:t>
      </w:r>
    </w:p>
    <w:p w:rsidR="00A131AD" w:rsidRPr="00155F80" w:rsidRDefault="00A131AD" w:rsidP="000C0138">
      <w:pPr>
        <w:keepNext/>
        <w:keepLines/>
        <w:spacing w:before="120" w:line="276" w:lineRule="auto"/>
        <w:outlineLvl w:val="4"/>
        <w:rPr>
          <w:rFonts w:ascii="Times New Roman" w:hAnsi="Times New Roman"/>
          <w:b/>
          <w:lang w:val="bs-Latn-BA"/>
        </w:rPr>
      </w:pPr>
      <w:r w:rsidRPr="00155F80">
        <w:rPr>
          <w:rFonts w:ascii="Times New Roman" w:hAnsi="Times New Roman"/>
          <w:b/>
          <w:lang w:val="bs-Latn-BA"/>
        </w:rPr>
        <w:t>Pismenost među mladima (15-24 godine)</w:t>
      </w:r>
    </w:p>
    <w:p w:rsidR="00A131AD" w:rsidRPr="00155F80" w:rsidRDefault="00A131AD" w:rsidP="000C0138">
      <w:pPr>
        <w:tabs>
          <w:tab w:val="left" w:pos="550"/>
        </w:tabs>
        <w:spacing w:before="120" w:line="276" w:lineRule="auto"/>
        <w:rPr>
          <w:rFonts w:ascii="Times New Roman" w:hAnsi="Times New Roman"/>
          <w:noProof/>
          <w:lang w:val="bs-Latn-BA"/>
        </w:rPr>
      </w:pPr>
      <w:r w:rsidRPr="00155F80">
        <w:rPr>
          <w:rFonts w:ascii="Times New Roman" w:hAnsi="Times New Roman"/>
          <w:noProof/>
          <w:lang w:val="bs-Latn-BA"/>
        </w:rPr>
        <w:t>Opismenjavanje je jedan od ciljeva „Svijeta po mjeri djeteta“ i indikator Milenijumskih razvojnih ciljeva. U nedostatku podataka o pismenosti iz popisa stanovništva, pismenost je procjenjena kroz Istraživanje višestrukih pokazatelja u Federaciji BiH 2011.-2012. godine (MICS</w:t>
      </w:r>
      <w:r w:rsidR="00AA0D77" w:rsidRPr="00155F80">
        <w:rPr>
          <w:rFonts w:ascii="Times New Roman" w:hAnsi="Times New Roman"/>
          <w:noProof/>
          <w:lang w:val="bs-Latn-BA"/>
        </w:rPr>
        <w:t>4</w:t>
      </w:r>
      <w:r w:rsidR="00E10857">
        <w:rPr>
          <w:rFonts w:ascii="Times New Roman" w:hAnsi="Times New Roman"/>
          <w:noProof/>
          <w:lang w:val="bs-Latn-BA"/>
        </w:rPr>
        <w:t xml:space="preserve">)  na </w:t>
      </w:r>
      <w:r w:rsidR="0046000D">
        <w:rPr>
          <w:rFonts w:ascii="Times New Roman" w:hAnsi="Times New Roman"/>
          <w:noProof/>
          <w:lang w:val="bs-Latn-BA"/>
        </w:rPr>
        <w:t>temelju</w:t>
      </w:r>
      <w:r w:rsidR="00E10857">
        <w:rPr>
          <w:rFonts w:ascii="Times New Roman" w:hAnsi="Times New Roman"/>
          <w:noProof/>
          <w:lang w:val="bs-Latn-BA"/>
        </w:rPr>
        <w:t xml:space="preserve"> </w:t>
      </w:r>
      <w:r w:rsidR="00E10857" w:rsidRPr="00155F80">
        <w:rPr>
          <w:rFonts w:ascii="Times New Roman" w:hAnsi="Times New Roman"/>
          <w:noProof/>
          <w:lang w:val="bs-Latn-BA"/>
        </w:rPr>
        <w:t xml:space="preserve"> pohađanja škole</w:t>
      </w:r>
      <w:r w:rsidR="00E10857">
        <w:rPr>
          <w:rFonts w:ascii="Times New Roman" w:hAnsi="Times New Roman"/>
          <w:noProof/>
          <w:lang w:val="bs-Latn-BA"/>
        </w:rPr>
        <w:t xml:space="preserve"> i</w:t>
      </w:r>
      <w:r w:rsidR="00E10857" w:rsidRPr="00155F80">
        <w:rPr>
          <w:rFonts w:ascii="Times New Roman" w:hAnsi="Times New Roman"/>
          <w:noProof/>
          <w:lang w:val="bs-Latn-BA"/>
        </w:rPr>
        <w:t xml:space="preserve"> </w:t>
      </w:r>
      <w:r w:rsidRPr="00155F80">
        <w:rPr>
          <w:rFonts w:ascii="Times New Roman" w:hAnsi="Times New Roman"/>
          <w:noProof/>
          <w:lang w:val="bs-Latn-BA"/>
        </w:rPr>
        <w:t>mogućnosti ispitanika da pr</w:t>
      </w:r>
      <w:r w:rsidR="00E10857">
        <w:rPr>
          <w:rFonts w:ascii="Times New Roman" w:hAnsi="Times New Roman"/>
          <w:noProof/>
          <w:lang w:val="bs-Latn-BA"/>
        </w:rPr>
        <w:t>očitaju jednostavnu rečenicu. Rezultati su pokazali da je u</w:t>
      </w:r>
      <w:r w:rsidRPr="00155F80">
        <w:rPr>
          <w:rFonts w:ascii="Times New Roman" w:hAnsi="Times New Roman"/>
          <w:noProof/>
          <w:lang w:val="bs-Latn-BA"/>
        </w:rPr>
        <w:t xml:space="preserve"> Federaciji BiH pismeno 99,2% mladih žena i 100% mladih muškaraca.</w:t>
      </w:r>
    </w:p>
    <w:p w:rsidR="00A131AD" w:rsidRPr="00155F80" w:rsidRDefault="00A131AD" w:rsidP="000C0138">
      <w:pPr>
        <w:keepNext/>
        <w:keepLines/>
        <w:spacing w:before="120" w:line="276" w:lineRule="auto"/>
        <w:outlineLvl w:val="4"/>
        <w:rPr>
          <w:rFonts w:ascii="Times New Roman" w:hAnsi="Times New Roman"/>
          <w:b/>
          <w:lang w:val="bs-Latn-BA"/>
        </w:rPr>
      </w:pPr>
      <w:r w:rsidRPr="00155F80">
        <w:rPr>
          <w:rFonts w:ascii="Times New Roman" w:hAnsi="Times New Roman"/>
          <w:b/>
          <w:lang w:val="bs-Latn-BA"/>
        </w:rPr>
        <w:t>Spremnost za školu</w:t>
      </w:r>
    </w:p>
    <w:p w:rsidR="00A131AD" w:rsidRPr="00155F80" w:rsidRDefault="00A131AD" w:rsidP="000C0138">
      <w:pPr>
        <w:tabs>
          <w:tab w:val="left" w:pos="550"/>
        </w:tabs>
        <w:spacing w:before="120" w:line="276" w:lineRule="auto"/>
        <w:rPr>
          <w:rFonts w:ascii="Times New Roman" w:hAnsi="Times New Roman"/>
          <w:noProof/>
          <w:lang w:val="bs-Latn-BA"/>
        </w:rPr>
      </w:pPr>
      <w:r w:rsidRPr="00155F80">
        <w:rPr>
          <w:rFonts w:ascii="Times New Roman" w:hAnsi="Times New Roman"/>
          <w:noProof/>
          <w:lang w:val="bs-Latn-BA"/>
        </w:rPr>
        <w:t>Pohađanje predškolskog obrazovanja u okviru organiziranog obrazovnog programa važno je za spremnost djece za školu. Prema rezultatima MICS4 istraživanja, 18,4% djece koja pohađaju prvi razred osnovne škole su pohađala predškolsku ustanovu u prethodnoj godini. Taj p</w:t>
      </w:r>
      <w:r w:rsidR="0046000D">
        <w:rPr>
          <w:rFonts w:ascii="Times New Roman" w:hAnsi="Times New Roman"/>
          <w:noProof/>
          <w:lang w:val="bs-Latn-BA"/>
        </w:rPr>
        <w:t>rocenat</w:t>
      </w:r>
      <w:r w:rsidRPr="00155F80">
        <w:rPr>
          <w:rFonts w:ascii="Times New Roman" w:hAnsi="Times New Roman"/>
          <w:noProof/>
          <w:lang w:val="bs-Latn-BA"/>
        </w:rPr>
        <w:t xml:space="preserve"> je znatno veći među ženskom (27,3%) nego muškom djecom (11,6%), </w:t>
      </w:r>
      <w:r w:rsidR="00E10857">
        <w:rPr>
          <w:rFonts w:ascii="Times New Roman" w:hAnsi="Times New Roman"/>
          <w:noProof/>
          <w:lang w:val="bs-Latn-BA"/>
        </w:rPr>
        <w:t xml:space="preserve">te je veći </w:t>
      </w:r>
      <w:r w:rsidR="00E10857" w:rsidRPr="00155F80">
        <w:rPr>
          <w:rFonts w:ascii="Times New Roman" w:hAnsi="Times New Roman"/>
          <w:noProof/>
          <w:lang w:val="bs-Latn-BA"/>
        </w:rPr>
        <w:t xml:space="preserve">u urbanim sredinama </w:t>
      </w:r>
      <w:r w:rsidR="00E10857">
        <w:rPr>
          <w:rFonts w:ascii="Times New Roman" w:hAnsi="Times New Roman"/>
          <w:noProof/>
          <w:lang w:val="bs-Latn-BA"/>
        </w:rPr>
        <w:t>(</w:t>
      </w:r>
      <w:r w:rsidRPr="00155F80">
        <w:rPr>
          <w:rFonts w:ascii="Times New Roman" w:hAnsi="Times New Roman"/>
          <w:noProof/>
          <w:lang w:val="bs-Latn-BA"/>
        </w:rPr>
        <w:t>35,4%</w:t>
      </w:r>
      <w:r w:rsidR="00E10857">
        <w:rPr>
          <w:rFonts w:ascii="Times New Roman" w:hAnsi="Times New Roman"/>
          <w:noProof/>
          <w:lang w:val="bs-Latn-BA"/>
        </w:rPr>
        <w:t>) negu u ruralnim sredinama (12,6%)</w:t>
      </w:r>
      <w:r w:rsidRPr="00155F80">
        <w:rPr>
          <w:rFonts w:ascii="Times New Roman" w:hAnsi="Times New Roman"/>
          <w:noProof/>
          <w:lang w:val="bs-Latn-BA"/>
        </w:rPr>
        <w:t>.</w:t>
      </w:r>
    </w:p>
    <w:p w:rsidR="00A131AD" w:rsidRPr="00155F80" w:rsidRDefault="00A131AD" w:rsidP="000C0138">
      <w:pPr>
        <w:tabs>
          <w:tab w:val="left" w:pos="550"/>
        </w:tabs>
        <w:spacing w:before="120" w:line="276" w:lineRule="auto"/>
        <w:rPr>
          <w:rFonts w:ascii="Times New Roman" w:hAnsi="Times New Roman"/>
          <w:noProof/>
          <w:lang w:val="bs-Latn-BA"/>
        </w:rPr>
      </w:pPr>
      <w:r w:rsidRPr="00155F80">
        <w:rPr>
          <w:rFonts w:ascii="Times New Roman" w:hAnsi="Times New Roman"/>
          <w:noProof/>
          <w:lang w:val="bs-Latn-BA"/>
        </w:rPr>
        <w:t xml:space="preserve">Većina djece osnovnoškolskog uzrasta pohađa školu (97,2%), više muške (97,4%) nego ženske djece (96,9%). </w:t>
      </w:r>
    </w:p>
    <w:p w:rsidR="00A131AD" w:rsidRPr="00155F80" w:rsidRDefault="00A131AD" w:rsidP="000C0138">
      <w:pPr>
        <w:tabs>
          <w:tab w:val="left" w:pos="550"/>
        </w:tabs>
        <w:spacing w:before="120" w:line="276" w:lineRule="auto"/>
        <w:rPr>
          <w:rFonts w:ascii="Times New Roman" w:hAnsi="Times New Roman"/>
          <w:noProof/>
          <w:lang w:val="bs-Latn-BA"/>
        </w:rPr>
      </w:pPr>
      <w:r w:rsidRPr="00155F80">
        <w:rPr>
          <w:rFonts w:ascii="Times New Roman" w:hAnsi="Times New Roman"/>
          <w:noProof/>
          <w:lang w:val="bs-Latn-BA"/>
        </w:rPr>
        <w:t>Osnovnu školu uopće ne pohađa 2,8% djece ovoga uzrasta, dok 8% djece srednjoškolskog uzrasta ne pohađaju srednju školu. Među djecom koja pohađaju srednju školu više je ženske (93,3%), nego muške djece (90,4%).</w:t>
      </w:r>
    </w:p>
    <w:p w:rsidR="00A131AD" w:rsidRPr="00155F80" w:rsidRDefault="00A131AD" w:rsidP="000C0138">
      <w:pPr>
        <w:tabs>
          <w:tab w:val="left" w:pos="550"/>
        </w:tabs>
        <w:spacing w:before="120" w:line="276" w:lineRule="auto"/>
        <w:rPr>
          <w:rFonts w:ascii="Times New Roman" w:hAnsi="Times New Roman"/>
          <w:noProof/>
          <w:lang w:val="bs-Latn-BA"/>
        </w:rPr>
      </w:pPr>
      <w:r w:rsidRPr="00155F80">
        <w:rPr>
          <w:rFonts w:ascii="Times New Roman" w:hAnsi="Times New Roman"/>
          <w:noProof/>
          <w:lang w:val="bs-Latn-BA"/>
        </w:rPr>
        <w:t>Osnovnu školu u Federaciji BiH završava 91,7% djece. Srednju školu završava 89,3% muške i 89,6% ženske djece.</w:t>
      </w:r>
    </w:p>
    <w:p w:rsidR="00A726E5" w:rsidRPr="00155F80" w:rsidRDefault="00A726E5" w:rsidP="000C0138">
      <w:pPr>
        <w:tabs>
          <w:tab w:val="left" w:pos="550"/>
        </w:tabs>
        <w:spacing w:before="120" w:line="276" w:lineRule="auto"/>
        <w:rPr>
          <w:rFonts w:ascii="Times New Roman" w:hAnsi="Times New Roman"/>
          <w:noProof/>
          <w:lang w:val="bs-Latn-BA"/>
        </w:rPr>
      </w:pPr>
    </w:p>
    <w:p w:rsidR="001628EA" w:rsidRPr="006256C9" w:rsidRDefault="00A06016" w:rsidP="003E3695">
      <w:pPr>
        <w:pStyle w:val="Poglavlje3"/>
      </w:pPr>
      <w:bookmarkStart w:id="288" w:name="_Toc424298831"/>
      <w:bookmarkStart w:id="289" w:name="_Toc456095918"/>
      <w:r>
        <w:lastRenderedPageBreak/>
        <w:t>3.2.5.2</w:t>
      </w:r>
      <w:r w:rsidR="00F81BD5">
        <w:t xml:space="preserve"> </w:t>
      </w:r>
      <w:r w:rsidR="00A131AD" w:rsidRPr="00155F80">
        <w:t>Odrasli (19-64 godine)</w:t>
      </w:r>
      <w:bookmarkEnd w:id="288"/>
      <w:bookmarkEnd w:id="289"/>
    </w:p>
    <w:p w:rsidR="001628EA" w:rsidRDefault="00A131AD" w:rsidP="00BB3160">
      <w:pPr>
        <w:spacing w:after="160" w:line="276" w:lineRule="auto"/>
        <w:rPr>
          <w:rFonts w:ascii="Times New Roman" w:hAnsi="Times New Roman"/>
          <w:noProof/>
          <w:lang w:val="bs-Latn-BA"/>
        </w:rPr>
      </w:pPr>
      <w:r w:rsidRPr="00155F80">
        <w:rPr>
          <w:rFonts w:ascii="Times New Roman" w:hAnsi="Times New Roman"/>
          <w:noProof/>
          <w:lang w:val="bs-Latn-BA"/>
        </w:rPr>
        <w:t>U 2015. godini ova populaci</w:t>
      </w:r>
      <w:r w:rsidR="0046000D">
        <w:rPr>
          <w:rFonts w:ascii="Times New Roman" w:hAnsi="Times New Roman"/>
          <w:noProof/>
          <w:lang w:val="bs-Latn-BA"/>
        </w:rPr>
        <w:t>jska</w:t>
      </w:r>
      <w:r w:rsidRPr="00155F80">
        <w:rPr>
          <w:rFonts w:ascii="Times New Roman" w:hAnsi="Times New Roman"/>
          <w:noProof/>
          <w:lang w:val="bs-Latn-BA"/>
        </w:rPr>
        <w:t xml:space="preserve"> grupa je imala u</w:t>
      </w:r>
      <w:r w:rsidR="0046000D">
        <w:rPr>
          <w:rFonts w:ascii="Times New Roman" w:hAnsi="Times New Roman"/>
          <w:noProof/>
          <w:lang w:val="bs-Latn-BA"/>
        </w:rPr>
        <w:t>dio</w:t>
      </w:r>
      <w:r w:rsidRPr="00155F80">
        <w:rPr>
          <w:rFonts w:ascii="Times New Roman" w:hAnsi="Times New Roman"/>
          <w:noProof/>
          <w:lang w:val="bs-Latn-BA"/>
        </w:rPr>
        <w:t xml:space="preserve"> od 46% u ukupno registr</w:t>
      </w:r>
      <w:r w:rsidR="0046000D">
        <w:rPr>
          <w:rFonts w:ascii="Times New Roman" w:hAnsi="Times New Roman"/>
          <w:noProof/>
          <w:lang w:val="bs-Latn-BA"/>
        </w:rPr>
        <w:t xml:space="preserve">iranim </w:t>
      </w:r>
      <w:r w:rsidRPr="00155F80">
        <w:rPr>
          <w:rFonts w:ascii="Times New Roman" w:hAnsi="Times New Roman"/>
          <w:noProof/>
          <w:lang w:val="bs-Latn-BA"/>
        </w:rPr>
        <w:t>oboljenjima i stanjima, a stopa obolijevanja ima trend porasta u p</w:t>
      </w:r>
      <w:r w:rsidR="0046000D">
        <w:rPr>
          <w:rFonts w:ascii="Times New Roman" w:hAnsi="Times New Roman"/>
          <w:noProof/>
          <w:lang w:val="bs-Latn-BA"/>
        </w:rPr>
        <w:t>r</w:t>
      </w:r>
      <w:r w:rsidRPr="00155F80">
        <w:rPr>
          <w:rFonts w:ascii="Times New Roman" w:hAnsi="Times New Roman"/>
          <w:noProof/>
          <w:lang w:val="bs-Latn-BA"/>
        </w:rPr>
        <w:t xml:space="preserve">omatranom </w:t>
      </w:r>
      <w:r w:rsidR="0046000D">
        <w:rPr>
          <w:rFonts w:ascii="Times New Roman" w:hAnsi="Times New Roman"/>
          <w:noProof/>
          <w:lang w:val="bs-Latn-BA"/>
        </w:rPr>
        <w:t>razdoblju</w:t>
      </w:r>
      <w:r w:rsidRPr="00155F80">
        <w:rPr>
          <w:rFonts w:ascii="Times New Roman" w:hAnsi="Times New Roman"/>
          <w:noProof/>
          <w:lang w:val="bs-Latn-BA"/>
        </w:rPr>
        <w:t xml:space="preserve">. Vodeća oboljenja u ovoj populacijskoj grupi su hipertenzivna oboljenja (I10-I15) koja bilježe kontinuirani rast stope obolijevanja, </w:t>
      </w:r>
      <w:r w:rsidR="00BB3160">
        <w:rPr>
          <w:rFonts w:ascii="Times New Roman" w:hAnsi="Times New Roman"/>
          <w:noProof/>
          <w:lang w:val="bs-Latn-BA"/>
        </w:rPr>
        <w:t xml:space="preserve">slijede </w:t>
      </w:r>
      <w:r w:rsidRPr="00155F80">
        <w:rPr>
          <w:rFonts w:ascii="Times New Roman" w:hAnsi="Times New Roman"/>
          <w:noProof/>
          <w:lang w:val="bs-Latn-BA"/>
        </w:rPr>
        <w:t xml:space="preserve">akutne infekcije gornjih </w:t>
      </w:r>
      <w:r w:rsidR="00BB3160">
        <w:rPr>
          <w:rFonts w:ascii="Times New Roman" w:hAnsi="Times New Roman"/>
          <w:noProof/>
          <w:lang w:val="bs-Latn-BA"/>
        </w:rPr>
        <w:t>respiratornih</w:t>
      </w:r>
      <w:r w:rsidRPr="00155F80">
        <w:rPr>
          <w:rFonts w:ascii="Times New Roman" w:hAnsi="Times New Roman"/>
          <w:noProof/>
          <w:lang w:val="bs-Latn-BA"/>
        </w:rPr>
        <w:t xml:space="preserve"> puteva (J00-J06), </w:t>
      </w:r>
      <w:r w:rsidR="00BB3160">
        <w:rPr>
          <w:rFonts w:ascii="Times New Roman" w:hAnsi="Times New Roman"/>
          <w:noProof/>
          <w:lang w:val="bs-Latn-BA"/>
        </w:rPr>
        <w:t xml:space="preserve">treće su </w:t>
      </w:r>
      <w:r w:rsidR="00BB3160" w:rsidRPr="00155F80">
        <w:rPr>
          <w:rFonts w:ascii="Times New Roman" w:hAnsi="Times New Roman"/>
          <w:noProof/>
          <w:lang w:val="bs-Latn-BA"/>
        </w:rPr>
        <w:t>bolesti koštano-mišićnog sustava (M40-M49, M53-M54)</w:t>
      </w:r>
      <w:r w:rsidR="00BB3160">
        <w:rPr>
          <w:rFonts w:ascii="Times New Roman" w:hAnsi="Times New Roman"/>
          <w:noProof/>
          <w:lang w:val="bs-Latn-BA"/>
        </w:rPr>
        <w:t>,</w:t>
      </w:r>
      <w:r w:rsidR="00BB3160" w:rsidRPr="00155F80">
        <w:rPr>
          <w:rFonts w:ascii="Times New Roman" w:hAnsi="Times New Roman"/>
          <w:noProof/>
          <w:lang w:val="bs-Latn-BA"/>
        </w:rPr>
        <w:t xml:space="preserve"> </w:t>
      </w:r>
      <w:r w:rsidRPr="00155F80">
        <w:rPr>
          <w:rFonts w:ascii="Times New Roman" w:hAnsi="Times New Roman"/>
          <w:noProof/>
          <w:lang w:val="bs-Latn-BA"/>
        </w:rPr>
        <w:t xml:space="preserve">šećerna bolest (E10-E14), i cistitis (N30). </w:t>
      </w:r>
      <w:r w:rsidR="0046000D">
        <w:rPr>
          <w:rFonts w:ascii="Times New Roman" w:hAnsi="Times New Roman"/>
          <w:noProof/>
          <w:lang w:val="bs-Latn-BA"/>
        </w:rPr>
        <w:t>K</w:t>
      </w:r>
      <w:r w:rsidRPr="00155F80">
        <w:rPr>
          <w:rFonts w:ascii="Times New Roman" w:hAnsi="Times New Roman"/>
          <w:noProof/>
          <w:lang w:val="bs-Latn-BA"/>
        </w:rPr>
        <w:t>ronična oboljenja pokazuju trend rasta stope obolijevanja što je vezano za nezdrave životne navike stanovništva.</w:t>
      </w:r>
    </w:p>
    <w:p w:rsidR="00A131AD" w:rsidRPr="00155F80" w:rsidRDefault="00A131AD" w:rsidP="00EB7CC7">
      <w:pPr>
        <w:pStyle w:val="refererere"/>
        <w:rPr>
          <w:rFonts w:eastAsiaTheme="minorHAnsi"/>
          <w:lang w:val="bs-Latn-BA"/>
        </w:rPr>
      </w:pPr>
      <w:r w:rsidRPr="00BB3160">
        <w:rPr>
          <w:rFonts w:eastAsiaTheme="minorHAnsi"/>
          <w:lang w:val="bs-Latn-BA"/>
        </w:rPr>
        <w:t>Grafikon 53: Vodeća oboljenja stanovništva starosti 19-64 godine</w:t>
      </w:r>
      <w:r w:rsidRPr="00BB3160">
        <w:rPr>
          <w:iCs/>
          <w:noProof/>
          <w:lang w:val="bs-Latn-BA" w:eastAsia="bs-Latn-BA"/>
        </w:rPr>
        <w:t xml:space="preserve"> u Federaciji BiH</w:t>
      </w:r>
      <w:r w:rsidRPr="00BB3160">
        <w:rPr>
          <w:rFonts w:eastAsiaTheme="minorHAnsi"/>
          <w:lang w:val="bs-Latn-BA"/>
        </w:rPr>
        <w:t xml:space="preserve">, za </w:t>
      </w:r>
      <w:r w:rsidR="0046000D">
        <w:rPr>
          <w:rFonts w:eastAsiaTheme="minorHAnsi"/>
          <w:lang w:val="bs-Latn-BA"/>
        </w:rPr>
        <w:t>razdoblje</w:t>
      </w:r>
      <w:r w:rsidRPr="00BB3160">
        <w:rPr>
          <w:rFonts w:eastAsiaTheme="minorHAnsi"/>
          <w:lang w:val="bs-Latn-BA"/>
        </w:rPr>
        <w:t xml:space="preserve"> 2010.</w:t>
      </w:r>
      <w:r w:rsidRPr="00BB3160">
        <w:rPr>
          <w:rFonts w:ascii="Cambria Math" w:eastAsiaTheme="minorHAnsi" w:hAnsi="Cambria Math" w:cs="Cambria Math"/>
          <w:lang w:val="bs-Latn-BA"/>
        </w:rPr>
        <w:t>‐</w:t>
      </w:r>
      <w:r w:rsidRPr="00BB3160">
        <w:rPr>
          <w:rFonts w:eastAsiaTheme="minorHAnsi"/>
          <w:lang w:val="bs-Latn-BA"/>
        </w:rPr>
        <w:t>2015. godina, stopa na 10.000 stanovnika</w:t>
      </w:r>
    </w:p>
    <w:p w:rsidR="00A131AD" w:rsidRPr="00155F80" w:rsidRDefault="00E85560" w:rsidP="000C0138">
      <w:pPr>
        <w:spacing w:after="160" w:line="276" w:lineRule="auto"/>
        <w:rPr>
          <w:rFonts w:ascii="Times New Roman" w:eastAsiaTheme="minorHAnsi" w:hAnsi="Times New Roman"/>
          <w:b/>
          <w:lang w:val="bs-Latn-BA"/>
        </w:rPr>
      </w:pPr>
      <w:r>
        <w:rPr>
          <w:noProof/>
          <w:lang w:val="bs-Latn-BA" w:eastAsia="bs-Latn-BA"/>
        </w:rPr>
        <w:drawing>
          <wp:inline distT="0" distB="0" distL="0" distR="0" wp14:anchorId="50046E91" wp14:editId="551288F1">
            <wp:extent cx="5695950" cy="2095500"/>
            <wp:effectExtent l="0" t="0" r="0" b="0"/>
            <wp:docPr id="99" name="Chart 99"/>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A131AD" w:rsidRPr="00155F80" w:rsidRDefault="00A131AD" w:rsidP="000C0138">
      <w:pPr>
        <w:spacing w:after="160" w:line="276" w:lineRule="auto"/>
        <w:rPr>
          <w:rFonts w:ascii="Times New Roman" w:eastAsiaTheme="minorHAnsi" w:hAnsi="Times New Roman"/>
          <w:lang w:val="bs-Latn-BA"/>
        </w:rPr>
      </w:pPr>
      <w:r w:rsidRPr="00155F80">
        <w:rPr>
          <w:rFonts w:ascii="Times New Roman" w:eastAsiaTheme="minorHAnsi" w:hAnsi="Times New Roman"/>
          <w:lang w:val="bs-Latn-BA"/>
        </w:rPr>
        <w:t>Za ovu populaci</w:t>
      </w:r>
      <w:r w:rsidR="0046000D">
        <w:rPr>
          <w:rFonts w:ascii="Times New Roman" w:eastAsiaTheme="minorHAnsi" w:hAnsi="Times New Roman"/>
          <w:lang w:val="bs-Latn-BA"/>
        </w:rPr>
        <w:t>jsku</w:t>
      </w:r>
      <w:r w:rsidRPr="00155F80">
        <w:rPr>
          <w:rFonts w:ascii="Times New Roman" w:eastAsiaTheme="minorHAnsi" w:hAnsi="Times New Roman"/>
          <w:lang w:val="bs-Latn-BA"/>
        </w:rPr>
        <w:t xml:space="preserve"> grupu je važno  </w:t>
      </w:r>
      <w:r w:rsidR="001628EA">
        <w:rPr>
          <w:rFonts w:ascii="Times New Roman" w:eastAsiaTheme="minorHAnsi" w:hAnsi="Times New Roman"/>
          <w:lang w:val="bs-Latn-BA"/>
        </w:rPr>
        <w:t xml:space="preserve">pratiti </w:t>
      </w:r>
      <w:r w:rsidRPr="00155F80">
        <w:rPr>
          <w:rFonts w:ascii="Times New Roman" w:eastAsiaTheme="minorHAnsi" w:hAnsi="Times New Roman"/>
          <w:lang w:val="bs-Latn-BA"/>
        </w:rPr>
        <w:t xml:space="preserve">reproduktivno zdravlje oba spola, zdravlje </w:t>
      </w:r>
      <w:r w:rsidR="00A631F9">
        <w:rPr>
          <w:rFonts w:ascii="Times New Roman" w:eastAsiaTheme="minorHAnsi" w:hAnsi="Times New Roman"/>
          <w:lang w:val="bs-Latn-BA"/>
        </w:rPr>
        <w:t>u</w:t>
      </w:r>
      <w:r w:rsidRPr="00155F80">
        <w:rPr>
          <w:rFonts w:ascii="Times New Roman" w:eastAsiaTheme="minorHAnsi" w:hAnsi="Times New Roman"/>
          <w:lang w:val="bs-Latn-BA"/>
        </w:rPr>
        <w:t xml:space="preserve">poslenih, kao i zdravlje osoba profesionalno </w:t>
      </w:r>
      <w:r w:rsidR="00A631F9">
        <w:rPr>
          <w:rFonts w:ascii="Times New Roman" w:eastAsiaTheme="minorHAnsi" w:hAnsi="Times New Roman"/>
          <w:lang w:val="bs-Latn-BA"/>
        </w:rPr>
        <w:t>u</w:t>
      </w:r>
      <w:r w:rsidRPr="00155F80">
        <w:rPr>
          <w:rFonts w:ascii="Times New Roman" w:eastAsiaTheme="minorHAnsi" w:hAnsi="Times New Roman"/>
          <w:lang w:val="bs-Latn-BA"/>
        </w:rPr>
        <w:t xml:space="preserve">poslenih na radnim mjestima gdje su izloženi </w:t>
      </w:r>
      <w:r w:rsidR="00A631F9">
        <w:rPr>
          <w:rFonts w:ascii="Times New Roman" w:eastAsiaTheme="minorHAnsi" w:hAnsi="Times New Roman"/>
          <w:lang w:val="bs-Latn-BA"/>
        </w:rPr>
        <w:t>i</w:t>
      </w:r>
      <w:r w:rsidRPr="00155F80">
        <w:rPr>
          <w:rFonts w:ascii="Times New Roman" w:eastAsiaTheme="minorHAnsi" w:hAnsi="Times New Roman"/>
          <w:lang w:val="bs-Latn-BA"/>
        </w:rPr>
        <w:t>onizirajućem zračenju.</w:t>
      </w:r>
    </w:p>
    <w:p w:rsidR="00874E9B" w:rsidRDefault="00874E9B">
      <w:pPr>
        <w:spacing w:after="160" w:line="259" w:lineRule="auto"/>
        <w:jc w:val="left"/>
        <w:rPr>
          <w:rFonts w:ascii="Times New Roman" w:eastAsiaTheme="majorEastAsia" w:hAnsi="Times New Roman"/>
          <w:b/>
          <w:iCs/>
          <w:lang w:val="bs-Latn-BA"/>
        </w:rPr>
      </w:pPr>
      <w:r>
        <w:rPr>
          <w:rFonts w:ascii="Times New Roman" w:eastAsiaTheme="majorEastAsia" w:hAnsi="Times New Roman"/>
          <w:b/>
          <w:iCs/>
          <w:lang w:val="bs-Latn-BA"/>
        </w:rPr>
        <w:br w:type="page"/>
      </w:r>
    </w:p>
    <w:p w:rsidR="00EB7CC7" w:rsidRDefault="00A131AD" w:rsidP="00B560D0">
      <w:pPr>
        <w:keepNext/>
        <w:keepLines/>
        <w:spacing w:line="276" w:lineRule="auto"/>
        <w:jc w:val="left"/>
        <w:outlineLvl w:val="3"/>
        <w:rPr>
          <w:rFonts w:ascii="Times New Roman" w:eastAsiaTheme="majorEastAsia" w:hAnsi="Times New Roman"/>
          <w:b/>
          <w:iCs/>
          <w:lang w:val="bs-Latn-BA"/>
        </w:rPr>
      </w:pPr>
      <w:r w:rsidRPr="00155F80">
        <w:rPr>
          <w:rFonts w:ascii="Times New Roman" w:eastAsiaTheme="majorEastAsia" w:hAnsi="Times New Roman"/>
          <w:b/>
          <w:iCs/>
          <w:lang w:val="bs-Latn-BA"/>
        </w:rPr>
        <w:lastRenderedPageBreak/>
        <w:t xml:space="preserve">Zdravlje osoba profesionalno uposlenih na radnim mjestima na kojima su izložene </w:t>
      </w:r>
      <w:r w:rsidR="003605E2">
        <w:rPr>
          <w:rFonts w:ascii="Times New Roman" w:eastAsiaTheme="majorEastAsia" w:hAnsi="Times New Roman"/>
          <w:b/>
          <w:iCs/>
          <w:lang w:val="bs-Latn-BA"/>
        </w:rPr>
        <w:t>i</w:t>
      </w:r>
      <w:r w:rsidRPr="00155F80">
        <w:rPr>
          <w:rFonts w:ascii="Times New Roman" w:eastAsiaTheme="majorEastAsia" w:hAnsi="Times New Roman"/>
          <w:b/>
          <w:iCs/>
          <w:lang w:val="bs-Latn-BA"/>
        </w:rPr>
        <w:t xml:space="preserve">onizirajućem zračenju </w:t>
      </w:r>
    </w:p>
    <w:p w:rsidR="00B560D0" w:rsidRPr="00155F80" w:rsidRDefault="00B560D0" w:rsidP="00B560D0">
      <w:pPr>
        <w:keepNext/>
        <w:keepLines/>
        <w:spacing w:line="276" w:lineRule="auto"/>
        <w:jc w:val="left"/>
        <w:outlineLvl w:val="3"/>
        <w:rPr>
          <w:rFonts w:ascii="Times New Roman" w:eastAsiaTheme="majorEastAsia" w:hAnsi="Times New Roman"/>
          <w:b/>
          <w:iCs/>
          <w:lang w:val="bs-Latn-BA"/>
        </w:rPr>
      </w:pPr>
    </w:p>
    <w:p w:rsidR="00A131AD" w:rsidRPr="00155F80" w:rsidRDefault="00A131AD" w:rsidP="000C0138">
      <w:pPr>
        <w:autoSpaceDE w:val="0"/>
        <w:autoSpaceDN w:val="0"/>
        <w:adjustRightInd w:val="0"/>
        <w:spacing w:line="276" w:lineRule="auto"/>
        <w:rPr>
          <w:rFonts w:ascii="Times New Roman" w:hAnsi="Times New Roman"/>
          <w:color w:val="000000"/>
          <w:lang w:val="en-US"/>
        </w:rPr>
      </w:pPr>
      <w:r w:rsidRPr="00155F80">
        <w:rPr>
          <w:rFonts w:ascii="Times New Roman" w:hAnsi="Times New Roman"/>
          <w:color w:val="000000"/>
          <w:lang w:val="en-US"/>
        </w:rPr>
        <w:t xml:space="preserve">Posljednjih godina, kako u svijetu tako i u FBiH, </w:t>
      </w:r>
      <w:r w:rsidR="003605E2">
        <w:rPr>
          <w:rFonts w:ascii="Times New Roman" w:hAnsi="Times New Roman"/>
          <w:color w:val="000000"/>
          <w:lang w:val="en-US"/>
        </w:rPr>
        <w:t>i</w:t>
      </w:r>
      <w:r w:rsidRPr="00155F80">
        <w:rPr>
          <w:rFonts w:ascii="Times New Roman" w:hAnsi="Times New Roman"/>
          <w:color w:val="000000"/>
          <w:lang w:val="en-US"/>
        </w:rPr>
        <w:t xml:space="preserve">onizirajuće zračenje primjenjuje se sve više u </w:t>
      </w:r>
      <w:r w:rsidR="003605E2">
        <w:rPr>
          <w:rFonts w:ascii="Times New Roman" w:hAnsi="Times New Roman"/>
          <w:color w:val="000000"/>
          <w:lang w:val="en-US"/>
        </w:rPr>
        <w:t>medicine radi</w:t>
      </w:r>
      <w:r w:rsidRPr="00155F80">
        <w:rPr>
          <w:rFonts w:ascii="Times New Roman" w:hAnsi="Times New Roman"/>
          <w:color w:val="000000"/>
          <w:lang w:val="en-US"/>
        </w:rPr>
        <w:t xml:space="preserve"> radioterapijskih i radiodijagnostičkih tretmana.</w:t>
      </w:r>
    </w:p>
    <w:p w:rsidR="00A131AD" w:rsidRPr="00155F80" w:rsidRDefault="00A131AD" w:rsidP="000C0138">
      <w:pPr>
        <w:autoSpaceDE w:val="0"/>
        <w:autoSpaceDN w:val="0"/>
        <w:adjustRightInd w:val="0"/>
        <w:spacing w:line="276" w:lineRule="auto"/>
        <w:rPr>
          <w:rFonts w:ascii="Times New Roman" w:hAnsi="Times New Roman"/>
          <w:color w:val="000000"/>
          <w:lang w:val="en-US"/>
        </w:rPr>
      </w:pPr>
    </w:p>
    <w:p w:rsidR="00A131AD" w:rsidRPr="00155F80" w:rsidRDefault="00A131AD" w:rsidP="000C0138">
      <w:pPr>
        <w:autoSpaceDE w:val="0"/>
        <w:autoSpaceDN w:val="0"/>
        <w:adjustRightInd w:val="0"/>
        <w:spacing w:line="276" w:lineRule="auto"/>
        <w:rPr>
          <w:rFonts w:ascii="Times New Roman" w:hAnsi="Times New Roman"/>
          <w:color w:val="000000"/>
          <w:lang w:val="en-US"/>
        </w:rPr>
      </w:pPr>
      <w:r w:rsidRPr="00155F80">
        <w:rPr>
          <w:rFonts w:ascii="Times New Roman" w:hAnsi="Times New Roman"/>
          <w:color w:val="000000"/>
          <w:lang w:val="en-US"/>
        </w:rPr>
        <w:t xml:space="preserve">Relevantne svjetske organizacije, na </w:t>
      </w:r>
      <w:r w:rsidR="003605E2">
        <w:rPr>
          <w:rFonts w:ascii="Times New Roman" w:hAnsi="Times New Roman"/>
          <w:color w:val="000000"/>
          <w:lang w:val="en-US"/>
        </w:rPr>
        <w:t>temelju</w:t>
      </w:r>
      <w:r w:rsidRPr="00155F80">
        <w:rPr>
          <w:rFonts w:ascii="Times New Roman" w:hAnsi="Times New Roman"/>
          <w:color w:val="000000"/>
          <w:lang w:val="en-US"/>
        </w:rPr>
        <w:t xml:space="preserve"> provedenih istrživanja, ustanovile su da je efektivna doza </w:t>
      </w:r>
      <w:r w:rsidR="001628EA">
        <w:rPr>
          <w:rFonts w:ascii="Times New Roman" w:hAnsi="Times New Roman"/>
          <w:color w:val="000000"/>
          <w:lang w:val="en-US"/>
        </w:rPr>
        <w:t xml:space="preserve">izloženosti stanovništva </w:t>
      </w:r>
      <w:r w:rsidR="003605E2">
        <w:rPr>
          <w:rFonts w:ascii="Times New Roman" w:hAnsi="Times New Roman"/>
          <w:color w:val="000000"/>
          <w:lang w:val="en-US"/>
        </w:rPr>
        <w:t>i</w:t>
      </w:r>
      <w:r w:rsidR="001628EA">
        <w:rPr>
          <w:rFonts w:ascii="Times New Roman" w:hAnsi="Times New Roman"/>
          <w:color w:val="000000"/>
          <w:lang w:val="en-US"/>
        </w:rPr>
        <w:t>onizirajućem zračenju</w:t>
      </w:r>
      <w:r w:rsidRPr="00155F80">
        <w:rPr>
          <w:rFonts w:ascii="Times New Roman" w:hAnsi="Times New Roman"/>
          <w:color w:val="000000"/>
          <w:lang w:val="en-US"/>
        </w:rPr>
        <w:t xml:space="preserve"> kao posljedica medicinske primjene, u znatnom porastu u posljednjem desetljeću. Danas su primljene doze stanovništva </w:t>
      </w:r>
      <w:r w:rsidR="003605E2">
        <w:rPr>
          <w:rFonts w:ascii="Times New Roman" w:hAnsi="Times New Roman"/>
          <w:color w:val="000000"/>
          <w:lang w:val="en-US"/>
        </w:rPr>
        <w:t>radi</w:t>
      </w:r>
      <w:r w:rsidRPr="00155F80">
        <w:rPr>
          <w:rFonts w:ascii="Times New Roman" w:hAnsi="Times New Roman"/>
          <w:color w:val="000000"/>
          <w:lang w:val="en-US"/>
        </w:rPr>
        <w:t xml:space="preserve"> medicinske primjene izvora </w:t>
      </w:r>
      <w:r w:rsidR="003605E2">
        <w:rPr>
          <w:rFonts w:ascii="Times New Roman" w:hAnsi="Times New Roman"/>
          <w:color w:val="000000"/>
          <w:lang w:val="en-US"/>
        </w:rPr>
        <w:t>i</w:t>
      </w:r>
      <w:r w:rsidRPr="00155F80">
        <w:rPr>
          <w:rFonts w:ascii="Times New Roman" w:hAnsi="Times New Roman"/>
          <w:color w:val="000000"/>
          <w:lang w:val="en-US"/>
        </w:rPr>
        <w:t xml:space="preserve">onizirajućeg zračenja na </w:t>
      </w:r>
      <w:r w:rsidR="003605E2">
        <w:rPr>
          <w:rFonts w:ascii="Times New Roman" w:hAnsi="Times New Roman"/>
          <w:color w:val="000000"/>
          <w:lang w:val="en-US"/>
        </w:rPr>
        <w:t>razini</w:t>
      </w:r>
      <w:r w:rsidRPr="00155F80">
        <w:rPr>
          <w:rFonts w:ascii="Times New Roman" w:hAnsi="Times New Roman"/>
          <w:color w:val="000000"/>
          <w:lang w:val="en-US"/>
        </w:rPr>
        <w:t xml:space="preserve"> doza usl</w:t>
      </w:r>
      <w:r w:rsidR="003605E2">
        <w:rPr>
          <w:rFonts w:ascii="Times New Roman" w:hAnsi="Times New Roman"/>
          <w:color w:val="000000"/>
          <w:lang w:val="en-US"/>
        </w:rPr>
        <w:t>i</w:t>
      </w:r>
      <w:r w:rsidRPr="00155F80">
        <w:rPr>
          <w:rFonts w:ascii="Times New Roman" w:hAnsi="Times New Roman"/>
          <w:color w:val="000000"/>
          <w:lang w:val="en-US"/>
        </w:rPr>
        <w:t xml:space="preserve">jed izloženosti prirodnim izvorima </w:t>
      </w:r>
      <w:r w:rsidR="003605E2">
        <w:rPr>
          <w:rFonts w:ascii="Times New Roman" w:hAnsi="Times New Roman"/>
          <w:color w:val="000000"/>
          <w:lang w:val="en-US"/>
        </w:rPr>
        <w:t>i</w:t>
      </w:r>
      <w:r w:rsidRPr="00155F80">
        <w:rPr>
          <w:rFonts w:ascii="Times New Roman" w:hAnsi="Times New Roman"/>
          <w:color w:val="000000"/>
          <w:lang w:val="en-US"/>
        </w:rPr>
        <w:t xml:space="preserve">onizirajućeg zračenja. </w:t>
      </w:r>
    </w:p>
    <w:p w:rsidR="00A131AD" w:rsidRPr="00155F80" w:rsidRDefault="00A131AD" w:rsidP="000C0138">
      <w:pPr>
        <w:autoSpaceDE w:val="0"/>
        <w:autoSpaceDN w:val="0"/>
        <w:adjustRightInd w:val="0"/>
        <w:spacing w:line="276" w:lineRule="auto"/>
        <w:rPr>
          <w:rFonts w:ascii="Times New Roman" w:hAnsi="Times New Roman"/>
          <w:lang w:val="en-US"/>
        </w:rPr>
      </w:pPr>
      <w:r w:rsidRPr="00155F80">
        <w:rPr>
          <w:rFonts w:ascii="Times New Roman" w:hAnsi="Times New Roman"/>
          <w:color w:val="000000"/>
          <w:lang w:val="en-US"/>
        </w:rPr>
        <w:t xml:space="preserve">Izvori </w:t>
      </w:r>
      <w:r w:rsidR="003605E2">
        <w:rPr>
          <w:rFonts w:ascii="Times New Roman" w:hAnsi="Times New Roman"/>
          <w:color w:val="000000"/>
          <w:lang w:val="en-US"/>
        </w:rPr>
        <w:t>i</w:t>
      </w:r>
      <w:r w:rsidRPr="00155F80">
        <w:rPr>
          <w:rFonts w:ascii="Times New Roman" w:hAnsi="Times New Roman"/>
          <w:color w:val="000000"/>
          <w:lang w:val="en-US"/>
        </w:rPr>
        <w:t xml:space="preserve">onizirajućeg zračenja se u FBiH, </w:t>
      </w:r>
      <w:r w:rsidR="003605E2">
        <w:rPr>
          <w:rFonts w:ascii="Times New Roman" w:hAnsi="Times New Roman"/>
          <w:color w:val="000000"/>
          <w:lang w:val="en-US"/>
        </w:rPr>
        <w:t>iz</w:t>
      </w:r>
      <w:r w:rsidRPr="00155F80">
        <w:rPr>
          <w:rFonts w:ascii="Times New Roman" w:hAnsi="Times New Roman"/>
          <w:color w:val="000000"/>
          <w:lang w:val="en-US"/>
        </w:rPr>
        <w:t xml:space="preserve">van medicinskih potreba, veoma malo koriste (industrija, </w:t>
      </w:r>
      <w:r w:rsidR="003605E2">
        <w:rPr>
          <w:rFonts w:ascii="Times New Roman" w:hAnsi="Times New Roman"/>
          <w:color w:val="000000"/>
          <w:lang w:val="en-US"/>
        </w:rPr>
        <w:t>znanstveno</w:t>
      </w:r>
      <w:r w:rsidRPr="00155F80">
        <w:rPr>
          <w:rFonts w:ascii="Times New Roman" w:hAnsi="Times New Roman"/>
          <w:color w:val="000000"/>
          <w:lang w:val="en-US"/>
        </w:rPr>
        <w:t xml:space="preserve"> istraživačke djelatnosti).</w:t>
      </w:r>
    </w:p>
    <w:p w:rsidR="00A131AD" w:rsidRPr="00155F80" w:rsidRDefault="00A131AD" w:rsidP="000C0138">
      <w:pPr>
        <w:autoSpaceDE w:val="0"/>
        <w:autoSpaceDN w:val="0"/>
        <w:adjustRightInd w:val="0"/>
        <w:spacing w:line="276" w:lineRule="auto"/>
        <w:rPr>
          <w:rFonts w:ascii="Times New Roman" w:hAnsi="Times New Roman"/>
          <w:lang w:val="en-US"/>
        </w:rPr>
      </w:pPr>
      <w:r w:rsidRPr="00155F80">
        <w:rPr>
          <w:rFonts w:ascii="Times New Roman" w:hAnsi="Times New Roman"/>
          <w:lang w:val="en-US"/>
        </w:rPr>
        <w:t xml:space="preserve">Zakonom o radijacijskoj i nuklearnoj sigurnosti u Bosni i Hercegovini </w:t>
      </w:r>
      <w:r w:rsidRPr="00155F80">
        <w:rPr>
          <w:rFonts w:ascii="Times New Roman" w:hAnsi="Times New Roman"/>
        </w:rPr>
        <w:t>(„Službeni glasnik BiH“, broj 88/07),</w:t>
      </w:r>
      <w:r w:rsidRPr="00155F80">
        <w:rPr>
          <w:rFonts w:ascii="Times New Roman" w:hAnsi="Times New Roman"/>
          <w:lang w:val="en-US"/>
        </w:rPr>
        <w:t xml:space="preserve"> i nizom podzakonskih akata uspostavljen je op</w:t>
      </w:r>
      <w:r w:rsidR="003605E2">
        <w:rPr>
          <w:rFonts w:ascii="Times New Roman" w:hAnsi="Times New Roman"/>
          <w:lang w:val="en-US"/>
        </w:rPr>
        <w:t>ć</w:t>
      </w:r>
      <w:r w:rsidRPr="00155F80">
        <w:rPr>
          <w:rFonts w:ascii="Times New Roman" w:hAnsi="Times New Roman"/>
          <w:lang w:val="en-US"/>
        </w:rPr>
        <w:t>i okvir s</w:t>
      </w:r>
      <w:r w:rsidR="003605E2">
        <w:rPr>
          <w:rFonts w:ascii="Times New Roman" w:hAnsi="Times New Roman"/>
          <w:lang w:val="en-US"/>
        </w:rPr>
        <w:t>ustava</w:t>
      </w:r>
      <w:r w:rsidRPr="00155F80">
        <w:rPr>
          <w:rFonts w:ascii="Times New Roman" w:hAnsi="Times New Roman"/>
          <w:lang w:val="en-US"/>
        </w:rPr>
        <w:t xml:space="preserve"> kontrole nad izvorima </w:t>
      </w:r>
      <w:r w:rsidR="003605E2">
        <w:rPr>
          <w:rFonts w:ascii="Times New Roman" w:hAnsi="Times New Roman"/>
          <w:lang w:val="en-US"/>
        </w:rPr>
        <w:t>i</w:t>
      </w:r>
      <w:r w:rsidRPr="00155F80">
        <w:rPr>
          <w:rFonts w:ascii="Times New Roman" w:hAnsi="Times New Roman"/>
          <w:lang w:val="en-US"/>
        </w:rPr>
        <w:t xml:space="preserve">onizirajućeg zračenja i zaštite osoba koje obavljaju djelatnost u zoni </w:t>
      </w:r>
      <w:r w:rsidR="003605E2">
        <w:rPr>
          <w:rFonts w:ascii="Times New Roman" w:hAnsi="Times New Roman"/>
          <w:lang w:val="en-US"/>
        </w:rPr>
        <w:t>i</w:t>
      </w:r>
      <w:r w:rsidRPr="00155F80">
        <w:rPr>
          <w:rFonts w:ascii="Times New Roman" w:hAnsi="Times New Roman"/>
          <w:lang w:val="en-US"/>
        </w:rPr>
        <w:t>onizirajućeg zračenja.</w:t>
      </w:r>
    </w:p>
    <w:p w:rsidR="00A131AD" w:rsidRPr="00155F80" w:rsidRDefault="003605E2" w:rsidP="000C0138">
      <w:pPr>
        <w:autoSpaceDE w:val="0"/>
        <w:autoSpaceDN w:val="0"/>
        <w:adjustRightInd w:val="0"/>
        <w:spacing w:line="276" w:lineRule="auto"/>
        <w:rPr>
          <w:rFonts w:ascii="Times New Roman" w:hAnsi="Times New Roman"/>
          <w:lang w:val="en-US"/>
        </w:rPr>
      </w:pPr>
      <w:r>
        <w:rPr>
          <w:rFonts w:ascii="Times New Roman" w:hAnsi="Times New Roman"/>
          <w:lang w:val="en-US"/>
        </w:rPr>
        <w:t>Radi</w:t>
      </w:r>
      <w:r w:rsidR="00A131AD" w:rsidRPr="00155F80">
        <w:rPr>
          <w:rFonts w:ascii="Times New Roman" w:hAnsi="Times New Roman"/>
          <w:lang w:val="en-US"/>
        </w:rPr>
        <w:t xml:space="preserve"> zaštite profesionalno uposlenih na radnim mjestima na kojima su izloženi  </w:t>
      </w:r>
      <w:r>
        <w:rPr>
          <w:rFonts w:ascii="Times New Roman" w:hAnsi="Times New Roman"/>
          <w:lang w:val="en-US"/>
        </w:rPr>
        <w:t>i</w:t>
      </w:r>
      <w:r w:rsidR="00A131AD" w:rsidRPr="00155F80">
        <w:rPr>
          <w:rFonts w:ascii="Times New Roman" w:hAnsi="Times New Roman"/>
          <w:lang w:val="en-US"/>
        </w:rPr>
        <w:t xml:space="preserve">onizirajućem zračenju, propisana je kontrola mjera zaštite prostora i izvora zračenja, kao i </w:t>
      </w:r>
      <w:r>
        <w:rPr>
          <w:rFonts w:ascii="Times New Roman" w:hAnsi="Times New Roman"/>
          <w:lang w:val="en-US"/>
        </w:rPr>
        <w:t>osobni</w:t>
      </w:r>
      <w:r w:rsidR="00A131AD" w:rsidRPr="00155F80">
        <w:rPr>
          <w:rFonts w:ascii="Times New Roman" w:hAnsi="Times New Roman"/>
          <w:lang w:val="en-US"/>
        </w:rPr>
        <w:t xml:space="preserve"> nadzor nad svakim uposlenikom koji radi u zoni </w:t>
      </w:r>
      <w:r>
        <w:rPr>
          <w:rFonts w:ascii="Times New Roman" w:hAnsi="Times New Roman"/>
          <w:lang w:val="en-US"/>
        </w:rPr>
        <w:t>i</w:t>
      </w:r>
      <w:r w:rsidR="00A131AD" w:rsidRPr="00155F80">
        <w:rPr>
          <w:rFonts w:ascii="Times New Roman" w:hAnsi="Times New Roman"/>
          <w:lang w:val="en-US"/>
        </w:rPr>
        <w:t xml:space="preserve">onizirajučeg zračenja (dozimetrijski i medicinski nadzor). </w:t>
      </w:r>
    </w:p>
    <w:p w:rsidR="00A131AD" w:rsidRPr="00155F80" w:rsidRDefault="00A131AD" w:rsidP="000C0138">
      <w:pPr>
        <w:autoSpaceDE w:val="0"/>
        <w:autoSpaceDN w:val="0"/>
        <w:adjustRightInd w:val="0"/>
        <w:spacing w:line="276" w:lineRule="auto"/>
        <w:rPr>
          <w:rFonts w:ascii="Times New Roman" w:hAnsi="Times New Roman"/>
          <w:lang w:val="en-US"/>
        </w:rPr>
      </w:pPr>
      <w:r w:rsidRPr="00155F80">
        <w:rPr>
          <w:rFonts w:ascii="Times New Roman" w:hAnsi="Times New Roman"/>
        </w:rPr>
        <w:t>Primarna odgovornost za sigurnost izvora je vlasnika izvora.</w:t>
      </w:r>
    </w:p>
    <w:p w:rsidR="00A726E5" w:rsidRPr="00155F80" w:rsidRDefault="00A726E5" w:rsidP="000C0138">
      <w:pPr>
        <w:autoSpaceDE w:val="0"/>
        <w:autoSpaceDN w:val="0"/>
        <w:adjustRightInd w:val="0"/>
        <w:spacing w:line="276" w:lineRule="auto"/>
        <w:rPr>
          <w:rFonts w:ascii="Times New Roman" w:hAnsi="Times New Roman"/>
          <w:b/>
          <w:bCs/>
        </w:rPr>
      </w:pPr>
    </w:p>
    <w:p w:rsidR="00A131AD" w:rsidRDefault="00A131AD" w:rsidP="000C0138">
      <w:pPr>
        <w:autoSpaceDE w:val="0"/>
        <w:autoSpaceDN w:val="0"/>
        <w:adjustRightInd w:val="0"/>
        <w:spacing w:line="276" w:lineRule="auto"/>
        <w:rPr>
          <w:rFonts w:ascii="Times New Roman" w:hAnsi="Times New Roman"/>
          <w:b/>
          <w:bCs/>
        </w:rPr>
      </w:pPr>
      <w:r w:rsidRPr="00155F80">
        <w:rPr>
          <w:rFonts w:ascii="Times New Roman" w:hAnsi="Times New Roman"/>
          <w:b/>
          <w:bCs/>
        </w:rPr>
        <w:t>Uređaji koji proizvode zračenje</w:t>
      </w:r>
    </w:p>
    <w:p w:rsidR="00EB7CC7" w:rsidRPr="00155F80" w:rsidRDefault="00EB7CC7" w:rsidP="000C0138">
      <w:pPr>
        <w:autoSpaceDE w:val="0"/>
        <w:autoSpaceDN w:val="0"/>
        <w:adjustRightInd w:val="0"/>
        <w:spacing w:line="276" w:lineRule="auto"/>
        <w:rPr>
          <w:rFonts w:ascii="Times New Roman" w:hAnsi="Times New Roman"/>
          <w:b/>
          <w:bCs/>
        </w:rPr>
      </w:pPr>
    </w:p>
    <w:p w:rsidR="00A131AD" w:rsidRPr="00155F80" w:rsidRDefault="00A131AD" w:rsidP="000C0138">
      <w:pPr>
        <w:spacing w:line="276" w:lineRule="auto"/>
        <w:rPr>
          <w:rFonts w:ascii="Times New Roman" w:hAnsi="Times New Roman"/>
          <w:lang w:val="en-US"/>
        </w:rPr>
      </w:pPr>
      <w:r w:rsidRPr="00155F80">
        <w:rPr>
          <w:rFonts w:ascii="Times New Roman" w:hAnsi="Times New Roman"/>
        </w:rPr>
        <w:t>Državna regulatorna agencija za radijacijsku i nuklearnu sigurnost (DRARNS,) u okviru svoje redov</w:t>
      </w:r>
      <w:r w:rsidR="00AE4AED">
        <w:rPr>
          <w:rFonts w:ascii="Times New Roman" w:hAnsi="Times New Roman"/>
        </w:rPr>
        <w:t>it</w:t>
      </w:r>
      <w:r w:rsidRPr="00155F80">
        <w:rPr>
          <w:rFonts w:ascii="Times New Roman" w:hAnsi="Times New Roman"/>
        </w:rPr>
        <w:t xml:space="preserve">e aktivnosti, obavlja autorizaciju djelatnosti sa izvorima </w:t>
      </w:r>
      <w:r w:rsidR="00AE4AED">
        <w:rPr>
          <w:rFonts w:ascii="Times New Roman" w:hAnsi="Times New Roman"/>
        </w:rPr>
        <w:t>i</w:t>
      </w:r>
      <w:r w:rsidRPr="00155F80">
        <w:rPr>
          <w:rFonts w:ascii="Times New Roman" w:hAnsi="Times New Roman"/>
        </w:rPr>
        <w:t xml:space="preserve">onizirajućeg zračenja, tj. postupak notifikacije i autorizacije djelatnosti sa izvorima </w:t>
      </w:r>
      <w:r w:rsidR="00AE4AED">
        <w:rPr>
          <w:rFonts w:ascii="Times New Roman" w:hAnsi="Times New Roman"/>
        </w:rPr>
        <w:t>i</w:t>
      </w:r>
      <w:r w:rsidRPr="00155F80">
        <w:rPr>
          <w:rFonts w:ascii="Times New Roman" w:hAnsi="Times New Roman"/>
        </w:rPr>
        <w:t>onizirajućeg zračenja s</w:t>
      </w:r>
      <w:r w:rsidR="00AE4AED">
        <w:rPr>
          <w:rFonts w:ascii="Times New Roman" w:hAnsi="Times New Roman"/>
        </w:rPr>
        <w:t>u</w:t>
      </w:r>
      <w:r w:rsidRPr="00155F80">
        <w:rPr>
          <w:rFonts w:ascii="Times New Roman" w:hAnsi="Times New Roman"/>
        </w:rPr>
        <w:t>klad</w:t>
      </w:r>
      <w:r w:rsidR="00AE4AED">
        <w:rPr>
          <w:rFonts w:ascii="Times New Roman" w:hAnsi="Times New Roman"/>
        </w:rPr>
        <w:t>no</w:t>
      </w:r>
      <w:r w:rsidRPr="00155F80">
        <w:rPr>
          <w:rFonts w:ascii="Times New Roman" w:hAnsi="Times New Roman"/>
        </w:rPr>
        <w:t xml:space="preserve"> Pravilnik</w:t>
      </w:r>
      <w:r w:rsidR="00AE4AED">
        <w:rPr>
          <w:rFonts w:ascii="Times New Roman" w:hAnsi="Times New Roman"/>
        </w:rPr>
        <w:t>u</w:t>
      </w:r>
      <w:r w:rsidRPr="00155F80">
        <w:rPr>
          <w:rFonts w:ascii="Times New Roman" w:hAnsi="Times New Roman"/>
        </w:rPr>
        <w:t xml:space="preserve"> o notifikaciji i autorizaciji djelatnosti sa izvorima </w:t>
      </w:r>
      <w:r w:rsidR="00AE4AED">
        <w:rPr>
          <w:rFonts w:ascii="Times New Roman" w:hAnsi="Times New Roman"/>
        </w:rPr>
        <w:t>i</w:t>
      </w:r>
      <w:r w:rsidRPr="00155F80">
        <w:rPr>
          <w:rFonts w:ascii="Times New Roman" w:hAnsi="Times New Roman"/>
        </w:rPr>
        <w:t xml:space="preserve">onizirajućeg zračenja  </w:t>
      </w:r>
      <w:r w:rsidRPr="00155F80">
        <w:rPr>
          <w:rFonts w:ascii="Times New Roman" w:hAnsi="Times New Roman"/>
          <w:lang w:val="en-US"/>
        </w:rPr>
        <w:t>("Službeni glasnik BiH" broj 66/10).</w:t>
      </w:r>
    </w:p>
    <w:p w:rsidR="00A131AD" w:rsidRPr="00155F80" w:rsidRDefault="00A131AD" w:rsidP="000C0138">
      <w:pPr>
        <w:autoSpaceDE w:val="0"/>
        <w:autoSpaceDN w:val="0"/>
        <w:adjustRightInd w:val="0"/>
        <w:spacing w:line="276" w:lineRule="auto"/>
        <w:rPr>
          <w:rFonts w:ascii="Times New Roman" w:hAnsi="Times New Roman"/>
        </w:rPr>
      </w:pPr>
    </w:p>
    <w:p w:rsidR="00A131AD" w:rsidRPr="00155F80" w:rsidRDefault="00A131AD" w:rsidP="000C0138">
      <w:pPr>
        <w:autoSpaceDE w:val="0"/>
        <w:autoSpaceDN w:val="0"/>
        <w:adjustRightInd w:val="0"/>
        <w:spacing w:line="276" w:lineRule="auto"/>
        <w:rPr>
          <w:rFonts w:ascii="Times New Roman" w:hAnsi="Times New Roman"/>
        </w:rPr>
      </w:pPr>
      <w:r w:rsidRPr="00155F80">
        <w:rPr>
          <w:rFonts w:ascii="Times New Roman" w:hAnsi="Times New Roman"/>
        </w:rPr>
        <w:t xml:space="preserve">Registar izvora </w:t>
      </w:r>
      <w:r w:rsidR="00AE4AED">
        <w:rPr>
          <w:rFonts w:ascii="Times New Roman" w:hAnsi="Times New Roman"/>
        </w:rPr>
        <w:t>i</w:t>
      </w:r>
      <w:r w:rsidRPr="00155F80">
        <w:rPr>
          <w:rFonts w:ascii="Times New Roman" w:hAnsi="Times New Roman"/>
        </w:rPr>
        <w:t xml:space="preserve">onizirajućeg zračenja treba da se vodi u Državnoj regulatornoj agenciji za radijacijsku i nuklearnu sigurnost. </w:t>
      </w:r>
    </w:p>
    <w:p w:rsidR="00A131AD" w:rsidRPr="00155F80" w:rsidRDefault="00AE4AED" w:rsidP="000C0138">
      <w:pPr>
        <w:autoSpaceDE w:val="0"/>
        <w:autoSpaceDN w:val="0"/>
        <w:adjustRightInd w:val="0"/>
        <w:spacing w:line="276" w:lineRule="auto"/>
        <w:rPr>
          <w:rFonts w:ascii="Times New Roman" w:hAnsi="Times New Roman"/>
        </w:rPr>
      </w:pPr>
      <w:r>
        <w:rPr>
          <w:rFonts w:ascii="Times New Roman" w:hAnsi="Times New Roman"/>
        </w:rPr>
        <w:t>Temeljem</w:t>
      </w:r>
      <w:r w:rsidR="00A131AD" w:rsidRPr="00155F80">
        <w:rPr>
          <w:rFonts w:ascii="Times New Roman" w:hAnsi="Times New Roman"/>
        </w:rPr>
        <w:t xml:space="preserve"> dostupnih podataka, procjena je da se u Bosni i Hercegovini  nalazi 1</w:t>
      </w:r>
      <w:r>
        <w:rPr>
          <w:rFonts w:ascii="Times New Roman" w:hAnsi="Times New Roman"/>
        </w:rPr>
        <w:t>.</w:t>
      </w:r>
      <w:r w:rsidR="00A131AD" w:rsidRPr="00155F80">
        <w:rPr>
          <w:rFonts w:ascii="Times New Roman" w:hAnsi="Times New Roman"/>
        </w:rPr>
        <w:t xml:space="preserve">200 uređaja koji proizvode </w:t>
      </w:r>
      <w:r>
        <w:rPr>
          <w:rFonts w:ascii="Times New Roman" w:hAnsi="Times New Roman"/>
        </w:rPr>
        <w:t>i</w:t>
      </w:r>
      <w:r w:rsidR="00A131AD" w:rsidRPr="00155F80">
        <w:rPr>
          <w:rFonts w:ascii="Times New Roman" w:hAnsi="Times New Roman"/>
        </w:rPr>
        <w:t xml:space="preserve">onizirajuće zračenje, a od tog broja 68%  se nalazi u Federaciji BiH.  Najveći broj koristi se u zdravstvenim ustanovama. Na </w:t>
      </w:r>
      <w:r>
        <w:rPr>
          <w:rFonts w:ascii="Times New Roman" w:hAnsi="Times New Roman"/>
        </w:rPr>
        <w:t>temelju</w:t>
      </w:r>
      <w:r w:rsidR="00A131AD" w:rsidRPr="00155F80">
        <w:rPr>
          <w:rFonts w:ascii="Times New Roman" w:hAnsi="Times New Roman"/>
        </w:rPr>
        <w:t xml:space="preserve"> podataka o kontolama za </w:t>
      </w:r>
      <w:r>
        <w:rPr>
          <w:rFonts w:ascii="Times New Roman" w:hAnsi="Times New Roman"/>
        </w:rPr>
        <w:t>razdoblje</w:t>
      </w:r>
      <w:r w:rsidR="00A131AD" w:rsidRPr="00155F80">
        <w:rPr>
          <w:rFonts w:ascii="Times New Roman" w:hAnsi="Times New Roman"/>
        </w:rPr>
        <w:t xml:space="preserve"> 2010.-2015. od prosječno 450 pregledanih uređaja manje od 0,5% nije zadovoljavalo propisane mjere zaštite, i to uglavnom zbog zastarjelosti opreme. </w:t>
      </w:r>
    </w:p>
    <w:p w:rsidR="00A131AD" w:rsidRPr="00155F80" w:rsidRDefault="00A131AD" w:rsidP="000C0138">
      <w:pPr>
        <w:autoSpaceDE w:val="0"/>
        <w:autoSpaceDN w:val="0"/>
        <w:adjustRightInd w:val="0"/>
        <w:spacing w:line="276" w:lineRule="auto"/>
        <w:rPr>
          <w:rFonts w:ascii="Times New Roman" w:hAnsi="Times New Roman"/>
        </w:rPr>
      </w:pPr>
    </w:p>
    <w:p w:rsidR="00A131AD" w:rsidRPr="00155F80" w:rsidRDefault="00A131AD" w:rsidP="003819E7">
      <w:pPr>
        <w:autoSpaceDE w:val="0"/>
        <w:autoSpaceDN w:val="0"/>
        <w:adjustRightInd w:val="0"/>
        <w:spacing w:after="240" w:line="276" w:lineRule="auto"/>
        <w:rPr>
          <w:rFonts w:ascii="Times New Roman" w:hAnsi="Times New Roman"/>
          <w:color w:val="339966"/>
        </w:rPr>
      </w:pPr>
      <w:r w:rsidRPr="00155F80">
        <w:rPr>
          <w:rFonts w:ascii="Times New Roman" w:hAnsi="Times New Roman"/>
          <w:b/>
          <w:bCs/>
        </w:rPr>
        <w:t xml:space="preserve">Zaštita </w:t>
      </w:r>
      <w:r w:rsidR="00AE4AED">
        <w:rPr>
          <w:rFonts w:ascii="Times New Roman" w:hAnsi="Times New Roman"/>
          <w:b/>
          <w:bCs/>
        </w:rPr>
        <w:t>osoba</w:t>
      </w:r>
      <w:r w:rsidRPr="00155F80">
        <w:rPr>
          <w:rFonts w:ascii="Times New Roman" w:hAnsi="Times New Roman"/>
          <w:b/>
          <w:bCs/>
        </w:rPr>
        <w:t xml:space="preserve"> profesionalno izloženih </w:t>
      </w:r>
      <w:r w:rsidR="00AE4AED">
        <w:rPr>
          <w:rFonts w:ascii="Times New Roman" w:hAnsi="Times New Roman"/>
          <w:b/>
          <w:bCs/>
        </w:rPr>
        <w:t>i</w:t>
      </w:r>
      <w:r w:rsidRPr="00155F80">
        <w:rPr>
          <w:rFonts w:ascii="Times New Roman" w:hAnsi="Times New Roman"/>
          <w:b/>
          <w:bCs/>
        </w:rPr>
        <w:t>onizirajućem zračenju</w:t>
      </w:r>
    </w:p>
    <w:p w:rsidR="00A131AD" w:rsidRPr="00155F80" w:rsidRDefault="00AE4AED" w:rsidP="000C0138">
      <w:pPr>
        <w:autoSpaceDE w:val="0"/>
        <w:autoSpaceDN w:val="0"/>
        <w:adjustRightInd w:val="0"/>
        <w:spacing w:line="276" w:lineRule="auto"/>
        <w:rPr>
          <w:rFonts w:ascii="Times New Roman" w:hAnsi="Times New Roman"/>
        </w:rPr>
      </w:pPr>
      <w:r>
        <w:rPr>
          <w:rFonts w:ascii="Times New Roman" w:hAnsi="Times New Roman"/>
        </w:rPr>
        <w:t>Osoba</w:t>
      </w:r>
      <w:r w:rsidR="00A131AD" w:rsidRPr="00155F80">
        <w:rPr>
          <w:rFonts w:ascii="Times New Roman" w:hAnsi="Times New Roman"/>
        </w:rPr>
        <w:t xml:space="preserve"> profesionalno izložen</w:t>
      </w:r>
      <w:r>
        <w:rPr>
          <w:rFonts w:ascii="Times New Roman" w:hAnsi="Times New Roman"/>
        </w:rPr>
        <w:t>a</w:t>
      </w:r>
      <w:r w:rsidR="00A131AD" w:rsidRPr="00155F80">
        <w:rPr>
          <w:rFonts w:ascii="Times New Roman" w:hAnsi="Times New Roman"/>
        </w:rPr>
        <w:t xml:space="preserve"> </w:t>
      </w:r>
      <w:r>
        <w:rPr>
          <w:rFonts w:ascii="Times New Roman" w:hAnsi="Times New Roman"/>
        </w:rPr>
        <w:t>i</w:t>
      </w:r>
      <w:r w:rsidR="00A131AD" w:rsidRPr="00155F80">
        <w:rPr>
          <w:rFonts w:ascii="Times New Roman" w:hAnsi="Times New Roman"/>
        </w:rPr>
        <w:t xml:space="preserve">onizirajućem zračenju mora biti podvrgnuta </w:t>
      </w:r>
      <w:r>
        <w:rPr>
          <w:rFonts w:ascii="Times New Roman" w:hAnsi="Times New Roman"/>
        </w:rPr>
        <w:t>osobnoj</w:t>
      </w:r>
      <w:r w:rsidR="00A131AD" w:rsidRPr="00155F80">
        <w:rPr>
          <w:rFonts w:ascii="Times New Roman" w:hAnsi="Times New Roman"/>
        </w:rPr>
        <w:t xml:space="preserve"> dozimetrijskoj kontroli, kao i redov</w:t>
      </w:r>
      <w:r>
        <w:rPr>
          <w:rFonts w:ascii="Times New Roman" w:hAnsi="Times New Roman"/>
        </w:rPr>
        <w:t>it</w:t>
      </w:r>
      <w:r w:rsidR="00A131AD" w:rsidRPr="00155F80">
        <w:rPr>
          <w:rFonts w:ascii="Times New Roman" w:hAnsi="Times New Roman"/>
        </w:rPr>
        <w:t>om periodičnom zdravstvenom pregledu u ovlaštenim zdravstvenim ustanovama s</w:t>
      </w:r>
      <w:r>
        <w:rPr>
          <w:rFonts w:ascii="Times New Roman" w:hAnsi="Times New Roman"/>
        </w:rPr>
        <w:t>u</w:t>
      </w:r>
      <w:r w:rsidR="00A131AD" w:rsidRPr="00155F80">
        <w:rPr>
          <w:rFonts w:ascii="Times New Roman" w:hAnsi="Times New Roman"/>
        </w:rPr>
        <w:t>klad</w:t>
      </w:r>
      <w:r>
        <w:rPr>
          <w:rFonts w:ascii="Times New Roman" w:hAnsi="Times New Roman"/>
        </w:rPr>
        <w:t>no</w:t>
      </w:r>
      <w:r w:rsidR="00A131AD" w:rsidRPr="00155F80">
        <w:rPr>
          <w:rFonts w:ascii="Times New Roman" w:hAnsi="Times New Roman"/>
        </w:rPr>
        <w:t xml:space="preserve"> podzakonskim aktima koji reguli</w:t>
      </w:r>
      <w:r>
        <w:rPr>
          <w:rFonts w:ascii="Times New Roman" w:hAnsi="Times New Roman"/>
        </w:rPr>
        <w:t>raju</w:t>
      </w:r>
      <w:r w:rsidR="00A131AD" w:rsidRPr="00155F80">
        <w:rPr>
          <w:rFonts w:ascii="Times New Roman" w:hAnsi="Times New Roman"/>
        </w:rPr>
        <w:t xml:space="preserve"> t</w:t>
      </w:r>
      <w:r>
        <w:rPr>
          <w:rFonts w:ascii="Times New Roman" w:hAnsi="Times New Roman"/>
        </w:rPr>
        <w:t>o</w:t>
      </w:r>
      <w:r w:rsidR="00A131AD" w:rsidRPr="00155F80">
        <w:rPr>
          <w:rFonts w:ascii="Times New Roman" w:hAnsi="Times New Roman"/>
        </w:rPr>
        <w:t xml:space="preserve"> </w:t>
      </w:r>
      <w:r>
        <w:rPr>
          <w:rFonts w:ascii="Times New Roman" w:hAnsi="Times New Roman"/>
        </w:rPr>
        <w:t>područje</w:t>
      </w:r>
      <w:r w:rsidR="00A131AD" w:rsidRPr="00155F80">
        <w:rPr>
          <w:rFonts w:ascii="Times New Roman" w:hAnsi="Times New Roman"/>
        </w:rPr>
        <w:t>.</w:t>
      </w:r>
    </w:p>
    <w:p w:rsidR="00A131AD" w:rsidRPr="00155F80" w:rsidRDefault="00A131AD" w:rsidP="000C0138">
      <w:pPr>
        <w:autoSpaceDE w:val="0"/>
        <w:autoSpaceDN w:val="0"/>
        <w:adjustRightInd w:val="0"/>
        <w:spacing w:line="276" w:lineRule="auto"/>
        <w:rPr>
          <w:rFonts w:ascii="Times New Roman" w:hAnsi="Times New Roman"/>
        </w:rPr>
      </w:pPr>
    </w:p>
    <w:p w:rsidR="00A131AD" w:rsidRPr="00155F80" w:rsidRDefault="00A131AD" w:rsidP="000C0138">
      <w:pPr>
        <w:autoSpaceDE w:val="0"/>
        <w:autoSpaceDN w:val="0"/>
        <w:adjustRightInd w:val="0"/>
        <w:spacing w:line="276" w:lineRule="auto"/>
        <w:rPr>
          <w:rFonts w:ascii="Times New Roman" w:hAnsi="Times New Roman"/>
        </w:rPr>
      </w:pPr>
      <w:r w:rsidRPr="00155F80">
        <w:rPr>
          <w:rFonts w:ascii="Times New Roman" w:hAnsi="Times New Roman"/>
          <w:color w:val="000000"/>
          <w:lang w:val="en-US"/>
        </w:rPr>
        <w:t>Nosi</w:t>
      </w:r>
      <w:r w:rsidR="00AE4AED">
        <w:rPr>
          <w:rFonts w:ascii="Times New Roman" w:hAnsi="Times New Roman"/>
          <w:color w:val="000000"/>
          <w:lang w:val="en-US"/>
        </w:rPr>
        <w:t>telj</w:t>
      </w:r>
      <w:r w:rsidRPr="00155F80">
        <w:rPr>
          <w:rFonts w:ascii="Times New Roman" w:hAnsi="Times New Roman"/>
          <w:color w:val="000000"/>
          <w:lang w:val="en-US"/>
        </w:rPr>
        <w:t xml:space="preserve"> autorizacije </w:t>
      </w:r>
      <w:r w:rsidR="00AE4AED">
        <w:rPr>
          <w:rFonts w:ascii="Times New Roman" w:hAnsi="Times New Roman"/>
          <w:color w:val="000000"/>
          <w:lang w:val="en-US"/>
        </w:rPr>
        <w:t>obavlja</w:t>
      </w:r>
      <w:r w:rsidRPr="00155F80">
        <w:rPr>
          <w:rFonts w:ascii="Times New Roman" w:hAnsi="Times New Roman"/>
          <w:color w:val="000000"/>
          <w:lang w:val="en-US"/>
        </w:rPr>
        <w:t xml:space="preserve"> kategorizaciju </w:t>
      </w:r>
      <w:r w:rsidR="00AE4AED">
        <w:rPr>
          <w:rFonts w:ascii="Times New Roman" w:hAnsi="Times New Roman"/>
          <w:color w:val="000000"/>
          <w:lang w:val="en-US"/>
        </w:rPr>
        <w:t>u</w:t>
      </w:r>
      <w:r w:rsidRPr="00155F80">
        <w:rPr>
          <w:rFonts w:ascii="Times New Roman" w:hAnsi="Times New Roman"/>
          <w:color w:val="000000"/>
          <w:lang w:val="en-US"/>
        </w:rPr>
        <w:t xml:space="preserve">poslenih </w:t>
      </w:r>
      <w:r w:rsidR="00AE4AED">
        <w:rPr>
          <w:rFonts w:ascii="Times New Roman" w:hAnsi="Times New Roman"/>
          <w:color w:val="000000"/>
          <w:lang w:val="en-US"/>
        </w:rPr>
        <w:t>osoba</w:t>
      </w:r>
      <w:r w:rsidRPr="00155F80">
        <w:rPr>
          <w:rFonts w:ascii="Times New Roman" w:hAnsi="Times New Roman"/>
          <w:color w:val="000000"/>
          <w:lang w:val="en-US"/>
        </w:rPr>
        <w:t xml:space="preserve"> profesionalno izloženih </w:t>
      </w:r>
      <w:r w:rsidR="00AE4AED">
        <w:rPr>
          <w:rFonts w:ascii="Times New Roman" w:hAnsi="Times New Roman"/>
          <w:color w:val="000000"/>
          <w:lang w:val="en-US"/>
        </w:rPr>
        <w:t>i</w:t>
      </w:r>
      <w:r w:rsidRPr="00155F80">
        <w:rPr>
          <w:rFonts w:ascii="Times New Roman" w:hAnsi="Times New Roman"/>
          <w:color w:val="000000"/>
          <w:lang w:val="en-US"/>
        </w:rPr>
        <w:t>onizirajućem zračenju u kategorije A i B, s</w:t>
      </w:r>
      <w:r w:rsidR="00AE4AED">
        <w:rPr>
          <w:rFonts w:ascii="Times New Roman" w:hAnsi="Times New Roman"/>
          <w:color w:val="000000"/>
          <w:lang w:val="en-US"/>
        </w:rPr>
        <w:t>u</w:t>
      </w:r>
      <w:r w:rsidRPr="00155F80">
        <w:rPr>
          <w:rFonts w:ascii="Times New Roman" w:hAnsi="Times New Roman"/>
          <w:color w:val="000000"/>
          <w:lang w:val="en-US"/>
        </w:rPr>
        <w:t>klad</w:t>
      </w:r>
      <w:r w:rsidR="00AE4AED">
        <w:rPr>
          <w:rFonts w:ascii="Times New Roman" w:hAnsi="Times New Roman"/>
          <w:color w:val="000000"/>
          <w:lang w:val="en-US"/>
        </w:rPr>
        <w:t>no</w:t>
      </w:r>
      <w:r w:rsidRPr="00155F80">
        <w:rPr>
          <w:rFonts w:ascii="Times New Roman" w:hAnsi="Times New Roman"/>
          <w:color w:val="000000"/>
          <w:lang w:val="en-US"/>
        </w:rPr>
        <w:t xml:space="preserve"> „Pravilnik</w:t>
      </w:r>
      <w:r w:rsidR="00AE4AED">
        <w:rPr>
          <w:rFonts w:ascii="Times New Roman" w:hAnsi="Times New Roman"/>
          <w:color w:val="000000"/>
          <w:lang w:val="en-US"/>
        </w:rPr>
        <w:t>u</w:t>
      </w:r>
      <w:r w:rsidRPr="00155F80">
        <w:rPr>
          <w:rFonts w:ascii="Times New Roman" w:hAnsi="Times New Roman"/>
          <w:color w:val="000000"/>
          <w:lang w:val="en-US"/>
        </w:rPr>
        <w:t xml:space="preserve"> o zaštiti od zračenja kod profesionalne ekspozicije i ekspozicije stanovništva“, a </w:t>
      </w:r>
      <w:r w:rsidR="00AE4AED">
        <w:rPr>
          <w:rFonts w:ascii="Times New Roman" w:hAnsi="Times New Roman"/>
          <w:color w:val="000000"/>
          <w:lang w:val="en-US"/>
        </w:rPr>
        <w:t>radi</w:t>
      </w:r>
      <w:r w:rsidRPr="00155F80">
        <w:rPr>
          <w:rFonts w:ascii="Times New Roman" w:hAnsi="Times New Roman"/>
          <w:color w:val="000000"/>
          <w:lang w:val="en-US"/>
        </w:rPr>
        <w:t xml:space="preserve"> </w:t>
      </w:r>
      <w:r w:rsidR="00AE4AED">
        <w:rPr>
          <w:rFonts w:ascii="Times New Roman" w:hAnsi="Times New Roman"/>
          <w:color w:val="000000"/>
          <w:lang w:val="en-US"/>
        </w:rPr>
        <w:t>osobnog</w:t>
      </w:r>
      <w:r w:rsidRPr="00155F80">
        <w:rPr>
          <w:rFonts w:ascii="Times New Roman" w:hAnsi="Times New Roman"/>
          <w:color w:val="000000"/>
          <w:lang w:val="en-US"/>
        </w:rPr>
        <w:t xml:space="preserve"> dozimetrijskog nadzora i zdravstvene kontrole.</w:t>
      </w:r>
    </w:p>
    <w:p w:rsidR="00A131AD" w:rsidRPr="00155F80" w:rsidRDefault="00A131AD" w:rsidP="000C0138">
      <w:pPr>
        <w:autoSpaceDE w:val="0"/>
        <w:autoSpaceDN w:val="0"/>
        <w:adjustRightInd w:val="0"/>
        <w:spacing w:line="276" w:lineRule="auto"/>
        <w:rPr>
          <w:rFonts w:ascii="Times New Roman" w:hAnsi="Times New Roman"/>
          <w:b/>
          <w:bCs/>
        </w:rPr>
      </w:pPr>
    </w:p>
    <w:p w:rsidR="00874E9B" w:rsidRDefault="00874E9B">
      <w:pPr>
        <w:spacing w:after="160" w:line="259" w:lineRule="auto"/>
        <w:jc w:val="left"/>
        <w:rPr>
          <w:rFonts w:ascii="Times New Roman" w:hAnsi="Times New Roman"/>
          <w:b/>
          <w:bCs/>
        </w:rPr>
      </w:pPr>
      <w:r>
        <w:rPr>
          <w:rFonts w:ascii="Times New Roman" w:hAnsi="Times New Roman"/>
          <w:b/>
          <w:bCs/>
        </w:rPr>
        <w:br w:type="page"/>
      </w:r>
    </w:p>
    <w:p w:rsidR="00A131AD" w:rsidRPr="00155F80" w:rsidRDefault="00AE4AED" w:rsidP="003819E7">
      <w:pPr>
        <w:autoSpaceDE w:val="0"/>
        <w:autoSpaceDN w:val="0"/>
        <w:adjustRightInd w:val="0"/>
        <w:spacing w:after="240" w:line="276" w:lineRule="auto"/>
        <w:rPr>
          <w:rFonts w:ascii="Times New Roman" w:hAnsi="Times New Roman"/>
          <w:b/>
          <w:bCs/>
        </w:rPr>
      </w:pPr>
      <w:r>
        <w:rPr>
          <w:rFonts w:ascii="Times New Roman" w:hAnsi="Times New Roman"/>
          <w:b/>
          <w:bCs/>
        </w:rPr>
        <w:lastRenderedPageBreak/>
        <w:t>Osobna</w:t>
      </w:r>
      <w:r w:rsidR="00A131AD" w:rsidRPr="00155F80">
        <w:rPr>
          <w:rFonts w:ascii="Times New Roman" w:hAnsi="Times New Roman"/>
          <w:b/>
          <w:bCs/>
        </w:rPr>
        <w:t xml:space="preserve"> dozimetrijska kontrola </w:t>
      </w:r>
      <w:r>
        <w:rPr>
          <w:rFonts w:ascii="Times New Roman" w:hAnsi="Times New Roman"/>
          <w:b/>
          <w:bCs/>
        </w:rPr>
        <w:t>osoba</w:t>
      </w:r>
      <w:r w:rsidR="00A131AD" w:rsidRPr="00155F80">
        <w:rPr>
          <w:rFonts w:ascii="Times New Roman" w:hAnsi="Times New Roman"/>
          <w:b/>
          <w:bCs/>
        </w:rPr>
        <w:t xml:space="preserve"> profesionalno izloženih </w:t>
      </w:r>
      <w:r>
        <w:rPr>
          <w:rFonts w:ascii="Times New Roman" w:hAnsi="Times New Roman"/>
          <w:b/>
          <w:bCs/>
        </w:rPr>
        <w:t>i</w:t>
      </w:r>
      <w:r w:rsidR="00A131AD" w:rsidRPr="00155F80">
        <w:rPr>
          <w:rFonts w:ascii="Times New Roman" w:hAnsi="Times New Roman"/>
          <w:b/>
          <w:bCs/>
        </w:rPr>
        <w:t>onizirajućem zračenju</w:t>
      </w:r>
    </w:p>
    <w:p w:rsidR="00A131AD" w:rsidRPr="00155F80" w:rsidRDefault="00AE4AED" w:rsidP="000C0138">
      <w:pPr>
        <w:autoSpaceDE w:val="0"/>
        <w:autoSpaceDN w:val="0"/>
        <w:adjustRightInd w:val="0"/>
        <w:spacing w:line="276" w:lineRule="auto"/>
        <w:rPr>
          <w:rFonts w:ascii="Times New Roman" w:hAnsi="Times New Roman"/>
          <w:color w:val="000000"/>
          <w:lang w:val="en-US"/>
        </w:rPr>
      </w:pPr>
      <w:r>
        <w:rPr>
          <w:rFonts w:ascii="Times New Roman" w:hAnsi="Times New Roman"/>
          <w:color w:val="000000"/>
          <w:lang w:val="en-US"/>
        </w:rPr>
        <w:t>Osobna</w:t>
      </w:r>
      <w:r w:rsidR="00A131AD" w:rsidRPr="00155F80">
        <w:rPr>
          <w:rFonts w:ascii="Times New Roman" w:hAnsi="Times New Roman"/>
          <w:color w:val="000000"/>
          <w:lang w:val="en-US"/>
        </w:rPr>
        <w:t xml:space="preserve"> dozimetrijska kontrola profesionalno izloženih </w:t>
      </w:r>
      <w:r>
        <w:rPr>
          <w:rFonts w:ascii="Times New Roman" w:hAnsi="Times New Roman"/>
          <w:color w:val="000000"/>
          <w:lang w:val="en-US"/>
        </w:rPr>
        <w:t>osoba</w:t>
      </w:r>
      <w:r w:rsidR="00A131AD" w:rsidRPr="00155F80">
        <w:rPr>
          <w:rFonts w:ascii="Times New Roman" w:hAnsi="Times New Roman"/>
          <w:color w:val="000000"/>
          <w:lang w:val="en-US"/>
        </w:rPr>
        <w:t xml:space="preserve"> obavlja se s</w:t>
      </w:r>
      <w:r>
        <w:rPr>
          <w:rFonts w:ascii="Times New Roman" w:hAnsi="Times New Roman"/>
          <w:color w:val="000000"/>
          <w:lang w:val="en-US"/>
        </w:rPr>
        <w:t>u</w:t>
      </w:r>
      <w:r w:rsidR="00A131AD" w:rsidRPr="00155F80">
        <w:rPr>
          <w:rFonts w:ascii="Times New Roman" w:hAnsi="Times New Roman"/>
          <w:color w:val="000000"/>
          <w:lang w:val="en-US"/>
        </w:rPr>
        <w:t>klad</w:t>
      </w:r>
      <w:r>
        <w:rPr>
          <w:rFonts w:ascii="Times New Roman" w:hAnsi="Times New Roman"/>
          <w:color w:val="000000"/>
          <w:lang w:val="en-US"/>
        </w:rPr>
        <w:t>no</w:t>
      </w:r>
      <w:r w:rsidR="00A131AD" w:rsidRPr="00155F80">
        <w:rPr>
          <w:rFonts w:ascii="Times New Roman" w:hAnsi="Times New Roman"/>
          <w:color w:val="000000"/>
          <w:lang w:val="en-US"/>
        </w:rPr>
        <w:t xml:space="preserve"> „Pravilnik</w:t>
      </w:r>
      <w:r>
        <w:rPr>
          <w:rFonts w:ascii="Times New Roman" w:hAnsi="Times New Roman"/>
          <w:color w:val="000000"/>
          <w:lang w:val="en-US"/>
        </w:rPr>
        <w:t>u</w:t>
      </w:r>
      <w:r w:rsidR="00A131AD" w:rsidRPr="00155F80">
        <w:rPr>
          <w:rFonts w:ascii="Times New Roman" w:hAnsi="Times New Roman"/>
          <w:color w:val="000000"/>
          <w:lang w:val="en-US"/>
        </w:rPr>
        <w:t xml:space="preserve"> o zaštiti od zračenja kod profesionalne ekspozicije i ekspozicije stanovništva“. St</w:t>
      </w:r>
      <w:r>
        <w:rPr>
          <w:rFonts w:ascii="Times New Roman" w:hAnsi="Times New Roman"/>
          <w:color w:val="000000"/>
          <w:lang w:val="en-US"/>
        </w:rPr>
        <w:t>upanj</w:t>
      </w:r>
      <w:r w:rsidR="00A131AD" w:rsidRPr="00155F80">
        <w:rPr>
          <w:rFonts w:ascii="Times New Roman" w:hAnsi="Times New Roman"/>
          <w:color w:val="000000"/>
          <w:lang w:val="en-US"/>
        </w:rPr>
        <w:t xml:space="preserve"> vanjske ekspozicije profesionalno izloženih </w:t>
      </w:r>
      <w:r>
        <w:rPr>
          <w:rFonts w:ascii="Times New Roman" w:hAnsi="Times New Roman"/>
          <w:color w:val="000000"/>
          <w:lang w:val="en-US"/>
        </w:rPr>
        <w:t>osoba</w:t>
      </w:r>
      <w:r w:rsidR="00A131AD" w:rsidRPr="00155F80">
        <w:rPr>
          <w:rFonts w:ascii="Times New Roman" w:hAnsi="Times New Roman"/>
          <w:color w:val="000000"/>
          <w:lang w:val="en-US"/>
        </w:rPr>
        <w:t xml:space="preserve"> kategorija A i B mjeri se pasivnim termoluminiscentnim </w:t>
      </w:r>
      <w:r>
        <w:rPr>
          <w:rFonts w:ascii="Times New Roman" w:hAnsi="Times New Roman"/>
          <w:color w:val="000000"/>
          <w:lang w:val="en-US"/>
        </w:rPr>
        <w:t>osobnim</w:t>
      </w:r>
      <w:r w:rsidR="00A131AD" w:rsidRPr="00155F80">
        <w:rPr>
          <w:rFonts w:ascii="Times New Roman" w:hAnsi="Times New Roman"/>
          <w:color w:val="000000"/>
          <w:lang w:val="en-US"/>
        </w:rPr>
        <w:t xml:space="preserve"> dozimetrima, sa </w:t>
      </w:r>
      <w:r>
        <w:rPr>
          <w:rFonts w:ascii="Times New Roman" w:hAnsi="Times New Roman"/>
          <w:color w:val="000000"/>
          <w:lang w:val="en-US"/>
        </w:rPr>
        <w:t>periodom</w:t>
      </w:r>
      <w:r w:rsidR="00A131AD" w:rsidRPr="00155F80">
        <w:rPr>
          <w:rFonts w:ascii="Times New Roman" w:hAnsi="Times New Roman"/>
          <w:color w:val="000000"/>
          <w:lang w:val="en-US"/>
        </w:rPr>
        <w:t xml:space="preserve"> očitavanja od mjesec dana. </w:t>
      </w:r>
      <w:r>
        <w:rPr>
          <w:rFonts w:ascii="Times New Roman" w:hAnsi="Times New Roman"/>
          <w:color w:val="000000"/>
          <w:lang w:val="en-US"/>
        </w:rPr>
        <w:t>Period</w:t>
      </w:r>
      <w:r w:rsidR="00A131AD" w:rsidRPr="00155F80">
        <w:rPr>
          <w:rFonts w:ascii="Times New Roman" w:hAnsi="Times New Roman"/>
          <w:color w:val="000000"/>
          <w:lang w:val="en-US"/>
        </w:rPr>
        <w:t xml:space="preserve"> očitavanja za kategoriju B profesionalno izloženih </w:t>
      </w:r>
      <w:r>
        <w:rPr>
          <w:rFonts w:ascii="Times New Roman" w:hAnsi="Times New Roman"/>
          <w:color w:val="000000"/>
          <w:lang w:val="en-US"/>
        </w:rPr>
        <w:t>osoba</w:t>
      </w:r>
      <w:r w:rsidR="00A131AD" w:rsidRPr="00155F80">
        <w:rPr>
          <w:rFonts w:ascii="Times New Roman" w:hAnsi="Times New Roman"/>
          <w:color w:val="000000"/>
          <w:lang w:val="en-US"/>
        </w:rPr>
        <w:t xml:space="preserve"> može biti i duže od mjesec dana, ali ne duže od tri mjeseca, o čemu odluku donosi Agencija zavisno od radijacijskog rizika i </w:t>
      </w:r>
      <w:r>
        <w:rPr>
          <w:rFonts w:ascii="Times New Roman" w:hAnsi="Times New Roman"/>
          <w:color w:val="000000"/>
          <w:lang w:val="en-US"/>
        </w:rPr>
        <w:t>složenosti</w:t>
      </w:r>
      <w:r w:rsidR="00A131AD" w:rsidRPr="00155F80">
        <w:rPr>
          <w:rFonts w:ascii="Times New Roman" w:hAnsi="Times New Roman"/>
          <w:color w:val="000000"/>
          <w:lang w:val="en-US"/>
        </w:rPr>
        <w:t xml:space="preserve"> djelatnosti.</w:t>
      </w:r>
    </w:p>
    <w:p w:rsidR="00A131AD" w:rsidRPr="00155F80" w:rsidRDefault="00A131AD" w:rsidP="000C0138">
      <w:pPr>
        <w:autoSpaceDE w:val="0"/>
        <w:autoSpaceDN w:val="0"/>
        <w:adjustRightInd w:val="0"/>
        <w:spacing w:line="276" w:lineRule="auto"/>
        <w:rPr>
          <w:rFonts w:ascii="Times New Roman" w:hAnsi="Times New Roman"/>
          <w:color w:val="000000"/>
          <w:lang w:val="en-US"/>
        </w:rPr>
      </w:pPr>
    </w:p>
    <w:p w:rsidR="00A131AD" w:rsidRPr="00155F80" w:rsidRDefault="00A131AD" w:rsidP="000C0138">
      <w:pPr>
        <w:spacing w:line="276" w:lineRule="auto"/>
        <w:rPr>
          <w:rFonts w:ascii="Times New Roman" w:hAnsi="Times New Roman"/>
        </w:rPr>
      </w:pPr>
      <w:r w:rsidRPr="00155F80">
        <w:rPr>
          <w:rFonts w:ascii="Times New Roman" w:hAnsi="Times New Roman"/>
        </w:rPr>
        <w:t>Dozimetrijska kontrola profesionalne ekspozicije u Bosni i Hercegovini počela je šesdesetih godina XX</w:t>
      </w:r>
      <w:r w:rsidR="00AE4AED">
        <w:rPr>
          <w:rFonts w:ascii="Times New Roman" w:hAnsi="Times New Roman"/>
        </w:rPr>
        <w:t>.</w:t>
      </w:r>
      <w:r w:rsidRPr="00155F80">
        <w:rPr>
          <w:rFonts w:ascii="Times New Roman" w:hAnsi="Times New Roman"/>
        </w:rPr>
        <w:t xml:space="preserve"> </w:t>
      </w:r>
      <w:r w:rsidR="00AE4AED">
        <w:rPr>
          <w:rFonts w:ascii="Times New Roman" w:hAnsi="Times New Roman"/>
        </w:rPr>
        <w:t>stoljeća</w:t>
      </w:r>
      <w:r w:rsidRPr="00155F80">
        <w:rPr>
          <w:rFonts w:ascii="Times New Roman" w:hAnsi="Times New Roman"/>
        </w:rPr>
        <w:t xml:space="preserve"> (filmska dozimetrija). Kontrola se nastavlja 1999. godine nakon donacije TLD-čitača i termoluminiscentnih dozimetara od strane IAEA. Do 2013. godine Zavod za javno zdravstvo FBiH je bio jedina institucija u Bosni i Hercegovini koja je pružala ove usluge, uz dobro uspostavljenu bazu podataka dozimetrijske kontrole</w:t>
      </w:r>
      <w:r w:rsidR="00AE4AED">
        <w:rPr>
          <w:rFonts w:ascii="Times New Roman" w:hAnsi="Times New Roman"/>
        </w:rPr>
        <w:t>.</w:t>
      </w:r>
    </w:p>
    <w:p w:rsidR="00A131AD" w:rsidRPr="00155F80" w:rsidRDefault="00A131AD" w:rsidP="000C0138">
      <w:pPr>
        <w:autoSpaceDE w:val="0"/>
        <w:autoSpaceDN w:val="0"/>
        <w:adjustRightInd w:val="0"/>
        <w:spacing w:line="276" w:lineRule="auto"/>
        <w:rPr>
          <w:rFonts w:ascii="Times New Roman" w:hAnsi="Times New Roman"/>
          <w:lang w:val="en-US"/>
        </w:rPr>
      </w:pPr>
    </w:p>
    <w:p w:rsidR="00A131AD" w:rsidRDefault="00A131AD" w:rsidP="000C0138">
      <w:pPr>
        <w:autoSpaceDE w:val="0"/>
        <w:autoSpaceDN w:val="0"/>
        <w:adjustRightInd w:val="0"/>
        <w:spacing w:line="276" w:lineRule="auto"/>
        <w:rPr>
          <w:rFonts w:ascii="Times New Roman" w:hAnsi="Times New Roman"/>
        </w:rPr>
      </w:pPr>
      <w:r w:rsidRPr="00155F80">
        <w:rPr>
          <w:rFonts w:ascii="Times New Roman" w:hAnsi="Times New Roman"/>
          <w:lang w:val="en-US"/>
        </w:rPr>
        <w:t xml:space="preserve">U proteklom </w:t>
      </w:r>
      <w:r w:rsidR="00AE4AED">
        <w:rPr>
          <w:rFonts w:ascii="Times New Roman" w:hAnsi="Times New Roman"/>
          <w:lang w:val="en-US"/>
        </w:rPr>
        <w:t xml:space="preserve">razdoblju </w:t>
      </w:r>
      <w:r w:rsidRPr="00155F80">
        <w:rPr>
          <w:rFonts w:ascii="Times New Roman" w:hAnsi="Times New Roman"/>
          <w:lang w:val="en-US"/>
        </w:rPr>
        <w:t>od 2010.</w:t>
      </w:r>
      <w:r w:rsidR="00AE4AED">
        <w:rPr>
          <w:rFonts w:ascii="Times New Roman" w:hAnsi="Times New Roman"/>
          <w:lang w:val="en-US"/>
        </w:rPr>
        <w:t xml:space="preserve"> do </w:t>
      </w:r>
      <w:r w:rsidRPr="00155F80">
        <w:rPr>
          <w:rFonts w:ascii="Times New Roman" w:hAnsi="Times New Roman"/>
          <w:lang w:val="en-US"/>
        </w:rPr>
        <w:t xml:space="preserve">2015. godine nije bilo odstupanja od maksimalno dozvoljene granice efektivne doze za </w:t>
      </w:r>
      <w:r w:rsidR="00AE4AED">
        <w:rPr>
          <w:rFonts w:ascii="Times New Roman" w:hAnsi="Times New Roman"/>
          <w:lang w:val="en-US"/>
        </w:rPr>
        <w:t>osobe</w:t>
      </w:r>
      <w:r w:rsidRPr="00155F80">
        <w:rPr>
          <w:rFonts w:ascii="Times New Roman" w:hAnsi="Times New Roman"/>
          <w:lang w:val="en-US"/>
        </w:rPr>
        <w:t xml:space="preserve"> profesionalno izložen</w:t>
      </w:r>
      <w:r w:rsidR="00AE4AED">
        <w:rPr>
          <w:rFonts w:ascii="Times New Roman" w:hAnsi="Times New Roman"/>
          <w:lang w:val="en-US"/>
        </w:rPr>
        <w:t>e</w:t>
      </w:r>
      <w:r w:rsidRPr="00155F80">
        <w:rPr>
          <w:rFonts w:ascii="Times New Roman" w:hAnsi="Times New Roman"/>
          <w:lang w:val="en-US"/>
        </w:rPr>
        <w:t xml:space="preserve"> </w:t>
      </w:r>
      <w:r w:rsidR="00AE4AED">
        <w:rPr>
          <w:rFonts w:ascii="Times New Roman" w:hAnsi="Times New Roman"/>
          <w:lang w:val="en-US"/>
        </w:rPr>
        <w:t>i</w:t>
      </w:r>
      <w:r w:rsidRPr="00155F80">
        <w:rPr>
          <w:rFonts w:ascii="Times New Roman" w:hAnsi="Times New Roman"/>
          <w:lang w:val="en-US"/>
        </w:rPr>
        <w:t xml:space="preserve">onizirajućem zračenju (20 mSv/god), a </w:t>
      </w:r>
      <w:r w:rsidRPr="00155F80">
        <w:rPr>
          <w:rFonts w:ascii="Times New Roman" w:hAnsi="Times New Roman"/>
        </w:rPr>
        <w:t>rezultati su prezentirani u tabli</w:t>
      </w:r>
      <w:r w:rsidR="00AE4AED">
        <w:rPr>
          <w:rFonts w:ascii="Times New Roman" w:hAnsi="Times New Roman"/>
        </w:rPr>
        <w:t>ci</w:t>
      </w:r>
      <w:r w:rsidRPr="00155F80">
        <w:rPr>
          <w:rFonts w:ascii="Times New Roman" w:hAnsi="Times New Roman"/>
        </w:rPr>
        <w:t xml:space="preserve"> koja slijedi.</w:t>
      </w:r>
    </w:p>
    <w:p w:rsidR="00834139" w:rsidRDefault="00834139" w:rsidP="000C0138">
      <w:pPr>
        <w:autoSpaceDE w:val="0"/>
        <w:autoSpaceDN w:val="0"/>
        <w:adjustRightInd w:val="0"/>
        <w:spacing w:line="276" w:lineRule="auto"/>
        <w:rPr>
          <w:rFonts w:ascii="Times New Roman" w:hAnsi="Times New Roman"/>
        </w:rPr>
      </w:pPr>
    </w:p>
    <w:p w:rsidR="00A131AD" w:rsidRPr="00155F80" w:rsidRDefault="00A131AD" w:rsidP="00EB7CC7">
      <w:pPr>
        <w:pStyle w:val="refererere"/>
        <w:rPr>
          <w:lang w:val="en-US"/>
        </w:rPr>
      </w:pPr>
      <w:r w:rsidRPr="00155F80">
        <w:t>Tabl</w:t>
      </w:r>
      <w:r w:rsidR="00BD1A28">
        <w:t>ic</w:t>
      </w:r>
      <w:r w:rsidRPr="00155F80">
        <w:t xml:space="preserve">a 12: Pregled uposlenika prema primljenoj dozi za </w:t>
      </w:r>
      <w:r w:rsidR="00BD1A28">
        <w:t>razdoblje</w:t>
      </w:r>
      <w:r w:rsidRPr="00155F80">
        <w:t xml:space="preserve"> 2010.-</w:t>
      </w:r>
      <w:smartTag w:uri="urn:schemas-microsoft-com:office:smarttags" w:element="metricconverter">
        <w:smartTagPr>
          <w:attr w:name="ProductID" w:val="2015. g"/>
        </w:smartTagPr>
        <w:r w:rsidRPr="00155F80">
          <w:t>2015. g</w:t>
        </w:r>
      </w:smartTag>
      <w:r w:rsidRPr="00155F80">
        <w:t>odina</w:t>
      </w:r>
    </w:p>
    <w:tbl>
      <w:tblPr>
        <w:tblW w:w="88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630"/>
        <w:gridCol w:w="350"/>
        <w:gridCol w:w="716"/>
        <w:gridCol w:w="716"/>
        <w:gridCol w:w="717"/>
        <w:gridCol w:w="716"/>
        <w:gridCol w:w="716"/>
        <w:gridCol w:w="717"/>
        <w:gridCol w:w="716"/>
        <w:gridCol w:w="716"/>
        <w:gridCol w:w="717"/>
        <w:gridCol w:w="716"/>
        <w:gridCol w:w="717"/>
      </w:tblGrid>
      <w:tr w:rsidR="00A131AD" w:rsidRPr="00BE0521" w:rsidTr="00B560D0">
        <w:trPr>
          <w:cantSplit/>
          <w:trHeight w:val="322"/>
        </w:trPr>
        <w:tc>
          <w:tcPr>
            <w:tcW w:w="980" w:type="dxa"/>
            <w:gridSpan w:val="2"/>
            <w:vMerge w:val="restart"/>
            <w:shd w:val="clear" w:color="auto" w:fill="E7E6E6" w:themeFill="background2"/>
            <w:vAlign w:val="center"/>
          </w:tcPr>
          <w:p w:rsidR="00A131AD" w:rsidRPr="00BE0521" w:rsidRDefault="00A131AD" w:rsidP="000C0138">
            <w:pPr>
              <w:autoSpaceDE w:val="0"/>
              <w:autoSpaceDN w:val="0"/>
              <w:adjustRightInd w:val="0"/>
              <w:spacing w:line="276" w:lineRule="auto"/>
              <w:jc w:val="center"/>
              <w:rPr>
                <w:rFonts w:ascii="Times New Roman" w:hAnsi="Times New Roman"/>
                <w:b/>
                <w:bCs/>
                <w:color w:val="000000" w:themeColor="text1"/>
              </w:rPr>
            </w:pPr>
            <w:r w:rsidRPr="00BE0521">
              <w:rPr>
                <w:rFonts w:ascii="Times New Roman" w:hAnsi="Times New Roman"/>
                <w:b/>
                <w:bCs/>
                <w:color w:val="000000" w:themeColor="text1"/>
              </w:rPr>
              <w:t>Godine</w:t>
            </w:r>
          </w:p>
        </w:tc>
        <w:tc>
          <w:tcPr>
            <w:tcW w:w="7163" w:type="dxa"/>
            <w:gridSpan w:val="10"/>
            <w:shd w:val="clear" w:color="auto" w:fill="E7E6E6" w:themeFill="background2"/>
            <w:vAlign w:val="center"/>
          </w:tcPr>
          <w:p w:rsidR="00A131AD" w:rsidRPr="00BE0521" w:rsidRDefault="00A131AD" w:rsidP="000C0138">
            <w:pPr>
              <w:autoSpaceDE w:val="0"/>
              <w:autoSpaceDN w:val="0"/>
              <w:adjustRightInd w:val="0"/>
              <w:spacing w:line="276" w:lineRule="auto"/>
              <w:jc w:val="center"/>
              <w:rPr>
                <w:rFonts w:ascii="Times New Roman" w:hAnsi="Times New Roman"/>
                <w:b/>
                <w:bCs/>
                <w:color w:val="000000" w:themeColor="text1"/>
                <w:sz w:val="20"/>
                <w:szCs w:val="20"/>
              </w:rPr>
            </w:pPr>
            <w:r w:rsidRPr="00BE0521">
              <w:rPr>
                <w:rFonts w:ascii="Times New Roman" w:hAnsi="Times New Roman"/>
                <w:b/>
                <w:bCs/>
                <w:color w:val="000000" w:themeColor="text1"/>
              </w:rPr>
              <w:t>Godišnja doza</w:t>
            </w:r>
            <w:r w:rsidRPr="00BE0521">
              <w:rPr>
                <w:rFonts w:ascii="Times New Roman" w:hAnsi="Times New Roman"/>
                <w:b/>
                <w:bCs/>
                <w:color w:val="000000" w:themeColor="text1"/>
                <w:sz w:val="20"/>
                <w:szCs w:val="20"/>
              </w:rPr>
              <w:t xml:space="preserve"> (mSv)</w:t>
            </w:r>
          </w:p>
        </w:tc>
        <w:tc>
          <w:tcPr>
            <w:tcW w:w="717" w:type="dxa"/>
            <w:vMerge w:val="restart"/>
            <w:shd w:val="clear" w:color="auto" w:fill="E7E6E6" w:themeFill="background2"/>
            <w:textDirection w:val="btLr"/>
            <w:vAlign w:val="center"/>
          </w:tcPr>
          <w:p w:rsidR="00A131AD" w:rsidRPr="00BE0521" w:rsidRDefault="00A131AD" w:rsidP="000C0138">
            <w:pPr>
              <w:autoSpaceDE w:val="0"/>
              <w:autoSpaceDN w:val="0"/>
              <w:adjustRightInd w:val="0"/>
              <w:spacing w:line="276" w:lineRule="auto"/>
              <w:ind w:left="113" w:right="113"/>
              <w:jc w:val="center"/>
              <w:rPr>
                <w:rFonts w:ascii="Times New Roman" w:hAnsi="Times New Roman"/>
                <w:b/>
                <w:bCs/>
                <w:color w:val="000000" w:themeColor="text1"/>
                <w:sz w:val="20"/>
                <w:szCs w:val="20"/>
              </w:rPr>
            </w:pPr>
            <w:r w:rsidRPr="00BE0521">
              <w:rPr>
                <w:rFonts w:ascii="Times New Roman" w:hAnsi="Times New Roman"/>
                <w:b/>
                <w:bCs/>
                <w:color w:val="000000" w:themeColor="text1"/>
                <w:sz w:val="20"/>
                <w:szCs w:val="20"/>
              </w:rPr>
              <w:t>Ukupan broj korisnika</w:t>
            </w:r>
          </w:p>
        </w:tc>
      </w:tr>
      <w:tr w:rsidR="00A131AD" w:rsidRPr="00BE0521" w:rsidTr="00B560D0">
        <w:trPr>
          <w:trHeight w:val="980"/>
        </w:trPr>
        <w:tc>
          <w:tcPr>
            <w:tcW w:w="980" w:type="dxa"/>
            <w:gridSpan w:val="2"/>
            <w:vMerge/>
            <w:shd w:val="clear" w:color="auto" w:fill="E7E6E6" w:themeFill="background2"/>
            <w:vAlign w:val="center"/>
          </w:tcPr>
          <w:p w:rsidR="00A131AD" w:rsidRPr="00BE0521" w:rsidRDefault="00A131AD" w:rsidP="000C0138">
            <w:pPr>
              <w:autoSpaceDE w:val="0"/>
              <w:autoSpaceDN w:val="0"/>
              <w:adjustRightInd w:val="0"/>
              <w:spacing w:line="276" w:lineRule="auto"/>
              <w:rPr>
                <w:rFonts w:ascii="Times New Roman" w:hAnsi="Times New Roman"/>
                <w:b/>
                <w:bCs/>
                <w:color w:val="000000" w:themeColor="text1"/>
              </w:rPr>
            </w:pPr>
          </w:p>
        </w:tc>
        <w:tc>
          <w:tcPr>
            <w:tcW w:w="716" w:type="dxa"/>
            <w:shd w:val="clear" w:color="auto" w:fill="E7E6E6" w:themeFill="background2"/>
            <w:textDirection w:val="btLr"/>
            <w:vAlign w:val="center"/>
          </w:tcPr>
          <w:p w:rsidR="00A131AD" w:rsidRPr="00BE0521" w:rsidRDefault="00A131AD" w:rsidP="000C0138">
            <w:pPr>
              <w:autoSpaceDE w:val="0"/>
              <w:autoSpaceDN w:val="0"/>
              <w:adjustRightInd w:val="0"/>
              <w:spacing w:line="276" w:lineRule="auto"/>
              <w:ind w:left="113" w:right="113"/>
              <w:jc w:val="center"/>
              <w:rPr>
                <w:rFonts w:ascii="Times New Roman" w:hAnsi="Times New Roman"/>
                <w:b/>
                <w:bCs/>
                <w:color w:val="000000" w:themeColor="text1"/>
                <w:sz w:val="20"/>
                <w:szCs w:val="20"/>
              </w:rPr>
            </w:pPr>
            <w:r w:rsidRPr="00BE0521">
              <w:rPr>
                <w:rFonts w:ascii="Times New Roman" w:hAnsi="Times New Roman"/>
                <w:b/>
                <w:bCs/>
                <w:color w:val="000000" w:themeColor="text1"/>
                <w:sz w:val="20"/>
                <w:szCs w:val="20"/>
              </w:rPr>
              <w:t>&lt;0,99</w:t>
            </w:r>
          </w:p>
        </w:tc>
        <w:tc>
          <w:tcPr>
            <w:tcW w:w="716" w:type="dxa"/>
            <w:shd w:val="clear" w:color="auto" w:fill="E7E6E6" w:themeFill="background2"/>
            <w:textDirection w:val="btLr"/>
            <w:vAlign w:val="center"/>
          </w:tcPr>
          <w:p w:rsidR="00A131AD" w:rsidRPr="00BE0521" w:rsidRDefault="00A131AD" w:rsidP="000C0138">
            <w:pPr>
              <w:autoSpaceDE w:val="0"/>
              <w:autoSpaceDN w:val="0"/>
              <w:adjustRightInd w:val="0"/>
              <w:spacing w:line="276" w:lineRule="auto"/>
              <w:ind w:left="113" w:right="113"/>
              <w:jc w:val="center"/>
              <w:rPr>
                <w:rFonts w:ascii="Times New Roman" w:hAnsi="Times New Roman"/>
                <w:b/>
                <w:bCs/>
                <w:color w:val="000000" w:themeColor="text1"/>
                <w:sz w:val="20"/>
                <w:szCs w:val="20"/>
              </w:rPr>
            </w:pPr>
            <w:r w:rsidRPr="00BE0521">
              <w:rPr>
                <w:rFonts w:ascii="Times New Roman" w:hAnsi="Times New Roman"/>
                <w:b/>
                <w:bCs/>
                <w:color w:val="000000" w:themeColor="text1"/>
                <w:sz w:val="20"/>
                <w:szCs w:val="20"/>
              </w:rPr>
              <w:t>1,0-1,99</w:t>
            </w:r>
          </w:p>
        </w:tc>
        <w:tc>
          <w:tcPr>
            <w:tcW w:w="717" w:type="dxa"/>
            <w:shd w:val="clear" w:color="auto" w:fill="E7E6E6" w:themeFill="background2"/>
            <w:textDirection w:val="btLr"/>
            <w:vAlign w:val="center"/>
          </w:tcPr>
          <w:p w:rsidR="00A131AD" w:rsidRPr="00BE0521" w:rsidRDefault="00A131AD" w:rsidP="000C0138">
            <w:pPr>
              <w:autoSpaceDE w:val="0"/>
              <w:autoSpaceDN w:val="0"/>
              <w:adjustRightInd w:val="0"/>
              <w:spacing w:line="276" w:lineRule="auto"/>
              <w:ind w:left="113" w:right="113"/>
              <w:jc w:val="center"/>
              <w:rPr>
                <w:rFonts w:ascii="Times New Roman" w:hAnsi="Times New Roman"/>
                <w:b/>
                <w:bCs/>
                <w:color w:val="000000" w:themeColor="text1"/>
                <w:sz w:val="20"/>
                <w:szCs w:val="20"/>
              </w:rPr>
            </w:pPr>
            <w:r w:rsidRPr="00BE0521">
              <w:rPr>
                <w:rFonts w:ascii="Times New Roman" w:hAnsi="Times New Roman"/>
                <w:b/>
                <w:bCs/>
                <w:color w:val="000000" w:themeColor="text1"/>
                <w:sz w:val="20"/>
                <w:szCs w:val="20"/>
              </w:rPr>
              <w:t>2,0-2,99</w:t>
            </w:r>
          </w:p>
        </w:tc>
        <w:tc>
          <w:tcPr>
            <w:tcW w:w="716" w:type="dxa"/>
            <w:shd w:val="clear" w:color="auto" w:fill="E7E6E6" w:themeFill="background2"/>
            <w:textDirection w:val="btLr"/>
            <w:vAlign w:val="center"/>
          </w:tcPr>
          <w:p w:rsidR="00A131AD" w:rsidRPr="00BE0521" w:rsidRDefault="00A131AD" w:rsidP="000C0138">
            <w:pPr>
              <w:autoSpaceDE w:val="0"/>
              <w:autoSpaceDN w:val="0"/>
              <w:adjustRightInd w:val="0"/>
              <w:spacing w:line="276" w:lineRule="auto"/>
              <w:ind w:left="113" w:right="113"/>
              <w:jc w:val="center"/>
              <w:rPr>
                <w:rFonts w:ascii="Times New Roman" w:hAnsi="Times New Roman"/>
                <w:b/>
                <w:bCs/>
                <w:color w:val="000000" w:themeColor="text1"/>
                <w:sz w:val="20"/>
                <w:szCs w:val="20"/>
              </w:rPr>
            </w:pPr>
            <w:r w:rsidRPr="00BE0521">
              <w:rPr>
                <w:rFonts w:ascii="Times New Roman" w:hAnsi="Times New Roman"/>
                <w:b/>
                <w:bCs/>
                <w:color w:val="000000" w:themeColor="text1"/>
                <w:sz w:val="20"/>
                <w:szCs w:val="20"/>
              </w:rPr>
              <w:t>3,0-3,99</w:t>
            </w:r>
          </w:p>
        </w:tc>
        <w:tc>
          <w:tcPr>
            <w:tcW w:w="716" w:type="dxa"/>
            <w:shd w:val="clear" w:color="auto" w:fill="E7E6E6" w:themeFill="background2"/>
            <w:textDirection w:val="btLr"/>
            <w:vAlign w:val="center"/>
          </w:tcPr>
          <w:p w:rsidR="00A131AD" w:rsidRPr="00BE0521" w:rsidRDefault="00A131AD" w:rsidP="000C0138">
            <w:pPr>
              <w:autoSpaceDE w:val="0"/>
              <w:autoSpaceDN w:val="0"/>
              <w:adjustRightInd w:val="0"/>
              <w:spacing w:line="276" w:lineRule="auto"/>
              <w:ind w:left="113" w:right="113"/>
              <w:jc w:val="center"/>
              <w:rPr>
                <w:rFonts w:ascii="Times New Roman" w:hAnsi="Times New Roman"/>
                <w:b/>
                <w:bCs/>
                <w:color w:val="000000" w:themeColor="text1"/>
                <w:sz w:val="20"/>
                <w:szCs w:val="20"/>
              </w:rPr>
            </w:pPr>
            <w:r w:rsidRPr="00BE0521">
              <w:rPr>
                <w:rFonts w:ascii="Times New Roman" w:hAnsi="Times New Roman"/>
                <w:b/>
                <w:bCs/>
                <w:color w:val="000000" w:themeColor="text1"/>
                <w:sz w:val="20"/>
                <w:szCs w:val="20"/>
              </w:rPr>
              <w:t>4,0-4,99</w:t>
            </w:r>
          </w:p>
        </w:tc>
        <w:tc>
          <w:tcPr>
            <w:tcW w:w="717" w:type="dxa"/>
            <w:shd w:val="clear" w:color="auto" w:fill="E7E6E6" w:themeFill="background2"/>
            <w:textDirection w:val="btLr"/>
            <w:vAlign w:val="center"/>
          </w:tcPr>
          <w:p w:rsidR="00A131AD" w:rsidRPr="00BE0521" w:rsidRDefault="00A131AD" w:rsidP="000C0138">
            <w:pPr>
              <w:autoSpaceDE w:val="0"/>
              <w:autoSpaceDN w:val="0"/>
              <w:adjustRightInd w:val="0"/>
              <w:spacing w:line="276" w:lineRule="auto"/>
              <w:ind w:left="113" w:right="113"/>
              <w:jc w:val="center"/>
              <w:rPr>
                <w:rFonts w:ascii="Times New Roman" w:hAnsi="Times New Roman"/>
                <w:b/>
                <w:bCs/>
                <w:color w:val="000000" w:themeColor="text1"/>
                <w:sz w:val="20"/>
                <w:szCs w:val="20"/>
              </w:rPr>
            </w:pPr>
            <w:r w:rsidRPr="00BE0521">
              <w:rPr>
                <w:rFonts w:ascii="Times New Roman" w:hAnsi="Times New Roman"/>
                <w:b/>
                <w:bCs/>
                <w:color w:val="000000" w:themeColor="text1"/>
                <w:sz w:val="20"/>
                <w:szCs w:val="20"/>
              </w:rPr>
              <w:t>5,0-5,99</w:t>
            </w:r>
          </w:p>
        </w:tc>
        <w:tc>
          <w:tcPr>
            <w:tcW w:w="716" w:type="dxa"/>
            <w:shd w:val="clear" w:color="auto" w:fill="E7E6E6" w:themeFill="background2"/>
            <w:textDirection w:val="btLr"/>
            <w:vAlign w:val="center"/>
          </w:tcPr>
          <w:p w:rsidR="00A131AD" w:rsidRPr="00BE0521" w:rsidRDefault="00A131AD" w:rsidP="000C0138">
            <w:pPr>
              <w:autoSpaceDE w:val="0"/>
              <w:autoSpaceDN w:val="0"/>
              <w:adjustRightInd w:val="0"/>
              <w:spacing w:line="276" w:lineRule="auto"/>
              <w:ind w:left="113" w:right="113"/>
              <w:jc w:val="center"/>
              <w:rPr>
                <w:rFonts w:ascii="Times New Roman" w:hAnsi="Times New Roman"/>
                <w:b/>
                <w:bCs/>
                <w:color w:val="000000" w:themeColor="text1"/>
                <w:sz w:val="20"/>
                <w:szCs w:val="20"/>
              </w:rPr>
            </w:pPr>
            <w:r w:rsidRPr="00BE0521">
              <w:rPr>
                <w:rFonts w:ascii="Times New Roman" w:hAnsi="Times New Roman"/>
                <w:b/>
                <w:bCs/>
                <w:color w:val="000000" w:themeColor="text1"/>
                <w:sz w:val="20"/>
                <w:szCs w:val="20"/>
              </w:rPr>
              <w:t>6,0-6,99</w:t>
            </w:r>
          </w:p>
        </w:tc>
        <w:tc>
          <w:tcPr>
            <w:tcW w:w="716" w:type="dxa"/>
            <w:shd w:val="clear" w:color="auto" w:fill="E7E6E6" w:themeFill="background2"/>
            <w:textDirection w:val="btLr"/>
            <w:vAlign w:val="center"/>
          </w:tcPr>
          <w:p w:rsidR="00A131AD" w:rsidRPr="00BE0521" w:rsidRDefault="00A131AD" w:rsidP="000C0138">
            <w:pPr>
              <w:autoSpaceDE w:val="0"/>
              <w:autoSpaceDN w:val="0"/>
              <w:adjustRightInd w:val="0"/>
              <w:spacing w:line="276" w:lineRule="auto"/>
              <w:ind w:left="113" w:right="113"/>
              <w:jc w:val="center"/>
              <w:rPr>
                <w:rFonts w:ascii="Times New Roman" w:hAnsi="Times New Roman"/>
                <w:b/>
                <w:bCs/>
                <w:color w:val="000000" w:themeColor="text1"/>
                <w:sz w:val="20"/>
                <w:szCs w:val="20"/>
              </w:rPr>
            </w:pPr>
            <w:r w:rsidRPr="00BE0521">
              <w:rPr>
                <w:rFonts w:ascii="Times New Roman" w:hAnsi="Times New Roman"/>
                <w:b/>
                <w:bCs/>
                <w:color w:val="000000" w:themeColor="text1"/>
                <w:sz w:val="20"/>
                <w:szCs w:val="20"/>
              </w:rPr>
              <w:t>7,0-7,99</w:t>
            </w:r>
          </w:p>
        </w:tc>
        <w:tc>
          <w:tcPr>
            <w:tcW w:w="717" w:type="dxa"/>
            <w:shd w:val="clear" w:color="auto" w:fill="E7E6E6" w:themeFill="background2"/>
            <w:textDirection w:val="btLr"/>
            <w:vAlign w:val="center"/>
          </w:tcPr>
          <w:p w:rsidR="00A131AD" w:rsidRPr="00BE0521" w:rsidRDefault="00A131AD" w:rsidP="000C0138">
            <w:pPr>
              <w:autoSpaceDE w:val="0"/>
              <w:autoSpaceDN w:val="0"/>
              <w:adjustRightInd w:val="0"/>
              <w:spacing w:line="276" w:lineRule="auto"/>
              <w:ind w:left="113" w:right="113"/>
              <w:jc w:val="center"/>
              <w:rPr>
                <w:rFonts w:ascii="Times New Roman" w:hAnsi="Times New Roman"/>
                <w:b/>
                <w:bCs/>
                <w:color w:val="000000" w:themeColor="text1"/>
                <w:sz w:val="20"/>
                <w:szCs w:val="20"/>
              </w:rPr>
            </w:pPr>
            <w:r w:rsidRPr="00BE0521">
              <w:rPr>
                <w:rFonts w:ascii="Times New Roman" w:hAnsi="Times New Roman"/>
                <w:b/>
                <w:bCs/>
                <w:color w:val="000000" w:themeColor="text1"/>
                <w:sz w:val="20"/>
                <w:szCs w:val="20"/>
              </w:rPr>
              <w:t>8,0-8,99</w:t>
            </w:r>
          </w:p>
        </w:tc>
        <w:tc>
          <w:tcPr>
            <w:tcW w:w="716" w:type="dxa"/>
            <w:shd w:val="clear" w:color="auto" w:fill="E7E6E6" w:themeFill="background2"/>
            <w:textDirection w:val="btLr"/>
            <w:vAlign w:val="center"/>
          </w:tcPr>
          <w:p w:rsidR="00A131AD" w:rsidRPr="00BE0521" w:rsidRDefault="00A131AD" w:rsidP="000C0138">
            <w:pPr>
              <w:autoSpaceDE w:val="0"/>
              <w:autoSpaceDN w:val="0"/>
              <w:adjustRightInd w:val="0"/>
              <w:spacing w:line="276" w:lineRule="auto"/>
              <w:ind w:left="113" w:right="113"/>
              <w:jc w:val="center"/>
              <w:rPr>
                <w:rFonts w:ascii="Times New Roman" w:hAnsi="Times New Roman"/>
                <w:b/>
                <w:bCs/>
                <w:color w:val="000000" w:themeColor="text1"/>
                <w:sz w:val="20"/>
                <w:szCs w:val="20"/>
              </w:rPr>
            </w:pPr>
            <w:r w:rsidRPr="00BE0521">
              <w:rPr>
                <w:rFonts w:ascii="Times New Roman" w:hAnsi="Times New Roman"/>
                <w:b/>
                <w:bCs/>
                <w:color w:val="000000" w:themeColor="text1"/>
                <w:sz w:val="20"/>
                <w:szCs w:val="20"/>
              </w:rPr>
              <w:t>10,0-15,99</w:t>
            </w:r>
          </w:p>
        </w:tc>
        <w:tc>
          <w:tcPr>
            <w:tcW w:w="717" w:type="dxa"/>
            <w:vMerge/>
            <w:shd w:val="clear" w:color="auto" w:fill="E7E6E6" w:themeFill="background2"/>
            <w:vAlign w:val="center"/>
          </w:tcPr>
          <w:p w:rsidR="00A131AD" w:rsidRPr="00BE0521" w:rsidRDefault="00A131AD" w:rsidP="000C0138">
            <w:pPr>
              <w:autoSpaceDE w:val="0"/>
              <w:autoSpaceDN w:val="0"/>
              <w:adjustRightInd w:val="0"/>
              <w:spacing w:line="276" w:lineRule="auto"/>
              <w:jc w:val="center"/>
              <w:rPr>
                <w:rFonts w:ascii="Times New Roman" w:hAnsi="Times New Roman"/>
                <w:b/>
                <w:color w:val="000000" w:themeColor="text1"/>
                <w:sz w:val="20"/>
                <w:szCs w:val="20"/>
              </w:rPr>
            </w:pPr>
          </w:p>
        </w:tc>
      </w:tr>
      <w:tr w:rsidR="001628EA" w:rsidRPr="00BE0521" w:rsidTr="001628EA">
        <w:trPr>
          <w:trHeight w:val="212"/>
        </w:trPr>
        <w:tc>
          <w:tcPr>
            <w:tcW w:w="630" w:type="dxa"/>
            <w:vMerge w:val="restart"/>
            <w:vAlign w:val="center"/>
          </w:tcPr>
          <w:p w:rsidR="001628EA" w:rsidRPr="00BE0521" w:rsidRDefault="001628EA" w:rsidP="000C0138">
            <w:pPr>
              <w:autoSpaceDE w:val="0"/>
              <w:autoSpaceDN w:val="0"/>
              <w:adjustRightInd w:val="0"/>
              <w:spacing w:line="276" w:lineRule="auto"/>
              <w:rPr>
                <w:rFonts w:ascii="Times New Roman" w:hAnsi="Times New Roman"/>
                <w:bCs/>
                <w:color w:val="000000" w:themeColor="text1"/>
              </w:rPr>
            </w:pPr>
            <w:r w:rsidRPr="00BE0521">
              <w:rPr>
                <w:rFonts w:ascii="Times New Roman" w:hAnsi="Times New Roman"/>
                <w:bCs/>
                <w:color w:val="000000" w:themeColor="text1"/>
              </w:rPr>
              <w:t>2010.</w:t>
            </w:r>
          </w:p>
        </w:tc>
        <w:tc>
          <w:tcPr>
            <w:tcW w:w="350" w:type="dxa"/>
            <w:vAlign w:val="center"/>
          </w:tcPr>
          <w:p w:rsidR="001628EA" w:rsidRPr="00BE0521" w:rsidRDefault="001628EA" w:rsidP="001628EA">
            <w:pPr>
              <w:autoSpaceDE w:val="0"/>
              <w:autoSpaceDN w:val="0"/>
              <w:adjustRightInd w:val="0"/>
              <w:spacing w:line="276" w:lineRule="auto"/>
              <w:rPr>
                <w:rFonts w:ascii="Times New Roman" w:hAnsi="Times New Roman"/>
                <w:bCs/>
                <w:color w:val="000000" w:themeColor="text1"/>
              </w:rPr>
            </w:pPr>
            <w:r w:rsidRPr="00BE0521">
              <w:rPr>
                <w:rFonts w:ascii="Times New Roman" w:hAnsi="Times New Roman"/>
                <w:bCs/>
                <w:color w:val="000000" w:themeColor="text1"/>
              </w:rPr>
              <w:t>Br.</w:t>
            </w:r>
          </w:p>
        </w:tc>
        <w:tc>
          <w:tcPr>
            <w:tcW w:w="716" w:type="dxa"/>
            <w:vAlign w:val="center"/>
          </w:tcPr>
          <w:p w:rsidR="001628EA" w:rsidRPr="00BE0521" w:rsidRDefault="001628EA" w:rsidP="000C0138">
            <w:pPr>
              <w:autoSpaceDE w:val="0"/>
              <w:autoSpaceDN w:val="0"/>
              <w:adjustRightInd w:val="0"/>
              <w:spacing w:line="276" w:lineRule="auto"/>
              <w:jc w:val="center"/>
              <w:rPr>
                <w:rFonts w:ascii="Times New Roman" w:hAnsi="Times New Roman"/>
                <w:b/>
                <w:bCs/>
                <w:color w:val="000000" w:themeColor="text1"/>
                <w:sz w:val="20"/>
                <w:szCs w:val="20"/>
              </w:rPr>
            </w:pPr>
            <w:r w:rsidRPr="00BE0521">
              <w:rPr>
                <w:rFonts w:ascii="Times New Roman" w:hAnsi="Times New Roman"/>
                <w:b/>
                <w:bCs/>
                <w:color w:val="000000" w:themeColor="text1"/>
                <w:sz w:val="20"/>
                <w:szCs w:val="20"/>
              </w:rPr>
              <w:t>1355</w:t>
            </w:r>
          </w:p>
        </w:tc>
        <w:tc>
          <w:tcPr>
            <w:tcW w:w="716" w:type="dxa"/>
            <w:vAlign w:val="center"/>
          </w:tcPr>
          <w:p w:rsidR="001628EA" w:rsidRPr="00BE0521" w:rsidRDefault="001628EA" w:rsidP="000C0138">
            <w:pPr>
              <w:autoSpaceDE w:val="0"/>
              <w:autoSpaceDN w:val="0"/>
              <w:adjustRightInd w:val="0"/>
              <w:spacing w:line="276" w:lineRule="auto"/>
              <w:jc w:val="center"/>
              <w:rPr>
                <w:rFonts w:ascii="Times New Roman" w:hAnsi="Times New Roman"/>
                <w:b/>
                <w:bCs/>
                <w:color w:val="000000" w:themeColor="text1"/>
                <w:sz w:val="20"/>
                <w:szCs w:val="20"/>
              </w:rPr>
            </w:pPr>
            <w:r w:rsidRPr="00BE0521">
              <w:rPr>
                <w:rFonts w:ascii="Times New Roman" w:hAnsi="Times New Roman"/>
                <w:b/>
                <w:bCs/>
                <w:color w:val="000000" w:themeColor="text1"/>
                <w:sz w:val="20"/>
                <w:szCs w:val="20"/>
              </w:rPr>
              <w:t>37</w:t>
            </w:r>
          </w:p>
        </w:tc>
        <w:tc>
          <w:tcPr>
            <w:tcW w:w="717" w:type="dxa"/>
            <w:vAlign w:val="center"/>
          </w:tcPr>
          <w:p w:rsidR="001628EA" w:rsidRPr="00BE0521" w:rsidRDefault="001628EA" w:rsidP="000C0138">
            <w:pPr>
              <w:autoSpaceDE w:val="0"/>
              <w:autoSpaceDN w:val="0"/>
              <w:adjustRightInd w:val="0"/>
              <w:spacing w:line="276" w:lineRule="auto"/>
              <w:jc w:val="center"/>
              <w:rPr>
                <w:rFonts w:ascii="Times New Roman" w:hAnsi="Times New Roman"/>
                <w:b/>
                <w:bCs/>
                <w:color w:val="000000" w:themeColor="text1"/>
                <w:sz w:val="20"/>
                <w:szCs w:val="20"/>
              </w:rPr>
            </w:pPr>
            <w:r w:rsidRPr="00BE0521">
              <w:rPr>
                <w:rFonts w:ascii="Times New Roman" w:hAnsi="Times New Roman"/>
                <w:b/>
                <w:bCs/>
                <w:color w:val="000000" w:themeColor="text1"/>
                <w:sz w:val="20"/>
                <w:szCs w:val="20"/>
              </w:rPr>
              <w:t>11</w:t>
            </w:r>
          </w:p>
        </w:tc>
        <w:tc>
          <w:tcPr>
            <w:tcW w:w="716" w:type="dxa"/>
            <w:vAlign w:val="center"/>
          </w:tcPr>
          <w:p w:rsidR="001628EA" w:rsidRPr="00BE0521" w:rsidRDefault="001628EA" w:rsidP="000C0138">
            <w:pPr>
              <w:autoSpaceDE w:val="0"/>
              <w:autoSpaceDN w:val="0"/>
              <w:adjustRightInd w:val="0"/>
              <w:spacing w:line="276" w:lineRule="auto"/>
              <w:jc w:val="center"/>
              <w:rPr>
                <w:rFonts w:ascii="Times New Roman" w:hAnsi="Times New Roman"/>
                <w:b/>
                <w:bCs/>
                <w:color w:val="000000" w:themeColor="text1"/>
                <w:sz w:val="20"/>
                <w:szCs w:val="20"/>
              </w:rPr>
            </w:pPr>
            <w:r w:rsidRPr="00BE0521">
              <w:rPr>
                <w:rFonts w:ascii="Times New Roman" w:hAnsi="Times New Roman"/>
                <w:b/>
                <w:bCs/>
                <w:color w:val="000000" w:themeColor="text1"/>
                <w:sz w:val="20"/>
                <w:szCs w:val="20"/>
              </w:rPr>
              <w:t>1</w:t>
            </w:r>
          </w:p>
        </w:tc>
        <w:tc>
          <w:tcPr>
            <w:tcW w:w="716" w:type="dxa"/>
            <w:vAlign w:val="center"/>
          </w:tcPr>
          <w:p w:rsidR="001628EA" w:rsidRPr="00BE0521" w:rsidRDefault="001628EA" w:rsidP="000C0138">
            <w:pPr>
              <w:autoSpaceDE w:val="0"/>
              <w:autoSpaceDN w:val="0"/>
              <w:adjustRightInd w:val="0"/>
              <w:spacing w:line="276" w:lineRule="auto"/>
              <w:jc w:val="center"/>
              <w:rPr>
                <w:rFonts w:ascii="Times New Roman" w:hAnsi="Times New Roman"/>
                <w:b/>
                <w:bCs/>
                <w:color w:val="000000" w:themeColor="text1"/>
                <w:sz w:val="20"/>
                <w:szCs w:val="20"/>
              </w:rPr>
            </w:pPr>
            <w:r w:rsidRPr="00BE0521">
              <w:rPr>
                <w:rFonts w:ascii="Times New Roman" w:hAnsi="Times New Roman"/>
                <w:b/>
                <w:bCs/>
                <w:color w:val="000000" w:themeColor="text1"/>
                <w:sz w:val="20"/>
                <w:szCs w:val="20"/>
              </w:rPr>
              <w:t>1</w:t>
            </w:r>
          </w:p>
        </w:tc>
        <w:tc>
          <w:tcPr>
            <w:tcW w:w="717" w:type="dxa"/>
            <w:vAlign w:val="center"/>
          </w:tcPr>
          <w:p w:rsidR="001628EA" w:rsidRPr="00BE0521" w:rsidRDefault="001628EA" w:rsidP="000C0138">
            <w:pPr>
              <w:autoSpaceDE w:val="0"/>
              <w:autoSpaceDN w:val="0"/>
              <w:adjustRightInd w:val="0"/>
              <w:spacing w:line="276" w:lineRule="auto"/>
              <w:jc w:val="center"/>
              <w:rPr>
                <w:rFonts w:ascii="Times New Roman" w:hAnsi="Times New Roman"/>
                <w:b/>
                <w:bCs/>
                <w:color w:val="000000" w:themeColor="text1"/>
                <w:sz w:val="20"/>
                <w:szCs w:val="20"/>
              </w:rPr>
            </w:pPr>
            <w:r w:rsidRPr="00BE0521">
              <w:rPr>
                <w:rFonts w:ascii="Times New Roman" w:hAnsi="Times New Roman"/>
                <w:b/>
                <w:bCs/>
                <w:color w:val="000000" w:themeColor="text1"/>
                <w:sz w:val="20"/>
                <w:szCs w:val="20"/>
              </w:rPr>
              <w:t>1</w:t>
            </w:r>
          </w:p>
        </w:tc>
        <w:tc>
          <w:tcPr>
            <w:tcW w:w="716" w:type="dxa"/>
            <w:vAlign w:val="center"/>
          </w:tcPr>
          <w:p w:rsidR="001628EA" w:rsidRPr="00BE0521" w:rsidRDefault="001628EA" w:rsidP="000C0138">
            <w:pPr>
              <w:autoSpaceDE w:val="0"/>
              <w:autoSpaceDN w:val="0"/>
              <w:adjustRightInd w:val="0"/>
              <w:spacing w:line="276" w:lineRule="auto"/>
              <w:jc w:val="right"/>
              <w:rPr>
                <w:rFonts w:ascii="Times New Roman" w:hAnsi="Times New Roman"/>
                <w:color w:val="000000" w:themeColor="text1"/>
                <w:sz w:val="20"/>
                <w:szCs w:val="20"/>
              </w:rPr>
            </w:pPr>
          </w:p>
        </w:tc>
        <w:tc>
          <w:tcPr>
            <w:tcW w:w="716" w:type="dxa"/>
            <w:vAlign w:val="center"/>
          </w:tcPr>
          <w:p w:rsidR="001628EA" w:rsidRPr="00BE0521" w:rsidRDefault="001628EA" w:rsidP="000C0138">
            <w:pPr>
              <w:autoSpaceDE w:val="0"/>
              <w:autoSpaceDN w:val="0"/>
              <w:adjustRightInd w:val="0"/>
              <w:spacing w:line="276" w:lineRule="auto"/>
              <w:jc w:val="center"/>
              <w:rPr>
                <w:rFonts w:ascii="Times New Roman" w:hAnsi="Times New Roman"/>
                <w:color w:val="000000" w:themeColor="text1"/>
                <w:sz w:val="20"/>
                <w:szCs w:val="20"/>
              </w:rPr>
            </w:pPr>
          </w:p>
        </w:tc>
        <w:tc>
          <w:tcPr>
            <w:tcW w:w="717" w:type="dxa"/>
            <w:vAlign w:val="center"/>
          </w:tcPr>
          <w:p w:rsidR="001628EA" w:rsidRPr="00BE0521" w:rsidRDefault="001628EA" w:rsidP="000C0138">
            <w:pPr>
              <w:autoSpaceDE w:val="0"/>
              <w:autoSpaceDN w:val="0"/>
              <w:adjustRightInd w:val="0"/>
              <w:spacing w:line="276" w:lineRule="auto"/>
              <w:jc w:val="center"/>
              <w:rPr>
                <w:rFonts w:ascii="Times New Roman" w:hAnsi="Times New Roman"/>
                <w:color w:val="000000" w:themeColor="text1"/>
                <w:sz w:val="20"/>
                <w:szCs w:val="20"/>
              </w:rPr>
            </w:pPr>
          </w:p>
        </w:tc>
        <w:tc>
          <w:tcPr>
            <w:tcW w:w="716" w:type="dxa"/>
            <w:vAlign w:val="center"/>
          </w:tcPr>
          <w:p w:rsidR="001628EA" w:rsidRPr="00BE0521" w:rsidRDefault="001628EA" w:rsidP="000C0138">
            <w:pPr>
              <w:autoSpaceDE w:val="0"/>
              <w:autoSpaceDN w:val="0"/>
              <w:adjustRightInd w:val="0"/>
              <w:spacing w:line="276" w:lineRule="auto"/>
              <w:jc w:val="center"/>
              <w:rPr>
                <w:rFonts w:ascii="Times New Roman" w:hAnsi="Times New Roman"/>
                <w:color w:val="000000" w:themeColor="text1"/>
                <w:sz w:val="20"/>
                <w:szCs w:val="20"/>
              </w:rPr>
            </w:pPr>
          </w:p>
        </w:tc>
        <w:tc>
          <w:tcPr>
            <w:tcW w:w="717" w:type="dxa"/>
            <w:vAlign w:val="center"/>
          </w:tcPr>
          <w:p w:rsidR="001628EA" w:rsidRPr="00BE0521" w:rsidRDefault="001628EA" w:rsidP="000C0138">
            <w:pPr>
              <w:autoSpaceDE w:val="0"/>
              <w:autoSpaceDN w:val="0"/>
              <w:adjustRightInd w:val="0"/>
              <w:spacing w:line="276" w:lineRule="auto"/>
              <w:jc w:val="center"/>
              <w:rPr>
                <w:rFonts w:ascii="Times New Roman" w:hAnsi="Times New Roman"/>
                <w:color w:val="000000" w:themeColor="text1"/>
                <w:sz w:val="20"/>
                <w:szCs w:val="20"/>
              </w:rPr>
            </w:pPr>
            <w:r w:rsidRPr="00BE0521">
              <w:rPr>
                <w:rFonts w:ascii="Times New Roman" w:hAnsi="Times New Roman"/>
                <w:color w:val="000000" w:themeColor="text1"/>
                <w:sz w:val="20"/>
                <w:szCs w:val="20"/>
              </w:rPr>
              <w:t>1406</w:t>
            </w:r>
          </w:p>
        </w:tc>
      </w:tr>
      <w:tr w:rsidR="001628EA" w:rsidRPr="00BE0521" w:rsidTr="001628EA">
        <w:trPr>
          <w:trHeight w:val="212"/>
        </w:trPr>
        <w:tc>
          <w:tcPr>
            <w:tcW w:w="630" w:type="dxa"/>
            <w:vMerge/>
            <w:vAlign w:val="center"/>
          </w:tcPr>
          <w:p w:rsidR="001628EA" w:rsidRPr="00BE0521" w:rsidRDefault="001628EA" w:rsidP="001628EA">
            <w:pPr>
              <w:autoSpaceDE w:val="0"/>
              <w:autoSpaceDN w:val="0"/>
              <w:adjustRightInd w:val="0"/>
              <w:spacing w:line="276" w:lineRule="auto"/>
              <w:jc w:val="right"/>
              <w:rPr>
                <w:rFonts w:ascii="Times New Roman" w:hAnsi="Times New Roman"/>
                <w:bCs/>
                <w:color w:val="000000" w:themeColor="text1"/>
              </w:rPr>
            </w:pPr>
          </w:p>
        </w:tc>
        <w:tc>
          <w:tcPr>
            <w:tcW w:w="350" w:type="dxa"/>
            <w:vAlign w:val="center"/>
          </w:tcPr>
          <w:p w:rsidR="001628EA" w:rsidRPr="00BE0521" w:rsidRDefault="001628EA" w:rsidP="000C0138">
            <w:pPr>
              <w:autoSpaceDE w:val="0"/>
              <w:autoSpaceDN w:val="0"/>
              <w:adjustRightInd w:val="0"/>
              <w:spacing w:line="276" w:lineRule="auto"/>
              <w:jc w:val="right"/>
              <w:rPr>
                <w:rFonts w:ascii="Times New Roman" w:hAnsi="Times New Roman"/>
                <w:bCs/>
                <w:color w:val="000000" w:themeColor="text1"/>
              </w:rPr>
            </w:pPr>
            <w:r w:rsidRPr="00BE0521">
              <w:rPr>
                <w:rFonts w:ascii="Times New Roman" w:hAnsi="Times New Roman"/>
                <w:bCs/>
                <w:color w:val="000000" w:themeColor="text1"/>
              </w:rPr>
              <w:t>%</w:t>
            </w:r>
          </w:p>
        </w:tc>
        <w:tc>
          <w:tcPr>
            <w:tcW w:w="716" w:type="dxa"/>
            <w:vAlign w:val="center"/>
          </w:tcPr>
          <w:p w:rsidR="001628EA" w:rsidRPr="00BE0521" w:rsidRDefault="001628EA" w:rsidP="000C0138">
            <w:pPr>
              <w:autoSpaceDE w:val="0"/>
              <w:autoSpaceDN w:val="0"/>
              <w:adjustRightInd w:val="0"/>
              <w:spacing w:line="276" w:lineRule="auto"/>
              <w:jc w:val="center"/>
              <w:rPr>
                <w:rFonts w:ascii="Times New Roman" w:hAnsi="Times New Roman"/>
                <w:color w:val="000000" w:themeColor="text1"/>
                <w:sz w:val="20"/>
                <w:szCs w:val="20"/>
              </w:rPr>
            </w:pPr>
            <w:r w:rsidRPr="00BE0521">
              <w:rPr>
                <w:rFonts w:ascii="Times New Roman" w:hAnsi="Times New Roman"/>
                <w:color w:val="000000" w:themeColor="text1"/>
                <w:sz w:val="20"/>
                <w:szCs w:val="20"/>
              </w:rPr>
              <w:t>96,37</w:t>
            </w:r>
          </w:p>
        </w:tc>
        <w:tc>
          <w:tcPr>
            <w:tcW w:w="716" w:type="dxa"/>
            <w:vAlign w:val="center"/>
          </w:tcPr>
          <w:p w:rsidR="001628EA" w:rsidRPr="00BE0521" w:rsidRDefault="001628EA" w:rsidP="000C0138">
            <w:pPr>
              <w:autoSpaceDE w:val="0"/>
              <w:autoSpaceDN w:val="0"/>
              <w:adjustRightInd w:val="0"/>
              <w:spacing w:line="276" w:lineRule="auto"/>
              <w:jc w:val="center"/>
              <w:rPr>
                <w:rFonts w:ascii="Times New Roman" w:hAnsi="Times New Roman"/>
                <w:color w:val="000000" w:themeColor="text1"/>
                <w:sz w:val="20"/>
                <w:szCs w:val="20"/>
              </w:rPr>
            </w:pPr>
            <w:r w:rsidRPr="00BE0521">
              <w:rPr>
                <w:rFonts w:ascii="Times New Roman" w:hAnsi="Times New Roman"/>
                <w:color w:val="000000" w:themeColor="text1"/>
                <w:sz w:val="20"/>
                <w:szCs w:val="20"/>
              </w:rPr>
              <w:t>2,63</w:t>
            </w:r>
          </w:p>
        </w:tc>
        <w:tc>
          <w:tcPr>
            <w:tcW w:w="717" w:type="dxa"/>
            <w:vAlign w:val="center"/>
          </w:tcPr>
          <w:p w:rsidR="001628EA" w:rsidRPr="00BE0521" w:rsidRDefault="001628EA" w:rsidP="000C0138">
            <w:pPr>
              <w:autoSpaceDE w:val="0"/>
              <w:autoSpaceDN w:val="0"/>
              <w:adjustRightInd w:val="0"/>
              <w:spacing w:line="276" w:lineRule="auto"/>
              <w:jc w:val="center"/>
              <w:rPr>
                <w:rFonts w:ascii="Times New Roman" w:hAnsi="Times New Roman"/>
                <w:color w:val="000000" w:themeColor="text1"/>
                <w:sz w:val="20"/>
                <w:szCs w:val="20"/>
              </w:rPr>
            </w:pPr>
            <w:r w:rsidRPr="00BE0521">
              <w:rPr>
                <w:rFonts w:ascii="Times New Roman" w:hAnsi="Times New Roman"/>
                <w:color w:val="000000" w:themeColor="text1"/>
                <w:sz w:val="20"/>
                <w:szCs w:val="20"/>
              </w:rPr>
              <w:t>0,78</w:t>
            </w:r>
          </w:p>
        </w:tc>
        <w:tc>
          <w:tcPr>
            <w:tcW w:w="716" w:type="dxa"/>
            <w:vAlign w:val="center"/>
          </w:tcPr>
          <w:p w:rsidR="001628EA" w:rsidRPr="00BE0521" w:rsidRDefault="001628EA" w:rsidP="000C0138">
            <w:pPr>
              <w:autoSpaceDE w:val="0"/>
              <w:autoSpaceDN w:val="0"/>
              <w:adjustRightInd w:val="0"/>
              <w:spacing w:line="276" w:lineRule="auto"/>
              <w:jc w:val="center"/>
              <w:rPr>
                <w:rFonts w:ascii="Times New Roman" w:hAnsi="Times New Roman"/>
                <w:color w:val="000000" w:themeColor="text1"/>
                <w:sz w:val="20"/>
                <w:szCs w:val="20"/>
              </w:rPr>
            </w:pPr>
            <w:r w:rsidRPr="00BE0521">
              <w:rPr>
                <w:rFonts w:ascii="Times New Roman" w:hAnsi="Times New Roman"/>
                <w:color w:val="000000" w:themeColor="text1"/>
                <w:sz w:val="20"/>
                <w:szCs w:val="20"/>
              </w:rPr>
              <w:t>0,07</w:t>
            </w:r>
          </w:p>
        </w:tc>
        <w:tc>
          <w:tcPr>
            <w:tcW w:w="716" w:type="dxa"/>
            <w:vAlign w:val="center"/>
          </w:tcPr>
          <w:p w:rsidR="001628EA" w:rsidRPr="00BE0521" w:rsidRDefault="001628EA" w:rsidP="000C0138">
            <w:pPr>
              <w:autoSpaceDE w:val="0"/>
              <w:autoSpaceDN w:val="0"/>
              <w:adjustRightInd w:val="0"/>
              <w:spacing w:line="276" w:lineRule="auto"/>
              <w:jc w:val="center"/>
              <w:rPr>
                <w:rFonts w:ascii="Times New Roman" w:hAnsi="Times New Roman"/>
                <w:color w:val="000000" w:themeColor="text1"/>
                <w:sz w:val="20"/>
                <w:szCs w:val="20"/>
              </w:rPr>
            </w:pPr>
            <w:r w:rsidRPr="00BE0521">
              <w:rPr>
                <w:rFonts w:ascii="Times New Roman" w:hAnsi="Times New Roman"/>
                <w:color w:val="000000" w:themeColor="text1"/>
                <w:sz w:val="20"/>
                <w:szCs w:val="20"/>
              </w:rPr>
              <w:t>0,07</w:t>
            </w:r>
          </w:p>
        </w:tc>
        <w:tc>
          <w:tcPr>
            <w:tcW w:w="717" w:type="dxa"/>
            <w:vAlign w:val="center"/>
          </w:tcPr>
          <w:p w:rsidR="001628EA" w:rsidRPr="00BE0521" w:rsidRDefault="001628EA" w:rsidP="000C0138">
            <w:pPr>
              <w:autoSpaceDE w:val="0"/>
              <w:autoSpaceDN w:val="0"/>
              <w:adjustRightInd w:val="0"/>
              <w:spacing w:line="276" w:lineRule="auto"/>
              <w:jc w:val="center"/>
              <w:rPr>
                <w:rFonts w:ascii="Times New Roman" w:hAnsi="Times New Roman"/>
                <w:color w:val="000000" w:themeColor="text1"/>
                <w:sz w:val="20"/>
                <w:szCs w:val="20"/>
              </w:rPr>
            </w:pPr>
            <w:r w:rsidRPr="00BE0521">
              <w:rPr>
                <w:rFonts w:ascii="Times New Roman" w:hAnsi="Times New Roman"/>
                <w:color w:val="000000" w:themeColor="text1"/>
                <w:sz w:val="20"/>
                <w:szCs w:val="20"/>
              </w:rPr>
              <w:t>0,07</w:t>
            </w:r>
          </w:p>
        </w:tc>
        <w:tc>
          <w:tcPr>
            <w:tcW w:w="716" w:type="dxa"/>
            <w:vAlign w:val="center"/>
          </w:tcPr>
          <w:p w:rsidR="001628EA" w:rsidRPr="00BE0521" w:rsidRDefault="001628EA" w:rsidP="000C0138">
            <w:pPr>
              <w:autoSpaceDE w:val="0"/>
              <w:autoSpaceDN w:val="0"/>
              <w:adjustRightInd w:val="0"/>
              <w:spacing w:line="276" w:lineRule="auto"/>
              <w:jc w:val="right"/>
              <w:rPr>
                <w:rFonts w:ascii="Times New Roman" w:hAnsi="Times New Roman"/>
                <w:color w:val="000000" w:themeColor="text1"/>
                <w:sz w:val="20"/>
                <w:szCs w:val="20"/>
              </w:rPr>
            </w:pPr>
          </w:p>
        </w:tc>
        <w:tc>
          <w:tcPr>
            <w:tcW w:w="716" w:type="dxa"/>
            <w:vAlign w:val="center"/>
          </w:tcPr>
          <w:p w:rsidR="001628EA" w:rsidRPr="00BE0521" w:rsidRDefault="001628EA" w:rsidP="000C0138">
            <w:pPr>
              <w:autoSpaceDE w:val="0"/>
              <w:autoSpaceDN w:val="0"/>
              <w:adjustRightInd w:val="0"/>
              <w:spacing w:line="276" w:lineRule="auto"/>
              <w:jc w:val="center"/>
              <w:rPr>
                <w:rFonts w:ascii="Times New Roman" w:hAnsi="Times New Roman"/>
                <w:color w:val="000000" w:themeColor="text1"/>
                <w:sz w:val="20"/>
                <w:szCs w:val="20"/>
              </w:rPr>
            </w:pPr>
          </w:p>
        </w:tc>
        <w:tc>
          <w:tcPr>
            <w:tcW w:w="717" w:type="dxa"/>
            <w:vAlign w:val="center"/>
          </w:tcPr>
          <w:p w:rsidR="001628EA" w:rsidRPr="00BE0521" w:rsidRDefault="001628EA" w:rsidP="000C0138">
            <w:pPr>
              <w:autoSpaceDE w:val="0"/>
              <w:autoSpaceDN w:val="0"/>
              <w:adjustRightInd w:val="0"/>
              <w:spacing w:line="276" w:lineRule="auto"/>
              <w:jc w:val="center"/>
              <w:rPr>
                <w:rFonts w:ascii="Times New Roman" w:hAnsi="Times New Roman"/>
                <w:color w:val="000000" w:themeColor="text1"/>
                <w:sz w:val="20"/>
                <w:szCs w:val="20"/>
              </w:rPr>
            </w:pPr>
          </w:p>
        </w:tc>
        <w:tc>
          <w:tcPr>
            <w:tcW w:w="716" w:type="dxa"/>
            <w:vAlign w:val="center"/>
          </w:tcPr>
          <w:p w:rsidR="001628EA" w:rsidRPr="00BE0521" w:rsidRDefault="001628EA" w:rsidP="000C0138">
            <w:pPr>
              <w:autoSpaceDE w:val="0"/>
              <w:autoSpaceDN w:val="0"/>
              <w:adjustRightInd w:val="0"/>
              <w:spacing w:line="276" w:lineRule="auto"/>
              <w:jc w:val="center"/>
              <w:rPr>
                <w:rFonts w:ascii="Times New Roman" w:hAnsi="Times New Roman"/>
                <w:color w:val="000000" w:themeColor="text1"/>
                <w:sz w:val="20"/>
                <w:szCs w:val="20"/>
              </w:rPr>
            </w:pPr>
          </w:p>
        </w:tc>
        <w:tc>
          <w:tcPr>
            <w:tcW w:w="717" w:type="dxa"/>
            <w:vAlign w:val="center"/>
          </w:tcPr>
          <w:p w:rsidR="001628EA" w:rsidRPr="00BE0521" w:rsidRDefault="001628EA" w:rsidP="000C0138">
            <w:pPr>
              <w:autoSpaceDE w:val="0"/>
              <w:autoSpaceDN w:val="0"/>
              <w:adjustRightInd w:val="0"/>
              <w:spacing w:line="276" w:lineRule="auto"/>
              <w:jc w:val="center"/>
              <w:rPr>
                <w:rFonts w:ascii="Times New Roman" w:hAnsi="Times New Roman"/>
                <w:color w:val="000000" w:themeColor="text1"/>
                <w:sz w:val="20"/>
                <w:szCs w:val="20"/>
              </w:rPr>
            </w:pPr>
          </w:p>
        </w:tc>
      </w:tr>
      <w:tr w:rsidR="001628EA" w:rsidRPr="00BE0521" w:rsidTr="001628EA">
        <w:trPr>
          <w:trHeight w:val="212"/>
        </w:trPr>
        <w:tc>
          <w:tcPr>
            <w:tcW w:w="630" w:type="dxa"/>
            <w:vMerge w:val="restart"/>
            <w:vAlign w:val="center"/>
          </w:tcPr>
          <w:p w:rsidR="001628EA" w:rsidRPr="00BE0521" w:rsidRDefault="001628EA" w:rsidP="001628EA">
            <w:pPr>
              <w:autoSpaceDE w:val="0"/>
              <w:autoSpaceDN w:val="0"/>
              <w:adjustRightInd w:val="0"/>
              <w:spacing w:line="276" w:lineRule="auto"/>
              <w:rPr>
                <w:rFonts w:ascii="Times New Roman" w:hAnsi="Times New Roman"/>
                <w:bCs/>
                <w:color w:val="000000" w:themeColor="text1"/>
              </w:rPr>
            </w:pPr>
            <w:r w:rsidRPr="00BE0521">
              <w:rPr>
                <w:rFonts w:ascii="Times New Roman" w:hAnsi="Times New Roman"/>
                <w:bCs/>
                <w:color w:val="000000" w:themeColor="text1"/>
              </w:rPr>
              <w:t>2011.</w:t>
            </w:r>
          </w:p>
        </w:tc>
        <w:tc>
          <w:tcPr>
            <w:tcW w:w="350" w:type="dxa"/>
            <w:vAlign w:val="center"/>
          </w:tcPr>
          <w:p w:rsidR="001628EA" w:rsidRPr="00BE0521" w:rsidRDefault="001628EA" w:rsidP="001628EA">
            <w:pPr>
              <w:autoSpaceDE w:val="0"/>
              <w:autoSpaceDN w:val="0"/>
              <w:adjustRightInd w:val="0"/>
              <w:spacing w:line="276" w:lineRule="auto"/>
              <w:rPr>
                <w:rFonts w:ascii="Times New Roman" w:hAnsi="Times New Roman"/>
                <w:bCs/>
                <w:color w:val="000000" w:themeColor="text1"/>
              </w:rPr>
            </w:pPr>
            <w:r w:rsidRPr="00BE0521">
              <w:rPr>
                <w:rFonts w:ascii="Times New Roman" w:hAnsi="Times New Roman"/>
                <w:bCs/>
                <w:color w:val="000000" w:themeColor="text1"/>
              </w:rPr>
              <w:t>Br.</w:t>
            </w: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b/>
                <w:bCs/>
                <w:color w:val="000000" w:themeColor="text1"/>
                <w:sz w:val="20"/>
                <w:szCs w:val="20"/>
              </w:rPr>
            </w:pPr>
            <w:r w:rsidRPr="00BE0521">
              <w:rPr>
                <w:rFonts w:ascii="Times New Roman" w:hAnsi="Times New Roman"/>
                <w:b/>
                <w:bCs/>
                <w:color w:val="000000" w:themeColor="text1"/>
                <w:sz w:val="20"/>
                <w:szCs w:val="20"/>
              </w:rPr>
              <w:t>1400</w:t>
            </w: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b/>
                <w:bCs/>
                <w:color w:val="000000" w:themeColor="text1"/>
                <w:sz w:val="20"/>
                <w:szCs w:val="20"/>
              </w:rPr>
            </w:pPr>
            <w:r w:rsidRPr="00BE0521">
              <w:rPr>
                <w:rFonts w:ascii="Times New Roman" w:hAnsi="Times New Roman"/>
                <w:b/>
                <w:bCs/>
                <w:color w:val="000000" w:themeColor="text1"/>
                <w:sz w:val="20"/>
                <w:szCs w:val="20"/>
              </w:rPr>
              <w:t>27</w:t>
            </w:r>
          </w:p>
        </w:tc>
        <w:tc>
          <w:tcPr>
            <w:tcW w:w="717" w:type="dxa"/>
            <w:vAlign w:val="center"/>
          </w:tcPr>
          <w:p w:rsidR="001628EA" w:rsidRPr="00BE0521" w:rsidRDefault="001628EA" w:rsidP="001628EA">
            <w:pPr>
              <w:autoSpaceDE w:val="0"/>
              <w:autoSpaceDN w:val="0"/>
              <w:adjustRightInd w:val="0"/>
              <w:spacing w:line="276" w:lineRule="auto"/>
              <w:jc w:val="center"/>
              <w:rPr>
                <w:rFonts w:ascii="Times New Roman" w:hAnsi="Times New Roman"/>
                <w:b/>
                <w:bCs/>
                <w:color w:val="000000" w:themeColor="text1"/>
                <w:sz w:val="20"/>
                <w:szCs w:val="20"/>
              </w:rPr>
            </w:pPr>
            <w:r w:rsidRPr="00BE0521">
              <w:rPr>
                <w:rFonts w:ascii="Times New Roman" w:hAnsi="Times New Roman"/>
                <w:b/>
                <w:bCs/>
                <w:color w:val="000000" w:themeColor="text1"/>
                <w:sz w:val="20"/>
                <w:szCs w:val="20"/>
              </w:rPr>
              <w:t>4</w:t>
            </w: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b/>
                <w:bCs/>
                <w:color w:val="000000" w:themeColor="text1"/>
                <w:sz w:val="20"/>
                <w:szCs w:val="20"/>
              </w:rPr>
            </w:pPr>
            <w:r w:rsidRPr="00BE0521">
              <w:rPr>
                <w:rFonts w:ascii="Times New Roman" w:hAnsi="Times New Roman"/>
                <w:b/>
                <w:bCs/>
                <w:color w:val="000000" w:themeColor="text1"/>
                <w:sz w:val="20"/>
                <w:szCs w:val="20"/>
              </w:rPr>
              <w:t>2</w:t>
            </w: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b/>
                <w:bCs/>
                <w:color w:val="000000" w:themeColor="text1"/>
                <w:sz w:val="20"/>
                <w:szCs w:val="20"/>
              </w:rPr>
            </w:pPr>
            <w:r w:rsidRPr="00BE0521">
              <w:rPr>
                <w:rFonts w:ascii="Times New Roman" w:hAnsi="Times New Roman"/>
                <w:b/>
                <w:bCs/>
                <w:color w:val="000000" w:themeColor="text1"/>
                <w:sz w:val="20"/>
                <w:szCs w:val="20"/>
              </w:rPr>
              <w:t>1</w:t>
            </w:r>
          </w:p>
        </w:tc>
        <w:tc>
          <w:tcPr>
            <w:tcW w:w="717" w:type="dxa"/>
            <w:vAlign w:val="center"/>
          </w:tcPr>
          <w:p w:rsidR="001628EA" w:rsidRPr="00BE0521" w:rsidRDefault="001628EA" w:rsidP="001628EA">
            <w:pPr>
              <w:autoSpaceDE w:val="0"/>
              <w:autoSpaceDN w:val="0"/>
              <w:adjustRightInd w:val="0"/>
              <w:spacing w:line="276" w:lineRule="auto"/>
              <w:jc w:val="center"/>
              <w:rPr>
                <w:rFonts w:ascii="Times New Roman" w:hAnsi="Times New Roman"/>
                <w:b/>
                <w:bCs/>
                <w:color w:val="000000" w:themeColor="text1"/>
                <w:sz w:val="20"/>
                <w:szCs w:val="20"/>
              </w:rPr>
            </w:pPr>
            <w:r w:rsidRPr="00BE0521">
              <w:rPr>
                <w:rFonts w:ascii="Times New Roman" w:hAnsi="Times New Roman"/>
                <w:b/>
                <w:bCs/>
                <w:color w:val="000000" w:themeColor="text1"/>
                <w:sz w:val="20"/>
                <w:szCs w:val="20"/>
              </w:rPr>
              <w:t>1</w:t>
            </w:r>
          </w:p>
        </w:tc>
        <w:tc>
          <w:tcPr>
            <w:tcW w:w="716" w:type="dxa"/>
            <w:vAlign w:val="center"/>
          </w:tcPr>
          <w:p w:rsidR="001628EA" w:rsidRPr="00BE0521" w:rsidRDefault="001628EA" w:rsidP="001628EA">
            <w:pPr>
              <w:autoSpaceDE w:val="0"/>
              <w:autoSpaceDN w:val="0"/>
              <w:adjustRightInd w:val="0"/>
              <w:spacing w:line="276" w:lineRule="auto"/>
              <w:jc w:val="right"/>
              <w:rPr>
                <w:rFonts w:ascii="Times New Roman" w:hAnsi="Times New Roman"/>
                <w:color w:val="000000" w:themeColor="text1"/>
                <w:sz w:val="20"/>
                <w:szCs w:val="20"/>
              </w:rPr>
            </w:pP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p>
        </w:tc>
        <w:tc>
          <w:tcPr>
            <w:tcW w:w="717"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p>
        </w:tc>
        <w:tc>
          <w:tcPr>
            <w:tcW w:w="717"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r w:rsidRPr="00BE0521">
              <w:rPr>
                <w:rFonts w:ascii="Times New Roman" w:hAnsi="Times New Roman"/>
                <w:color w:val="000000" w:themeColor="text1"/>
                <w:sz w:val="20"/>
                <w:szCs w:val="20"/>
              </w:rPr>
              <w:t>1435</w:t>
            </w:r>
          </w:p>
        </w:tc>
      </w:tr>
      <w:tr w:rsidR="001628EA" w:rsidRPr="00BE0521" w:rsidTr="001628EA">
        <w:trPr>
          <w:trHeight w:val="212"/>
        </w:trPr>
        <w:tc>
          <w:tcPr>
            <w:tcW w:w="630" w:type="dxa"/>
            <w:vMerge/>
            <w:vAlign w:val="center"/>
          </w:tcPr>
          <w:p w:rsidR="001628EA" w:rsidRPr="00BE0521" w:rsidRDefault="001628EA" w:rsidP="001628EA">
            <w:pPr>
              <w:autoSpaceDE w:val="0"/>
              <w:autoSpaceDN w:val="0"/>
              <w:adjustRightInd w:val="0"/>
              <w:spacing w:line="276" w:lineRule="auto"/>
              <w:jc w:val="right"/>
              <w:rPr>
                <w:rFonts w:ascii="Times New Roman" w:hAnsi="Times New Roman"/>
                <w:bCs/>
                <w:color w:val="000000" w:themeColor="text1"/>
              </w:rPr>
            </w:pPr>
          </w:p>
        </w:tc>
        <w:tc>
          <w:tcPr>
            <w:tcW w:w="350" w:type="dxa"/>
            <w:vAlign w:val="center"/>
          </w:tcPr>
          <w:p w:rsidR="001628EA" w:rsidRPr="00BE0521" w:rsidRDefault="001628EA" w:rsidP="001628EA">
            <w:pPr>
              <w:autoSpaceDE w:val="0"/>
              <w:autoSpaceDN w:val="0"/>
              <w:adjustRightInd w:val="0"/>
              <w:spacing w:line="276" w:lineRule="auto"/>
              <w:jc w:val="right"/>
              <w:rPr>
                <w:rFonts w:ascii="Times New Roman" w:hAnsi="Times New Roman"/>
                <w:bCs/>
                <w:color w:val="000000" w:themeColor="text1"/>
              </w:rPr>
            </w:pPr>
            <w:r w:rsidRPr="00BE0521">
              <w:rPr>
                <w:rFonts w:ascii="Times New Roman" w:hAnsi="Times New Roman"/>
                <w:bCs/>
                <w:color w:val="000000" w:themeColor="text1"/>
              </w:rPr>
              <w:t>%</w:t>
            </w: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r w:rsidRPr="00BE0521">
              <w:rPr>
                <w:rFonts w:ascii="Times New Roman" w:hAnsi="Times New Roman"/>
                <w:color w:val="000000" w:themeColor="text1"/>
                <w:sz w:val="20"/>
                <w:szCs w:val="20"/>
              </w:rPr>
              <w:t>97,56</w:t>
            </w: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r w:rsidRPr="00BE0521">
              <w:rPr>
                <w:rFonts w:ascii="Times New Roman" w:hAnsi="Times New Roman"/>
                <w:color w:val="000000" w:themeColor="text1"/>
                <w:sz w:val="20"/>
                <w:szCs w:val="20"/>
              </w:rPr>
              <w:t>1,88</w:t>
            </w:r>
          </w:p>
        </w:tc>
        <w:tc>
          <w:tcPr>
            <w:tcW w:w="717"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r w:rsidRPr="00BE0521">
              <w:rPr>
                <w:rFonts w:ascii="Times New Roman" w:hAnsi="Times New Roman"/>
                <w:color w:val="000000" w:themeColor="text1"/>
                <w:sz w:val="20"/>
                <w:szCs w:val="20"/>
              </w:rPr>
              <w:t>0,28</w:t>
            </w: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r w:rsidRPr="00BE0521">
              <w:rPr>
                <w:rFonts w:ascii="Times New Roman" w:hAnsi="Times New Roman"/>
                <w:color w:val="000000" w:themeColor="text1"/>
                <w:sz w:val="20"/>
                <w:szCs w:val="20"/>
              </w:rPr>
              <w:t>0,14</w:t>
            </w: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r w:rsidRPr="00BE0521">
              <w:rPr>
                <w:rFonts w:ascii="Times New Roman" w:hAnsi="Times New Roman"/>
                <w:color w:val="000000" w:themeColor="text1"/>
                <w:sz w:val="20"/>
                <w:szCs w:val="20"/>
              </w:rPr>
              <w:t>0,07</w:t>
            </w:r>
          </w:p>
        </w:tc>
        <w:tc>
          <w:tcPr>
            <w:tcW w:w="717"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r w:rsidRPr="00BE0521">
              <w:rPr>
                <w:rFonts w:ascii="Times New Roman" w:hAnsi="Times New Roman"/>
                <w:color w:val="000000" w:themeColor="text1"/>
                <w:sz w:val="20"/>
                <w:szCs w:val="20"/>
              </w:rPr>
              <w:t>0,07</w:t>
            </w: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p>
        </w:tc>
        <w:tc>
          <w:tcPr>
            <w:tcW w:w="717"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p>
        </w:tc>
        <w:tc>
          <w:tcPr>
            <w:tcW w:w="717"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p>
        </w:tc>
      </w:tr>
      <w:tr w:rsidR="001628EA" w:rsidRPr="00BE0521" w:rsidTr="001628EA">
        <w:trPr>
          <w:trHeight w:val="212"/>
        </w:trPr>
        <w:tc>
          <w:tcPr>
            <w:tcW w:w="630" w:type="dxa"/>
            <w:vMerge w:val="restart"/>
            <w:vAlign w:val="center"/>
          </w:tcPr>
          <w:p w:rsidR="001628EA" w:rsidRPr="00BE0521" w:rsidRDefault="001628EA" w:rsidP="001628EA">
            <w:pPr>
              <w:autoSpaceDE w:val="0"/>
              <w:autoSpaceDN w:val="0"/>
              <w:adjustRightInd w:val="0"/>
              <w:spacing w:line="276" w:lineRule="auto"/>
              <w:rPr>
                <w:rFonts w:ascii="Times New Roman" w:hAnsi="Times New Roman"/>
                <w:bCs/>
                <w:color w:val="000000" w:themeColor="text1"/>
              </w:rPr>
            </w:pPr>
            <w:r w:rsidRPr="00BE0521">
              <w:rPr>
                <w:rFonts w:ascii="Times New Roman" w:hAnsi="Times New Roman"/>
                <w:bCs/>
                <w:color w:val="000000" w:themeColor="text1"/>
              </w:rPr>
              <w:t>2012.</w:t>
            </w:r>
          </w:p>
        </w:tc>
        <w:tc>
          <w:tcPr>
            <w:tcW w:w="350" w:type="dxa"/>
            <w:vAlign w:val="center"/>
          </w:tcPr>
          <w:p w:rsidR="001628EA" w:rsidRPr="00BE0521" w:rsidRDefault="001628EA" w:rsidP="001628EA">
            <w:pPr>
              <w:autoSpaceDE w:val="0"/>
              <w:autoSpaceDN w:val="0"/>
              <w:adjustRightInd w:val="0"/>
              <w:spacing w:line="276" w:lineRule="auto"/>
              <w:rPr>
                <w:rFonts w:ascii="Times New Roman" w:hAnsi="Times New Roman"/>
                <w:bCs/>
                <w:color w:val="000000" w:themeColor="text1"/>
              </w:rPr>
            </w:pPr>
            <w:r w:rsidRPr="00BE0521">
              <w:rPr>
                <w:rFonts w:ascii="Times New Roman" w:hAnsi="Times New Roman"/>
                <w:bCs/>
                <w:color w:val="000000" w:themeColor="text1"/>
              </w:rPr>
              <w:t>Br.</w:t>
            </w: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b/>
                <w:bCs/>
                <w:color w:val="000000" w:themeColor="text1"/>
                <w:sz w:val="20"/>
                <w:szCs w:val="20"/>
              </w:rPr>
            </w:pPr>
            <w:r w:rsidRPr="00BE0521">
              <w:rPr>
                <w:rFonts w:ascii="Times New Roman" w:hAnsi="Times New Roman"/>
                <w:b/>
                <w:bCs/>
                <w:color w:val="000000" w:themeColor="text1"/>
                <w:sz w:val="20"/>
                <w:szCs w:val="20"/>
              </w:rPr>
              <w:t>1415</w:t>
            </w: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b/>
                <w:bCs/>
                <w:color w:val="000000" w:themeColor="text1"/>
                <w:sz w:val="20"/>
                <w:szCs w:val="20"/>
              </w:rPr>
            </w:pPr>
            <w:r w:rsidRPr="00BE0521">
              <w:rPr>
                <w:rFonts w:ascii="Times New Roman" w:hAnsi="Times New Roman"/>
                <w:b/>
                <w:bCs/>
                <w:color w:val="000000" w:themeColor="text1"/>
                <w:sz w:val="20"/>
                <w:szCs w:val="20"/>
              </w:rPr>
              <w:t>14</w:t>
            </w:r>
          </w:p>
        </w:tc>
        <w:tc>
          <w:tcPr>
            <w:tcW w:w="717" w:type="dxa"/>
            <w:vAlign w:val="center"/>
          </w:tcPr>
          <w:p w:rsidR="001628EA" w:rsidRPr="00BE0521" w:rsidRDefault="001628EA" w:rsidP="001628EA">
            <w:pPr>
              <w:autoSpaceDE w:val="0"/>
              <w:autoSpaceDN w:val="0"/>
              <w:adjustRightInd w:val="0"/>
              <w:spacing w:line="276" w:lineRule="auto"/>
              <w:jc w:val="center"/>
              <w:rPr>
                <w:rFonts w:ascii="Times New Roman" w:hAnsi="Times New Roman"/>
                <w:b/>
                <w:bCs/>
                <w:color w:val="000000" w:themeColor="text1"/>
                <w:sz w:val="20"/>
                <w:szCs w:val="20"/>
              </w:rPr>
            </w:pPr>
            <w:r w:rsidRPr="00BE0521">
              <w:rPr>
                <w:rFonts w:ascii="Times New Roman" w:hAnsi="Times New Roman"/>
                <w:b/>
                <w:bCs/>
                <w:color w:val="000000" w:themeColor="text1"/>
                <w:sz w:val="20"/>
                <w:szCs w:val="20"/>
              </w:rPr>
              <w:t>8</w:t>
            </w: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b/>
                <w:bCs/>
                <w:color w:val="000000" w:themeColor="text1"/>
                <w:sz w:val="20"/>
                <w:szCs w:val="20"/>
              </w:rPr>
            </w:pP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b/>
                <w:bCs/>
                <w:color w:val="000000" w:themeColor="text1"/>
                <w:sz w:val="20"/>
                <w:szCs w:val="20"/>
              </w:rPr>
            </w:pPr>
          </w:p>
        </w:tc>
        <w:tc>
          <w:tcPr>
            <w:tcW w:w="717" w:type="dxa"/>
            <w:vAlign w:val="center"/>
          </w:tcPr>
          <w:p w:rsidR="001628EA" w:rsidRPr="00BE0521" w:rsidRDefault="001628EA" w:rsidP="001628EA">
            <w:pPr>
              <w:autoSpaceDE w:val="0"/>
              <w:autoSpaceDN w:val="0"/>
              <w:adjustRightInd w:val="0"/>
              <w:spacing w:line="276" w:lineRule="auto"/>
              <w:jc w:val="center"/>
              <w:rPr>
                <w:rFonts w:ascii="Times New Roman" w:hAnsi="Times New Roman"/>
                <w:b/>
                <w:bCs/>
                <w:color w:val="000000" w:themeColor="text1"/>
                <w:sz w:val="20"/>
                <w:szCs w:val="20"/>
              </w:rPr>
            </w:pPr>
          </w:p>
        </w:tc>
        <w:tc>
          <w:tcPr>
            <w:tcW w:w="716" w:type="dxa"/>
            <w:vAlign w:val="center"/>
          </w:tcPr>
          <w:p w:rsidR="001628EA" w:rsidRPr="00BE0521" w:rsidRDefault="001628EA" w:rsidP="001628EA">
            <w:pPr>
              <w:autoSpaceDE w:val="0"/>
              <w:autoSpaceDN w:val="0"/>
              <w:adjustRightInd w:val="0"/>
              <w:spacing w:line="276" w:lineRule="auto"/>
              <w:jc w:val="right"/>
              <w:rPr>
                <w:rFonts w:ascii="Times New Roman" w:hAnsi="Times New Roman"/>
                <w:color w:val="000000" w:themeColor="text1"/>
                <w:sz w:val="20"/>
                <w:szCs w:val="20"/>
              </w:rPr>
            </w:pP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p>
        </w:tc>
        <w:tc>
          <w:tcPr>
            <w:tcW w:w="717"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p>
        </w:tc>
        <w:tc>
          <w:tcPr>
            <w:tcW w:w="717"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r w:rsidRPr="00BE0521">
              <w:rPr>
                <w:rFonts w:ascii="Times New Roman" w:hAnsi="Times New Roman"/>
                <w:color w:val="000000" w:themeColor="text1"/>
                <w:sz w:val="20"/>
                <w:szCs w:val="20"/>
              </w:rPr>
              <w:t>1437</w:t>
            </w:r>
          </w:p>
        </w:tc>
      </w:tr>
      <w:tr w:rsidR="001628EA" w:rsidRPr="00BE0521" w:rsidTr="001628EA">
        <w:trPr>
          <w:trHeight w:val="212"/>
        </w:trPr>
        <w:tc>
          <w:tcPr>
            <w:tcW w:w="630" w:type="dxa"/>
            <w:vMerge/>
            <w:vAlign w:val="center"/>
          </w:tcPr>
          <w:p w:rsidR="001628EA" w:rsidRPr="00BE0521" w:rsidRDefault="001628EA" w:rsidP="001628EA">
            <w:pPr>
              <w:autoSpaceDE w:val="0"/>
              <w:autoSpaceDN w:val="0"/>
              <w:adjustRightInd w:val="0"/>
              <w:spacing w:line="276" w:lineRule="auto"/>
              <w:jc w:val="right"/>
              <w:rPr>
                <w:rFonts w:ascii="Times New Roman" w:hAnsi="Times New Roman"/>
                <w:bCs/>
                <w:color w:val="000000" w:themeColor="text1"/>
              </w:rPr>
            </w:pPr>
          </w:p>
        </w:tc>
        <w:tc>
          <w:tcPr>
            <w:tcW w:w="350" w:type="dxa"/>
            <w:vAlign w:val="center"/>
          </w:tcPr>
          <w:p w:rsidR="001628EA" w:rsidRPr="00BE0521" w:rsidRDefault="001628EA" w:rsidP="001628EA">
            <w:pPr>
              <w:autoSpaceDE w:val="0"/>
              <w:autoSpaceDN w:val="0"/>
              <w:adjustRightInd w:val="0"/>
              <w:spacing w:line="276" w:lineRule="auto"/>
              <w:jc w:val="right"/>
              <w:rPr>
                <w:rFonts w:ascii="Times New Roman" w:hAnsi="Times New Roman"/>
                <w:bCs/>
                <w:color w:val="000000" w:themeColor="text1"/>
              </w:rPr>
            </w:pPr>
            <w:r w:rsidRPr="00BE0521">
              <w:rPr>
                <w:rFonts w:ascii="Times New Roman" w:hAnsi="Times New Roman"/>
                <w:bCs/>
                <w:color w:val="000000" w:themeColor="text1"/>
              </w:rPr>
              <w:t>%</w:t>
            </w: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r w:rsidRPr="00BE0521">
              <w:rPr>
                <w:rFonts w:ascii="Times New Roman" w:hAnsi="Times New Roman"/>
                <w:color w:val="000000" w:themeColor="text1"/>
                <w:sz w:val="20"/>
                <w:szCs w:val="20"/>
              </w:rPr>
              <w:t>98,47</w:t>
            </w: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r w:rsidRPr="00BE0521">
              <w:rPr>
                <w:rFonts w:ascii="Times New Roman" w:hAnsi="Times New Roman"/>
                <w:color w:val="000000" w:themeColor="text1"/>
                <w:sz w:val="20"/>
                <w:szCs w:val="20"/>
              </w:rPr>
              <w:t>0,97</w:t>
            </w:r>
          </w:p>
        </w:tc>
        <w:tc>
          <w:tcPr>
            <w:tcW w:w="717"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r w:rsidRPr="00BE0521">
              <w:rPr>
                <w:rFonts w:ascii="Times New Roman" w:hAnsi="Times New Roman"/>
                <w:color w:val="000000" w:themeColor="text1"/>
                <w:sz w:val="20"/>
                <w:szCs w:val="20"/>
              </w:rPr>
              <w:t>0,56</w:t>
            </w: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p>
        </w:tc>
        <w:tc>
          <w:tcPr>
            <w:tcW w:w="717"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p>
        </w:tc>
        <w:tc>
          <w:tcPr>
            <w:tcW w:w="717"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p>
        </w:tc>
        <w:tc>
          <w:tcPr>
            <w:tcW w:w="717" w:type="dxa"/>
            <w:vAlign w:val="center"/>
          </w:tcPr>
          <w:p w:rsidR="001628EA" w:rsidRPr="00BE0521" w:rsidRDefault="001628EA" w:rsidP="001628EA">
            <w:pPr>
              <w:autoSpaceDE w:val="0"/>
              <w:autoSpaceDN w:val="0"/>
              <w:adjustRightInd w:val="0"/>
              <w:spacing w:line="276" w:lineRule="auto"/>
              <w:jc w:val="right"/>
              <w:rPr>
                <w:rFonts w:ascii="Times New Roman" w:hAnsi="Times New Roman"/>
                <w:color w:val="000000" w:themeColor="text1"/>
                <w:sz w:val="20"/>
                <w:szCs w:val="20"/>
              </w:rPr>
            </w:pPr>
          </w:p>
        </w:tc>
      </w:tr>
      <w:tr w:rsidR="001628EA" w:rsidRPr="00BE0521" w:rsidTr="001628EA">
        <w:trPr>
          <w:trHeight w:val="212"/>
        </w:trPr>
        <w:tc>
          <w:tcPr>
            <w:tcW w:w="630" w:type="dxa"/>
            <w:vMerge w:val="restart"/>
            <w:vAlign w:val="center"/>
          </w:tcPr>
          <w:p w:rsidR="001628EA" w:rsidRPr="00BE0521" w:rsidRDefault="001628EA" w:rsidP="001628EA">
            <w:pPr>
              <w:autoSpaceDE w:val="0"/>
              <w:autoSpaceDN w:val="0"/>
              <w:adjustRightInd w:val="0"/>
              <w:spacing w:line="276" w:lineRule="auto"/>
              <w:rPr>
                <w:rFonts w:ascii="Times New Roman" w:hAnsi="Times New Roman"/>
                <w:bCs/>
                <w:color w:val="000000" w:themeColor="text1"/>
              </w:rPr>
            </w:pPr>
            <w:r w:rsidRPr="00BE0521">
              <w:rPr>
                <w:rFonts w:ascii="Times New Roman" w:hAnsi="Times New Roman"/>
                <w:bCs/>
                <w:color w:val="000000" w:themeColor="text1"/>
              </w:rPr>
              <w:t>2013.</w:t>
            </w:r>
          </w:p>
        </w:tc>
        <w:tc>
          <w:tcPr>
            <w:tcW w:w="350" w:type="dxa"/>
            <w:vAlign w:val="center"/>
          </w:tcPr>
          <w:p w:rsidR="001628EA" w:rsidRPr="00BE0521" w:rsidRDefault="001628EA" w:rsidP="001628EA">
            <w:pPr>
              <w:autoSpaceDE w:val="0"/>
              <w:autoSpaceDN w:val="0"/>
              <w:adjustRightInd w:val="0"/>
              <w:spacing w:line="276" w:lineRule="auto"/>
              <w:rPr>
                <w:rFonts w:ascii="Times New Roman" w:hAnsi="Times New Roman"/>
                <w:bCs/>
                <w:color w:val="000000" w:themeColor="text1"/>
              </w:rPr>
            </w:pPr>
            <w:r w:rsidRPr="00BE0521">
              <w:rPr>
                <w:rFonts w:ascii="Times New Roman" w:hAnsi="Times New Roman"/>
                <w:bCs/>
                <w:color w:val="000000" w:themeColor="text1"/>
              </w:rPr>
              <w:t>Br.</w:t>
            </w: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b/>
                <w:bCs/>
                <w:color w:val="000000" w:themeColor="text1"/>
                <w:sz w:val="20"/>
                <w:szCs w:val="20"/>
              </w:rPr>
            </w:pPr>
            <w:r w:rsidRPr="00BE0521">
              <w:rPr>
                <w:rFonts w:ascii="Times New Roman" w:hAnsi="Times New Roman"/>
                <w:b/>
                <w:bCs/>
                <w:color w:val="000000" w:themeColor="text1"/>
                <w:sz w:val="20"/>
                <w:szCs w:val="20"/>
              </w:rPr>
              <w:t>1416</w:t>
            </w: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b/>
                <w:bCs/>
                <w:color w:val="000000" w:themeColor="text1"/>
                <w:sz w:val="20"/>
                <w:szCs w:val="20"/>
              </w:rPr>
            </w:pPr>
            <w:r w:rsidRPr="00BE0521">
              <w:rPr>
                <w:rFonts w:ascii="Times New Roman" w:hAnsi="Times New Roman"/>
                <w:b/>
                <w:bCs/>
                <w:color w:val="000000" w:themeColor="text1"/>
                <w:sz w:val="20"/>
                <w:szCs w:val="20"/>
              </w:rPr>
              <w:t>17</w:t>
            </w:r>
          </w:p>
        </w:tc>
        <w:tc>
          <w:tcPr>
            <w:tcW w:w="717" w:type="dxa"/>
            <w:vAlign w:val="center"/>
          </w:tcPr>
          <w:p w:rsidR="001628EA" w:rsidRPr="00BE0521" w:rsidRDefault="001628EA" w:rsidP="001628EA">
            <w:pPr>
              <w:autoSpaceDE w:val="0"/>
              <w:autoSpaceDN w:val="0"/>
              <w:adjustRightInd w:val="0"/>
              <w:spacing w:line="276" w:lineRule="auto"/>
              <w:jc w:val="center"/>
              <w:rPr>
                <w:rFonts w:ascii="Times New Roman" w:hAnsi="Times New Roman"/>
                <w:b/>
                <w:bCs/>
                <w:color w:val="000000" w:themeColor="text1"/>
                <w:sz w:val="20"/>
                <w:szCs w:val="20"/>
              </w:rPr>
            </w:pPr>
            <w:r w:rsidRPr="00BE0521">
              <w:rPr>
                <w:rFonts w:ascii="Times New Roman" w:hAnsi="Times New Roman"/>
                <w:b/>
                <w:bCs/>
                <w:color w:val="000000" w:themeColor="text1"/>
                <w:sz w:val="20"/>
                <w:szCs w:val="20"/>
              </w:rPr>
              <w:t>3</w:t>
            </w: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b/>
                <w:bCs/>
                <w:color w:val="000000" w:themeColor="text1"/>
                <w:sz w:val="20"/>
                <w:szCs w:val="20"/>
              </w:rPr>
            </w:pP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b/>
                <w:bCs/>
                <w:color w:val="000000" w:themeColor="text1"/>
                <w:sz w:val="20"/>
                <w:szCs w:val="20"/>
              </w:rPr>
            </w:pPr>
          </w:p>
        </w:tc>
        <w:tc>
          <w:tcPr>
            <w:tcW w:w="717" w:type="dxa"/>
            <w:vAlign w:val="center"/>
          </w:tcPr>
          <w:p w:rsidR="001628EA" w:rsidRPr="00BE0521" w:rsidRDefault="001628EA" w:rsidP="001628EA">
            <w:pPr>
              <w:autoSpaceDE w:val="0"/>
              <w:autoSpaceDN w:val="0"/>
              <w:adjustRightInd w:val="0"/>
              <w:spacing w:line="276" w:lineRule="auto"/>
              <w:jc w:val="center"/>
              <w:rPr>
                <w:rFonts w:ascii="Times New Roman" w:hAnsi="Times New Roman"/>
                <w:b/>
                <w:bCs/>
                <w:color w:val="000000" w:themeColor="text1"/>
                <w:sz w:val="20"/>
                <w:szCs w:val="20"/>
              </w:rPr>
            </w:pPr>
          </w:p>
        </w:tc>
        <w:tc>
          <w:tcPr>
            <w:tcW w:w="716" w:type="dxa"/>
            <w:vAlign w:val="center"/>
          </w:tcPr>
          <w:p w:rsidR="001628EA" w:rsidRPr="00BE0521" w:rsidRDefault="001628EA" w:rsidP="001628EA">
            <w:pPr>
              <w:autoSpaceDE w:val="0"/>
              <w:autoSpaceDN w:val="0"/>
              <w:adjustRightInd w:val="0"/>
              <w:spacing w:line="276" w:lineRule="auto"/>
              <w:jc w:val="right"/>
              <w:rPr>
                <w:rFonts w:ascii="Times New Roman" w:hAnsi="Times New Roman"/>
                <w:color w:val="000000" w:themeColor="text1"/>
                <w:sz w:val="20"/>
                <w:szCs w:val="20"/>
              </w:rPr>
            </w:pP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p>
        </w:tc>
        <w:tc>
          <w:tcPr>
            <w:tcW w:w="717"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p>
        </w:tc>
        <w:tc>
          <w:tcPr>
            <w:tcW w:w="717"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r w:rsidRPr="00BE0521">
              <w:rPr>
                <w:rFonts w:ascii="Times New Roman" w:hAnsi="Times New Roman"/>
                <w:color w:val="000000" w:themeColor="text1"/>
                <w:sz w:val="20"/>
                <w:szCs w:val="20"/>
              </w:rPr>
              <w:t>1436</w:t>
            </w:r>
          </w:p>
        </w:tc>
      </w:tr>
      <w:tr w:rsidR="001628EA" w:rsidRPr="00BE0521" w:rsidTr="001628EA">
        <w:trPr>
          <w:trHeight w:val="212"/>
        </w:trPr>
        <w:tc>
          <w:tcPr>
            <w:tcW w:w="630" w:type="dxa"/>
            <w:vMerge/>
            <w:vAlign w:val="center"/>
          </w:tcPr>
          <w:p w:rsidR="001628EA" w:rsidRPr="00BE0521" w:rsidRDefault="001628EA" w:rsidP="001628EA">
            <w:pPr>
              <w:autoSpaceDE w:val="0"/>
              <w:autoSpaceDN w:val="0"/>
              <w:adjustRightInd w:val="0"/>
              <w:spacing w:line="276" w:lineRule="auto"/>
              <w:jc w:val="right"/>
              <w:rPr>
                <w:rFonts w:ascii="Times New Roman" w:hAnsi="Times New Roman"/>
                <w:bCs/>
                <w:color w:val="000000" w:themeColor="text1"/>
              </w:rPr>
            </w:pPr>
          </w:p>
        </w:tc>
        <w:tc>
          <w:tcPr>
            <w:tcW w:w="350" w:type="dxa"/>
            <w:vAlign w:val="center"/>
          </w:tcPr>
          <w:p w:rsidR="001628EA" w:rsidRPr="00BE0521" w:rsidRDefault="001628EA" w:rsidP="001628EA">
            <w:pPr>
              <w:autoSpaceDE w:val="0"/>
              <w:autoSpaceDN w:val="0"/>
              <w:adjustRightInd w:val="0"/>
              <w:spacing w:line="276" w:lineRule="auto"/>
              <w:jc w:val="right"/>
              <w:rPr>
                <w:rFonts w:ascii="Times New Roman" w:hAnsi="Times New Roman"/>
                <w:bCs/>
                <w:color w:val="000000" w:themeColor="text1"/>
              </w:rPr>
            </w:pPr>
            <w:r w:rsidRPr="00BE0521">
              <w:rPr>
                <w:rFonts w:ascii="Times New Roman" w:hAnsi="Times New Roman"/>
                <w:bCs/>
                <w:color w:val="000000" w:themeColor="text1"/>
              </w:rPr>
              <w:t>%</w:t>
            </w: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r w:rsidRPr="00BE0521">
              <w:rPr>
                <w:rFonts w:ascii="Times New Roman" w:hAnsi="Times New Roman"/>
                <w:color w:val="000000" w:themeColor="text1"/>
                <w:sz w:val="20"/>
                <w:szCs w:val="20"/>
              </w:rPr>
              <w:t>98,61</w:t>
            </w: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r w:rsidRPr="00BE0521">
              <w:rPr>
                <w:rFonts w:ascii="Times New Roman" w:hAnsi="Times New Roman"/>
                <w:color w:val="000000" w:themeColor="text1"/>
                <w:sz w:val="20"/>
                <w:szCs w:val="20"/>
              </w:rPr>
              <w:t>1,18</w:t>
            </w:r>
          </w:p>
        </w:tc>
        <w:tc>
          <w:tcPr>
            <w:tcW w:w="717"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r w:rsidRPr="00BE0521">
              <w:rPr>
                <w:rFonts w:ascii="Times New Roman" w:hAnsi="Times New Roman"/>
                <w:color w:val="000000" w:themeColor="text1"/>
                <w:sz w:val="20"/>
                <w:szCs w:val="20"/>
              </w:rPr>
              <w:t>0,21</w:t>
            </w: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p>
        </w:tc>
        <w:tc>
          <w:tcPr>
            <w:tcW w:w="717"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p>
        </w:tc>
        <w:tc>
          <w:tcPr>
            <w:tcW w:w="717"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p>
        </w:tc>
        <w:tc>
          <w:tcPr>
            <w:tcW w:w="717" w:type="dxa"/>
            <w:vAlign w:val="center"/>
          </w:tcPr>
          <w:p w:rsidR="001628EA" w:rsidRPr="00BE0521" w:rsidRDefault="001628EA" w:rsidP="001628EA">
            <w:pPr>
              <w:autoSpaceDE w:val="0"/>
              <w:autoSpaceDN w:val="0"/>
              <w:adjustRightInd w:val="0"/>
              <w:spacing w:line="276" w:lineRule="auto"/>
              <w:jc w:val="right"/>
              <w:rPr>
                <w:rFonts w:ascii="Times New Roman" w:hAnsi="Times New Roman"/>
                <w:color w:val="000000" w:themeColor="text1"/>
                <w:sz w:val="20"/>
                <w:szCs w:val="20"/>
              </w:rPr>
            </w:pPr>
          </w:p>
        </w:tc>
      </w:tr>
      <w:tr w:rsidR="001628EA" w:rsidRPr="00BE0521" w:rsidTr="001628EA">
        <w:trPr>
          <w:trHeight w:val="212"/>
        </w:trPr>
        <w:tc>
          <w:tcPr>
            <w:tcW w:w="630" w:type="dxa"/>
            <w:vMerge w:val="restart"/>
            <w:vAlign w:val="center"/>
          </w:tcPr>
          <w:p w:rsidR="001628EA" w:rsidRPr="00BE0521" w:rsidRDefault="001628EA" w:rsidP="001628EA">
            <w:pPr>
              <w:autoSpaceDE w:val="0"/>
              <w:autoSpaceDN w:val="0"/>
              <w:adjustRightInd w:val="0"/>
              <w:spacing w:line="276" w:lineRule="auto"/>
              <w:rPr>
                <w:rFonts w:ascii="Times New Roman" w:hAnsi="Times New Roman"/>
                <w:bCs/>
                <w:color w:val="000000" w:themeColor="text1"/>
              </w:rPr>
            </w:pPr>
            <w:r w:rsidRPr="00BE0521">
              <w:rPr>
                <w:rFonts w:ascii="Times New Roman" w:hAnsi="Times New Roman"/>
                <w:bCs/>
                <w:color w:val="000000" w:themeColor="text1"/>
              </w:rPr>
              <w:t>2014.</w:t>
            </w:r>
          </w:p>
        </w:tc>
        <w:tc>
          <w:tcPr>
            <w:tcW w:w="350" w:type="dxa"/>
            <w:vAlign w:val="center"/>
          </w:tcPr>
          <w:p w:rsidR="001628EA" w:rsidRPr="00BE0521" w:rsidRDefault="001628EA" w:rsidP="001628EA">
            <w:pPr>
              <w:autoSpaceDE w:val="0"/>
              <w:autoSpaceDN w:val="0"/>
              <w:adjustRightInd w:val="0"/>
              <w:spacing w:line="276" w:lineRule="auto"/>
              <w:rPr>
                <w:rFonts w:ascii="Times New Roman" w:hAnsi="Times New Roman"/>
                <w:bCs/>
                <w:color w:val="000000" w:themeColor="text1"/>
              </w:rPr>
            </w:pPr>
            <w:r w:rsidRPr="00BE0521">
              <w:rPr>
                <w:rFonts w:ascii="Times New Roman" w:hAnsi="Times New Roman"/>
                <w:bCs/>
                <w:color w:val="000000" w:themeColor="text1"/>
              </w:rPr>
              <w:t>Br.</w:t>
            </w: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b/>
                <w:bCs/>
                <w:color w:val="000000" w:themeColor="text1"/>
                <w:sz w:val="20"/>
                <w:szCs w:val="20"/>
              </w:rPr>
            </w:pPr>
            <w:r w:rsidRPr="00BE0521">
              <w:rPr>
                <w:rFonts w:ascii="Times New Roman" w:hAnsi="Times New Roman"/>
                <w:b/>
                <w:bCs/>
                <w:color w:val="000000" w:themeColor="text1"/>
                <w:sz w:val="20"/>
                <w:szCs w:val="20"/>
              </w:rPr>
              <w:t>1445</w:t>
            </w: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b/>
                <w:bCs/>
                <w:color w:val="000000" w:themeColor="text1"/>
                <w:sz w:val="20"/>
                <w:szCs w:val="20"/>
              </w:rPr>
            </w:pPr>
            <w:r w:rsidRPr="00BE0521">
              <w:rPr>
                <w:rFonts w:ascii="Times New Roman" w:hAnsi="Times New Roman"/>
                <w:b/>
                <w:bCs/>
                <w:color w:val="000000" w:themeColor="text1"/>
                <w:sz w:val="20"/>
                <w:szCs w:val="20"/>
              </w:rPr>
              <w:t>12</w:t>
            </w:r>
          </w:p>
        </w:tc>
        <w:tc>
          <w:tcPr>
            <w:tcW w:w="717" w:type="dxa"/>
            <w:vAlign w:val="center"/>
          </w:tcPr>
          <w:p w:rsidR="001628EA" w:rsidRPr="00BE0521" w:rsidRDefault="001628EA" w:rsidP="001628EA">
            <w:pPr>
              <w:autoSpaceDE w:val="0"/>
              <w:autoSpaceDN w:val="0"/>
              <w:adjustRightInd w:val="0"/>
              <w:spacing w:line="276" w:lineRule="auto"/>
              <w:jc w:val="center"/>
              <w:rPr>
                <w:rFonts w:ascii="Times New Roman" w:hAnsi="Times New Roman"/>
                <w:b/>
                <w:bCs/>
                <w:color w:val="000000" w:themeColor="text1"/>
                <w:sz w:val="20"/>
                <w:szCs w:val="20"/>
              </w:rPr>
            </w:pPr>
            <w:r w:rsidRPr="00BE0521">
              <w:rPr>
                <w:rFonts w:ascii="Times New Roman" w:hAnsi="Times New Roman"/>
                <w:b/>
                <w:bCs/>
                <w:color w:val="000000" w:themeColor="text1"/>
                <w:sz w:val="20"/>
                <w:szCs w:val="20"/>
              </w:rPr>
              <w:t>3</w:t>
            </w: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p>
        </w:tc>
        <w:tc>
          <w:tcPr>
            <w:tcW w:w="717" w:type="dxa"/>
            <w:vAlign w:val="center"/>
          </w:tcPr>
          <w:p w:rsidR="001628EA" w:rsidRPr="00BE0521" w:rsidRDefault="001628EA" w:rsidP="001628EA">
            <w:pPr>
              <w:autoSpaceDE w:val="0"/>
              <w:autoSpaceDN w:val="0"/>
              <w:adjustRightInd w:val="0"/>
              <w:spacing w:line="276" w:lineRule="auto"/>
              <w:jc w:val="right"/>
              <w:rPr>
                <w:rFonts w:ascii="Times New Roman" w:hAnsi="Times New Roman"/>
                <w:color w:val="000000" w:themeColor="text1"/>
                <w:sz w:val="20"/>
                <w:szCs w:val="20"/>
              </w:rPr>
            </w:pPr>
          </w:p>
        </w:tc>
        <w:tc>
          <w:tcPr>
            <w:tcW w:w="716" w:type="dxa"/>
            <w:vAlign w:val="center"/>
          </w:tcPr>
          <w:p w:rsidR="001628EA" w:rsidRPr="00BE0521" w:rsidRDefault="001628EA" w:rsidP="001628EA">
            <w:pPr>
              <w:autoSpaceDE w:val="0"/>
              <w:autoSpaceDN w:val="0"/>
              <w:adjustRightInd w:val="0"/>
              <w:spacing w:line="276" w:lineRule="auto"/>
              <w:jc w:val="right"/>
              <w:rPr>
                <w:rFonts w:ascii="Times New Roman" w:hAnsi="Times New Roman"/>
                <w:color w:val="000000" w:themeColor="text1"/>
                <w:sz w:val="20"/>
                <w:szCs w:val="20"/>
              </w:rPr>
            </w:pP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p>
        </w:tc>
        <w:tc>
          <w:tcPr>
            <w:tcW w:w="717"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p>
        </w:tc>
        <w:tc>
          <w:tcPr>
            <w:tcW w:w="717"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r w:rsidRPr="00BE0521">
              <w:rPr>
                <w:rFonts w:ascii="Times New Roman" w:hAnsi="Times New Roman"/>
                <w:color w:val="000000" w:themeColor="text1"/>
                <w:sz w:val="20"/>
                <w:szCs w:val="20"/>
              </w:rPr>
              <w:t>1460</w:t>
            </w:r>
          </w:p>
        </w:tc>
      </w:tr>
      <w:tr w:rsidR="001628EA" w:rsidRPr="00BE0521" w:rsidTr="001628EA">
        <w:trPr>
          <w:trHeight w:val="212"/>
        </w:trPr>
        <w:tc>
          <w:tcPr>
            <w:tcW w:w="630" w:type="dxa"/>
            <w:vMerge/>
            <w:vAlign w:val="center"/>
          </w:tcPr>
          <w:p w:rsidR="001628EA" w:rsidRPr="00BE0521" w:rsidRDefault="001628EA" w:rsidP="001628EA">
            <w:pPr>
              <w:autoSpaceDE w:val="0"/>
              <w:autoSpaceDN w:val="0"/>
              <w:adjustRightInd w:val="0"/>
              <w:spacing w:line="276" w:lineRule="auto"/>
              <w:jc w:val="right"/>
              <w:rPr>
                <w:rFonts w:ascii="Times New Roman" w:hAnsi="Times New Roman"/>
                <w:color w:val="000000" w:themeColor="text1"/>
              </w:rPr>
            </w:pPr>
          </w:p>
        </w:tc>
        <w:tc>
          <w:tcPr>
            <w:tcW w:w="350" w:type="dxa"/>
            <w:vAlign w:val="center"/>
          </w:tcPr>
          <w:p w:rsidR="001628EA" w:rsidRPr="00BE0521" w:rsidRDefault="001628EA" w:rsidP="001628EA">
            <w:pPr>
              <w:autoSpaceDE w:val="0"/>
              <w:autoSpaceDN w:val="0"/>
              <w:adjustRightInd w:val="0"/>
              <w:spacing w:line="276" w:lineRule="auto"/>
              <w:jc w:val="right"/>
              <w:rPr>
                <w:rFonts w:ascii="Times New Roman" w:hAnsi="Times New Roman"/>
                <w:color w:val="000000" w:themeColor="text1"/>
              </w:rPr>
            </w:pPr>
            <w:r w:rsidRPr="00BE0521">
              <w:rPr>
                <w:rFonts w:ascii="Times New Roman" w:hAnsi="Times New Roman"/>
                <w:color w:val="000000" w:themeColor="text1"/>
              </w:rPr>
              <w:t>%</w:t>
            </w: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r w:rsidRPr="00BE0521">
              <w:rPr>
                <w:rFonts w:ascii="Times New Roman" w:hAnsi="Times New Roman"/>
                <w:color w:val="000000" w:themeColor="text1"/>
                <w:sz w:val="20"/>
                <w:szCs w:val="20"/>
              </w:rPr>
              <w:t>98,97</w:t>
            </w: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r w:rsidRPr="00BE0521">
              <w:rPr>
                <w:rFonts w:ascii="Times New Roman" w:hAnsi="Times New Roman"/>
                <w:color w:val="000000" w:themeColor="text1"/>
                <w:sz w:val="20"/>
                <w:szCs w:val="20"/>
              </w:rPr>
              <w:t>0,82</w:t>
            </w:r>
          </w:p>
        </w:tc>
        <w:tc>
          <w:tcPr>
            <w:tcW w:w="717"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r w:rsidRPr="00BE0521">
              <w:rPr>
                <w:rFonts w:ascii="Times New Roman" w:hAnsi="Times New Roman"/>
                <w:color w:val="000000" w:themeColor="text1"/>
                <w:sz w:val="20"/>
                <w:szCs w:val="20"/>
              </w:rPr>
              <w:t>0,21</w:t>
            </w:r>
          </w:p>
        </w:tc>
        <w:tc>
          <w:tcPr>
            <w:tcW w:w="716" w:type="dxa"/>
            <w:vAlign w:val="center"/>
          </w:tcPr>
          <w:p w:rsidR="001628EA" w:rsidRPr="00BE0521" w:rsidRDefault="001628EA" w:rsidP="001628EA">
            <w:pPr>
              <w:autoSpaceDE w:val="0"/>
              <w:autoSpaceDN w:val="0"/>
              <w:adjustRightInd w:val="0"/>
              <w:spacing w:line="276" w:lineRule="auto"/>
              <w:jc w:val="right"/>
              <w:rPr>
                <w:rFonts w:ascii="Times New Roman" w:hAnsi="Times New Roman"/>
                <w:color w:val="000000" w:themeColor="text1"/>
                <w:sz w:val="20"/>
                <w:szCs w:val="20"/>
              </w:rPr>
            </w:pPr>
          </w:p>
        </w:tc>
        <w:tc>
          <w:tcPr>
            <w:tcW w:w="716" w:type="dxa"/>
            <w:vAlign w:val="center"/>
          </w:tcPr>
          <w:p w:rsidR="001628EA" w:rsidRPr="00BE0521" w:rsidRDefault="001628EA" w:rsidP="001628EA">
            <w:pPr>
              <w:autoSpaceDE w:val="0"/>
              <w:autoSpaceDN w:val="0"/>
              <w:adjustRightInd w:val="0"/>
              <w:spacing w:line="276" w:lineRule="auto"/>
              <w:jc w:val="right"/>
              <w:rPr>
                <w:rFonts w:ascii="Times New Roman" w:hAnsi="Times New Roman"/>
                <w:color w:val="000000" w:themeColor="text1"/>
                <w:sz w:val="20"/>
                <w:szCs w:val="20"/>
              </w:rPr>
            </w:pPr>
          </w:p>
        </w:tc>
        <w:tc>
          <w:tcPr>
            <w:tcW w:w="717" w:type="dxa"/>
            <w:vAlign w:val="center"/>
          </w:tcPr>
          <w:p w:rsidR="001628EA" w:rsidRPr="00BE0521" w:rsidRDefault="001628EA" w:rsidP="001628EA">
            <w:pPr>
              <w:autoSpaceDE w:val="0"/>
              <w:autoSpaceDN w:val="0"/>
              <w:adjustRightInd w:val="0"/>
              <w:spacing w:line="276" w:lineRule="auto"/>
              <w:jc w:val="right"/>
              <w:rPr>
                <w:rFonts w:ascii="Times New Roman" w:hAnsi="Times New Roman"/>
                <w:color w:val="000000" w:themeColor="text1"/>
                <w:sz w:val="20"/>
                <w:szCs w:val="20"/>
              </w:rPr>
            </w:pPr>
          </w:p>
        </w:tc>
        <w:tc>
          <w:tcPr>
            <w:tcW w:w="716" w:type="dxa"/>
            <w:vAlign w:val="center"/>
          </w:tcPr>
          <w:p w:rsidR="001628EA" w:rsidRPr="00BE0521" w:rsidRDefault="001628EA" w:rsidP="001628EA">
            <w:pPr>
              <w:autoSpaceDE w:val="0"/>
              <w:autoSpaceDN w:val="0"/>
              <w:adjustRightInd w:val="0"/>
              <w:spacing w:line="276" w:lineRule="auto"/>
              <w:jc w:val="right"/>
              <w:rPr>
                <w:rFonts w:ascii="Times New Roman" w:hAnsi="Times New Roman"/>
                <w:color w:val="000000" w:themeColor="text1"/>
                <w:sz w:val="20"/>
                <w:szCs w:val="20"/>
              </w:rPr>
            </w:pP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p>
        </w:tc>
        <w:tc>
          <w:tcPr>
            <w:tcW w:w="717"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p>
        </w:tc>
        <w:tc>
          <w:tcPr>
            <w:tcW w:w="717" w:type="dxa"/>
            <w:vAlign w:val="center"/>
          </w:tcPr>
          <w:p w:rsidR="001628EA" w:rsidRPr="00BE0521" w:rsidRDefault="001628EA" w:rsidP="001628EA">
            <w:pPr>
              <w:autoSpaceDE w:val="0"/>
              <w:autoSpaceDN w:val="0"/>
              <w:adjustRightInd w:val="0"/>
              <w:spacing w:line="276" w:lineRule="auto"/>
              <w:jc w:val="right"/>
              <w:rPr>
                <w:rFonts w:ascii="Times New Roman" w:hAnsi="Times New Roman"/>
                <w:color w:val="000000" w:themeColor="text1"/>
                <w:sz w:val="20"/>
                <w:szCs w:val="20"/>
              </w:rPr>
            </w:pPr>
          </w:p>
        </w:tc>
      </w:tr>
      <w:tr w:rsidR="001628EA" w:rsidRPr="00BE0521" w:rsidTr="001628EA">
        <w:trPr>
          <w:trHeight w:val="212"/>
        </w:trPr>
        <w:tc>
          <w:tcPr>
            <w:tcW w:w="630" w:type="dxa"/>
            <w:vMerge w:val="restart"/>
            <w:vAlign w:val="center"/>
          </w:tcPr>
          <w:p w:rsidR="001628EA" w:rsidRPr="00BE0521" w:rsidRDefault="001628EA" w:rsidP="001628EA">
            <w:pPr>
              <w:autoSpaceDE w:val="0"/>
              <w:autoSpaceDN w:val="0"/>
              <w:adjustRightInd w:val="0"/>
              <w:spacing w:line="276" w:lineRule="auto"/>
              <w:rPr>
                <w:rFonts w:ascii="Times New Roman" w:hAnsi="Times New Roman"/>
                <w:bCs/>
                <w:color w:val="000000" w:themeColor="text1"/>
              </w:rPr>
            </w:pPr>
            <w:r w:rsidRPr="00BE0521">
              <w:rPr>
                <w:rFonts w:ascii="Times New Roman" w:hAnsi="Times New Roman"/>
                <w:bCs/>
                <w:color w:val="000000" w:themeColor="text1"/>
              </w:rPr>
              <w:t>2015.</w:t>
            </w:r>
          </w:p>
        </w:tc>
        <w:tc>
          <w:tcPr>
            <w:tcW w:w="350" w:type="dxa"/>
            <w:vAlign w:val="center"/>
          </w:tcPr>
          <w:p w:rsidR="001628EA" w:rsidRPr="00BE0521" w:rsidRDefault="001628EA" w:rsidP="001628EA">
            <w:pPr>
              <w:autoSpaceDE w:val="0"/>
              <w:autoSpaceDN w:val="0"/>
              <w:adjustRightInd w:val="0"/>
              <w:spacing w:line="276" w:lineRule="auto"/>
              <w:rPr>
                <w:rFonts w:ascii="Times New Roman" w:hAnsi="Times New Roman"/>
                <w:bCs/>
                <w:color w:val="000000" w:themeColor="text1"/>
              </w:rPr>
            </w:pPr>
            <w:r w:rsidRPr="00BE0521">
              <w:rPr>
                <w:rFonts w:ascii="Times New Roman" w:hAnsi="Times New Roman"/>
                <w:bCs/>
                <w:color w:val="000000" w:themeColor="text1"/>
              </w:rPr>
              <w:t>Br.</w:t>
            </w: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b/>
                <w:bCs/>
                <w:color w:val="000000" w:themeColor="text1"/>
                <w:sz w:val="20"/>
                <w:szCs w:val="20"/>
              </w:rPr>
            </w:pPr>
            <w:r w:rsidRPr="00BE0521">
              <w:rPr>
                <w:rFonts w:ascii="Times New Roman" w:hAnsi="Times New Roman"/>
                <w:b/>
                <w:bCs/>
                <w:color w:val="000000" w:themeColor="text1"/>
                <w:sz w:val="20"/>
                <w:szCs w:val="20"/>
              </w:rPr>
              <w:t>1454</w:t>
            </w: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b/>
                <w:bCs/>
                <w:color w:val="000000" w:themeColor="text1"/>
                <w:sz w:val="20"/>
                <w:szCs w:val="20"/>
              </w:rPr>
            </w:pPr>
            <w:r w:rsidRPr="00BE0521">
              <w:rPr>
                <w:rFonts w:ascii="Times New Roman" w:hAnsi="Times New Roman"/>
                <w:b/>
                <w:bCs/>
                <w:color w:val="000000" w:themeColor="text1"/>
                <w:sz w:val="20"/>
                <w:szCs w:val="20"/>
              </w:rPr>
              <w:t>22</w:t>
            </w:r>
          </w:p>
        </w:tc>
        <w:tc>
          <w:tcPr>
            <w:tcW w:w="717" w:type="dxa"/>
            <w:vAlign w:val="center"/>
          </w:tcPr>
          <w:p w:rsidR="001628EA" w:rsidRPr="00BE0521" w:rsidRDefault="001628EA" w:rsidP="001628EA">
            <w:pPr>
              <w:autoSpaceDE w:val="0"/>
              <w:autoSpaceDN w:val="0"/>
              <w:adjustRightInd w:val="0"/>
              <w:spacing w:line="276" w:lineRule="auto"/>
              <w:jc w:val="center"/>
              <w:rPr>
                <w:rFonts w:ascii="Times New Roman" w:hAnsi="Times New Roman"/>
                <w:b/>
                <w:bCs/>
                <w:color w:val="000000" w:themeColor="text1"/>
                <w:sz w:val="20"/>
                <w:szCs w:val="20"/>
              </w:rPr>
            </w:pPr>
            <w:r w:rsidRPr="00BE0521">
              <w:rPr>
                <w:rFonts w:ascii="Times New Roman" w:hAnsi="Times New Roman"/>
                <w:b/>
                <w:bCs/>
                <w:color w:val="000000" w:themeColor="text1"/>
                <w:sz w:val="20"/>
                <w:szCs w:val="20"/>
              </w:rPr>
              <w:t>5</w:t>
            </w: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r w:rsidRPr="00BE0521">
              <w:rPr>
                <w:rFonts w:ascii="Times New Roman" w:hAnsi="Times New Roman"/>
                <w:color w:val="000000" w:themeColor="text1"/>
                <w:sz w:val="20"/>
                <w:szCs w:val="20"/>
              </w:rPr>
              <w:t>1</w:t>
            </w: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r w:rsidRPr="00BE0521">
              <w:rPr>
                <w:rFonts w:ascii="Times New Roman" w:hAnsi="Times New Roman"/>
                <w:color w:val="000000" w:themeColor="text1"/>
                <w:sz w:val="20"/>
                <w:szCs w:val="20"/>
              </w:rPr>
              <w:t>3</w:t>
            </w:r>
          </w:p>
        </w:tc>
        <w:tc>
          <w:tcPr>
            <w:tcW w:w="717"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r w:rsidRPr="00BE0521">
              <w:rPr>
                <w:rFonts w:ascii="Times New Roman" w:hAnsi="Times New Roman"/>
                <w:color w:val="000000" w:themeColor="text1"/>
                <w:sz w:val="20"/>
                <w:szCs w:val="20"/>
              </w:rPr>
              <w:t>1</w:t>
            </w: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r w:rsidRPr="00BE0521">
              <w:rPr>
                <w:rFonts w:ascii="Times New Roman" w:hAnsi="Times New Roman"/>
                <w:color w:val="000000" w:themeColor="text1"/>
                <w:sz w:val="20"/>
                <w:szCs w:val="20"/>
              </w:rPr>
              <w:t>1</w:t>
            </w:r>
          </w:p>
        </w:tc>
        <w:tc>
          <w:tcPr>
            <w:tcW w:w="717"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p>
        </w:tc>
        <w:tc>
          <w:tcPr>
            <w:tcW w:w="717"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r w:rsidRPr="00BE0521">
              <w:rPr>
                <w:rFonts w:ascii="Times New Roman" w:hAnsi="Times New Roman"/>
                <w:color w:val="000000" w:themeColor="text1"/>
                <w:sz w:val="20"/>
                <w:szCs w:val="20"/>
              </w:rPr>
              <w:t>1487</w:t>
            </w:r>
          </w:p>
        </w:tc>
      </w:tr>
      <w:tr w:rsidR="001628EA" w:rsidRPr="00BE0521" w:rsidTr="001628EA">
        <w:trPr>
          <w:trHeight w:val="212"/>
        </w:trPr>
        <w:tc>
          <w:tcPr>
            <w:tcW w:w="630" w:type="dxa"/>
            <w:vMerge/>
            <w:vAlign w:val="center"/>
          </w:tcPr>
          <w:p w:rsidR="001628EA" w:rsidRPr="00BE0521" w:rsidRDefault="001628EA" w:rsidP="001628EA">
            <w:pPr>
              <w:autoSpaceDE w:val="0"/>
              <w:autoSpaceDN w:val="0"/>
              <w:adjustRightInd w:val="0"/>
              <w:spacing w:line="276" w:lineRule="auto"/>
              <w:jc w:val="right"/>
              <w:rPr>
                <w:rFonts w:ascii="Times New Roman" w:hAnsi="Times New Roman"/>
                <w:color w:val="000000" w:themeColor="text1"/>
              </w:rPr>
            </w:pPr>
          </w:p>
        </w:tc>
        <w:tc>
          <w:tcPr>
            <w:tcW w:w="350" w:type="dxa"/>
            <w:vAlign w:val="center"/>
          </w:tcPr>
          <w:p w:rsidR="001628EA" w:rsidRPr="00BE0521" w:rsidRDefault="001628EA" w:rsidP="001628EA">
            <w:pPr>
              <w:autoSpaceDE w:val="0"/>
              <w:autoSpaceDN w:val="0"/>
              <w:adjustRightInd w:val="0"/>
              <w:spacing w:line="276" w:lineRule="auto"/>
              <w:jc w:val="right"/>
              <w:rPr>
                <w:rFonts w:ascii="Times New Roman" w:hAnsi="Times New Roman"/>
                <w:color w:val="000000" w:themeColor="text1"/>
              </w:rPr>
            </w:pPr>
            <w:r w:rsidRPr="00BE0521">
              <w:rPr>
                <w:rFonts w:ascii="Times New Roman" w:hAnsi="Times New Roman"/>
                <w:color w:val="000000" w:themeColor="text1"/>
              </w:rPr>
              <w:t>%</w:t>
            </w: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r w:rsidRPr="00BE0521">
              <w:rPr>
                <w:rFonts w:ascii="Times New Roman" w:hAnsi="Times New Roman"/>
                <w:color w:val="000000" w:themeColor="text1"/>
                <w:sz w:val="20"/>
                <w:szCs w:val="20"/>
              </w:rPr>
              <w:t>97,78</w:t>
            </w: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r w:rsidRPr="00BE0521">
              <w:rPr>
                <w:rFonts w:ascii="Times New Roman" w:hAnsi="Times New Roman"/>
                <w:color w:val="000000" w:themeColor="text1"/>
                <w:sz w:val="20"/>
                <w:szCs w:val="20"/>
              </w:rPr>
              <w:t>1,48</w:t>
            </w:r>
          </w:p>
        </w:tc>
        <w:tc>
          <w:tcPr>
            <w:tcW w:w="717"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r w:rsidRPr="00BE0521">
              <w:rPr>
                <w:rFonts w:ascii="Times New Roman" w:hAnsi="Times New Roman"/>
                <w:color w:val="000000" w:themeColor="text1"/>
                <w:sz w:val="20"/>
                <w:szCs w:val="20"/>
              </w:rPr>
              <w:t>0,34</w:t>
            </w: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r w:rsidRPr="00BE0521">
              <w:rPr>
                <w:rFonts w:ascii="Times New Roman" w:hAnsi="Times New Roman"/>
                <w:color w:val="000000" w:themeColor="text1"/>
                <w:sz w:val="20"/>
                <w:szCs w:val="20"/>
              </w:rPr>
              <w:t>0,07</w:t>
            </w: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r w:rsidRPr="00BE0521">
              <w:rPr>
                <w:rFonts w:ascii="Times New Roman" w:hAnsi="Times New Roman"/>
                <w:color w:val="000000" w:themeColor="text1"/>
                <w:sz w:val="20"/>
                <w:szCs w:val="20"/>
              </w:rPr>
              <w:t>0,20</w:t>
            </w:r>
          </w:p>
        </w:tc>
        <w:tc>
          <w:tcPr>
            <w:tcW w:w="717"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r w:rsidRPr="00BE0521">
              <w:rPr>
                <w:rFonts w:ascii="Times New Roman" w:hAnsi="Times New Roman"/>
                <w:color w:val="000000" w:themeColor="text1"/>
                <w:sz w:val="20"/>
                <w:szCs w:val="20"/>
              </w:rPr>
              <w:t>0,07</w:t>
            </w:r>
          </w:p>
        </w:tc>
        <w:tc>
          <w:tcPr>
            <w:tcW w:w="716" w:type="dxa"/>
            <w:vAlign w:val="center"/>
          </w:tcPr>
          <w:p w:rsidR="001628EA" w:rsidRPr="00BE0521" w:rsidRDefault="001628EA" w:rsidP="001628EA">
            <w:pPr>
              <w:autoSpaceDE w:val="0"/>
              <w:autoSpaceDN w:val="0"/>
              <w:adjustRightInd w:val="0"/>
              <w:spacing w:line="276" w:lineRule="auto"/>
              <w:jc w:val="right"/>
              <w:rPr>
                <w:rFonts w:ascii="Times New Roman" w:hAnsi="Times New Roman"/>
                <w:color w:val="000000" w:themeColor="text1"/>
                <w:sz w:val="20"/>
                <w:szCs w:val="20"/>
              </w:rPr>
            </w:pP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r w:rsidRPr="00BE0521">
              <w:rPr>
                <w:rFonts w:ascii="Times New Roman" w:hAnsi="Times New Roman"/>
                <w:color w:val="000000" w:themeColor="text1"/>
                <w:sz w:val="20"/>
                <w:szCs w:val="20"/>
              </w:rPr>
              <w:t>0,07</w:t>
            </w:r>
          </w:p>
        </w:tc>
        <w:tc>
          <w:tcPr>
            <w:tcW w:w="717"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p>
        </w:tc>
        <w:tc>
          <w:tcPr>
            <w:tcW w:w="716" w:type="dxa"/>
            <w:vAlign w:val="center"/>
          </w:tcPr>
          <w:p w:rsidR="001628EA" w:rsidRPr="00BE0521" w:rsidRDefault="001628EA" w:rsidP="001628EA">
            <w:pPr>
              <w:autoSpaceDE w:val="0"/>
              <w:autoSpaceDN w:val="0"/>
              <w:adjustRightInd w:val="0"/>
              <w:spacing w:line="276" w:lineRule="auto"/>
              <w:jc w:val="center"/>
              <w:rPr>
                <w:rFonts w:ascii="Times New Roman" w:hAnsi="Times New Roman"/>
                <w:color w:val="000000" w:themeColor="text1"/>
                <w:sz w:val="20"/>
                <w:szCs w:val="20"/>
              </w:rPr>
            </w:pPr>
          </w:p>
        </w:tc>
        <w:tc>
          <w:tcPr>
            <w:tcW w:w="717" w:type="dxa"/>
            <w:vAlign w:val="center"/>
          </w:tcPr>
          <w:p w:rsidR="001628EA" w:rsidRPr="00BE0521" w:rsidRDefault="001628EA" w:rsidP="001628EA">
            <w:pPr>
              <w:autoSpaceDE w:val="0"/>
              <w:autoSpaceDN w:val="0"/>
              <w:adjustRightInd w:val="0"/>
              <w:spacing w:line="276" w:lineRule="auto"/>
              <w:jc w:val="right"/>
              <w:rPr>
                <w:rFonts w:ascii="Times New Roman" w:hAnsi="Times New Roman"/>
                <w:color w:val="000000" w:themeColor="text1"/>
                <w:sz w:val="20"/>
                <w:szCs w:val="20"/>
              </w:rPr>
            </w:pPr>
          </w:p>
        </w:tc>
      </w:tr>
    </w:tbl>
    <w:p w:rsidR="00A131AD" w:rsidRPr="00155F80" w:rsidRDefault="00A131AD" w:rsidP="000C0138">
      <w:pPr>
        <w:spacing w:line="276" w:lineRule="auto"/>
        <w:rPr>
          <w:rFonts w:ascii="Times New Roman" w:hAnsi="Times New Roman"/>
        </w:rPr>
      </w:pPr>
    </w:p>
    <w:p w:rsidR="00A131AD" w:rsidRPr="00155F80" w:rsidRDefault="00A131AD" w:rsidP="000C0138">
      <w:pPr>
        <w:spacing w:line="276" w:lineRule="auto"/>
        <w:rPr>
          <w:rFonts w:ascii="Times New Roman" w:hAnsi="Times New Roman"/>
        </w:rPr>
      </w:pPr>
      <w:r w:rsidRPr="00155F80">
        <w:rPr>
          <w:rFonts w:ascii="Times New Roman" w:hAnsi="Times New Roman"/>
        </w:rPr>
        <w:t xml:space="preserve">Od ukupnog broja uposlenika, više od 97% je primilo godišnju dozu manju od 1 mSv, što je na </w:t>
      </w:r>
      <w:r w:rsidR="00BD1A28">
        <w:rPr>
          <w:rFonts w:ascii="Times New Roman" w:hAnsi="Times New Roman"/>
        </w:rPr>
        <w:t>razini</w:t>
      </w:r>
      <w:r w:rsidRPr="00155F80">
        <w:rPr>
          <w:rFonts w:ascii="Times New Roman" w:hAnsi="Times New Roman"/>
        </w:rPr>
        <w:t xml:space="preserve"> dozvoljenih vrijednosti za stanovništvo. U proteklom </w:t>
      </w:r>
      <w:r w:rsidR="00BD1A28">
        <w:rPr>
          <w:rFonts w:ascii="Times New Roman" w:hAnsi="Times New Roman"/>
        </w:rPr>
        <w:t>razdoblju</w:t>
      </w:r>
      <w:r w:rsidRPr="00155F80">
        <w:rPr>
          <w:rFonts w:ascii="Times New Roman" w:hAnsi="Times New Roman"/>
        </w:rPr>
        <w:t xml:space="preserve"> nijedan uposlenik nije primio godišnju dozu veću od 10 mSv. Mali je broj </w:t>
      </w:r>
      <w:r w:rsidR="00BD1A28">
        <w:rPr>
          <w:rFonts w:ascii="Times New Roman" w:hAnsi="Times New Roman"/>
        </w:rPr>
        <w:t>osoba</w:t>
      </w:r>
      <w:r w:rsidRPr="00155F80">
        <w:rPr>
          <w:rFonts w:ascii="Times New Roman" w:hAnsi="Times New Roman"/>
        </w:rPr>
        <w:t xml:space="preserve"> sa dozom većom od 2 mSv.</w:t>
      </w:r>
    </w:p>
    <w:p w:rsidR="007A7E4A" w:rsidRDefault="00A131AD" w:rsidP="007A7E4A">
      <w:pPr>
        <w:spacing w:line="276" w:lineRule="auto"/>
        <w:rPr>
          <w:rFonts w:ascii="Times New Roman" w:hAnsi="Times New Roman"/>
        </w:rPr>
      </w:pPr>
      <w:r w:rsidRPr="00155F80">
        <w:rPr>
          <w:rFonts w:ascii="Times New Roman" w:hAnsi="Times New Roman"/>
        </w:rPr>
        <w:t>Zavisno od djelatnosti variraju i primljene godišnje doze  profesionalne  uposlenika i  prezentirane su u  tabli</w:t>
      </w:r>
      <w:r w:rsidR="00BD1A28">
        <w:rPr>
          <w:rFonts w:ascii="Times New Roman" w:hAnsi="Times New Roman"/>
        </w:rPr>
        <w:t>ci</w:t>
      </w:r>
      <w:r w:rsidRPr="00155F80">
        <w:rPr>
          <w:rFonts w:ascii="Times New Roman" w:hAnsi="Times New Roman"/>
        </w:rPr>
        <w:t xml:space="preserve"> koja slijedi.</w:t>
      </w:r>
    </w:p>
    <w:p w:rsidR="00B560D0" w:rsidRDefault="00B560D0" w:rsidP="007A7E4A">
      <w:pPr>
        <w:spacing w:line="276" w:lineRule="auto"/>
        <w:rPr>
          <w:rFonts w:ascii="Times New Roman" w:hAnsi="Times New Roman"/>
        </w:rPr>
      </w:pPr>
    </w:p>
    <w:p w:rsidR="00B560D0" w:rsidRDefault="00B560D0" w:rsidP="007A7E4A">
      <w:pPr>
        <w:spacing w:line="276" w:lineRule="auto"/>
        <w:rPr>
          <w:rFonts w:ascii="Times New Roman" w:hAnsi="Times New Roman"/>
        </w:rPr>
      </w:pPr>
    </w:p>
    <w:p w:rsidR="00B560D0" w:rsidRDefault="00B560D0" w:rsidP="007A7E4A">
      <w:pPr>
        <w:spacing w:line="276" w:lineRule="auto"/>
        <w:rPr>
          <w:rFonts w:ascii="Times New Roman" w:hAnsi="Times New Roman"/>
        </w:rPr>
      </w:pPr>
    </w:p>
    <w:p w:rsidR="00B560D0" w:rsidRDefault="00B560D0" w:rsidP="007A7E4A">
      <w:pPr>
        <w:spacing w:line="276" w:lineRule="auto"/>
        <w:rPr>
          <w:rFonts w:ascii="Times New Roman" w:hAnsi="Times New Roman"/>
        </w:rPr>
      </w:pPr>
    </w:p>
    <w:p w:rsidR="00B560D0" w:rsidRDefault="00B560D0" w:rsidP="007A7E4A">
      <w:pPr>
        <w:spacing w:line="276" w:lineRule="auto"/>
        <w:rPr>
          <w:rFonts w:ascii="Times New Roman" w:hAnsi="Times New Roman"/>
        </w:rPr>
      </w:pPr>
    </w:p>
    <w:p w:rsidR="00A131AD" w:rsidRPr="00B560D0" w:rsidRDefault="00A131AD" w:rsidP="00B560D0">
      <w:pPr>
        <w:pStyle w:val="refererere"/>
        <w:shd w:val="clear" w:color="auto" w:fill="FFFFFF" w:themeFill="background1"/>
        <w:rPr>
          <w:b/>
        </w:rPr>
      </w:pPr>
      <w:r w:rsidRPr="00155F80">
        <w:lastRenderedPageBreak/>
        <w:t>Tabl</w:t>
      </w:r>
      <w:r w:rsidR="00BD1A28">
        <w:t>ic</w:t>
      </w:r>
      <w:r w:rsidRPr="00155F80">
        <w:t xml:space="preserve">a 13: Pregled kolektivnih doza (mSv) u zavisnosti od djelatnosti za </w:t>
      </w:r>
      <w:r w:rsidR="00BD1A28">
        <w:t xml:space="preserve">razdoblje </w:t>
      </w:r>
      <w:r w:rsidRPr="00155F80">
        <w:t>2010.-</w:t>
      </w:r>
      <w:smartTag w:uri="urn:schemas-microsoft-com:office:smarttags" w:element="metricconverter">
        <w:smartTagPr>
          <w:attr w:name="ProductID" w:val="2015. g"/>
        </w:smartTagPr>
        <w:r w:rsidRPr="00155F80">
          <w:t>2015. g</w:t>
        </w:r>
      </w:smartTag>
      <w:r w:rsidRPr="00155F80">
        <w:t>odina</w:t>
      </w:r>
    </w:p>
    <w:tbl>
      <w:tblPr>
        <w:tblW w:w="91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CellMar>
          <w:left w:w="30" w:type="dxa"/>
          <w:right w:w="30" w:type="dxa"/>
        </w:tblCellMar>
        <w:tblLook w:val="0000" w:firstRow="0" w:lastRow="0" w:firstColumn="0" w:lastColumn="0" w:noHBand="0" w:noVBand="0"/>
      </w:tblPr>
      <w:tblGrid>
        <w:gridCol w:w="462"/>
        <w:gridCol w:w="1718"/>
        <w:gridCol w:w="865"/>
        <w:gridCol w:w="866"/>
        <w:gridCol w:w="866"/>
        <w:gridCol w:w="866"/>
        <w:gridCol w:w="865"/>
        <w:gridCol w:w="866"/>
        <w:gridCol w:w="866"/>
        <w:gridCol w:w="866"/>
      </w:tblGrid>
      <w:tr w:rsidR="00A06016" w:rsidRPr="0070527E" w:rsidTr="0070527E">
        <w:trPr>
          <w:cantSplit/>
          <w:trHeight w:val="1562"/>
          <w:jc w:val="center"/>
        </w:trPr>
        <w:tc>
          <w:tcPr>
            <w:tcW w:w="462" w:type="dxa"/>
            <w:shd w:val="clear" w:color="auto" w:fill="E7E6E6" w:themeFill="background2"/>
            <w:textDirection w:val="btLr"/>
            <w:vAlign w:val="center"/>
          </w:tcPr>
          <w:p w:rsidR="00A131AD" w:rsidRPr="0070527E" w:rsidRDefault="00A131AD" w:rsidP="0070527E">
            <w:pPr>
              <w:pStyle w:val="NoSpacing"/>
              <w:shd w:val="clear" w:color="auto" w:fill="E7E6E6" w:themeFill="background2"/>
              <w:spacing w:line="276" w:lineRule="auto"/>
              <w:ind w:left="113" w:right="113"/>
              <w:jc w:val="center"/>
              <w:rPr>
                <w:b/>
                <w:color w:val="000000" w:themeColor="text1"/>
                <w:sz w:val="20"/>
                <w:szCs w:val="20"/>
              </w:rPr>
            </w:pPr>
          </w:p>
        </w:tc>
        <w:tc>
          <w:tcPr>
            <w:tcW w:w="1718" w:type="dxa"/>
            <w:shd w:val="clear" w:color="auto" w:fill="E7E6E6" w:themeFill="background2"/>
            <w:textDirection w:val="btLr"/>
            <w:vAlign w:val="center"/>
          </w:tcPr>
          <w:p w:rsidR="00A131AD" w:rsidRPr="0070527E" w:rsidRDefault="00A131AD" w:rsidP="0070527E">
            <w:pPr>
              <w:pStyle w:val="NoSpacing"/>
              <w:shd w:val="clear" w:color="auto" w:fill="E7E6E6" w:themeFill="background2"/>
              <w:spacing w:line="276" w:lineRule="auto"/>
              <w:ind w:left="113" w:right="113"/>
              <w:rPr>
                <w:b/>
                <w:color w:val="000000" w:themeColor="text1"/>
                <w:sz w:val="22"/>
                <w:szCs w:val="22"/>
              </w:rPr>
            </w:pPr>
          </w:p>
        </w:tc>
        <w:tc>
          <w:tcPr>
            <w:tcW w:w="865" w:type="dxa"/>
            <w:shd w:val="clear" w:color="auto" w:fill="E7E6E6" w:themeFill="background2"/>
            <w:textDirection w:val="btLr"/>
            <w:vAlign w:val="center"/>
          </w:tcPr>
          <w:p w:rsidR="00A131AD" w:rsidRPr="0070527E" w:rsidRDefault="0070527E" w:rsidP="0070527E">
            <w:pPr>
              <w:pStyle w:val="NoSpacing"/>
              <w:shd w:val="clear" w:color="auto" w:fill="E7E6E6" w:themeFill="background2"/>
              <w:spacing w:line="276" w:lineRule="auto"/>
              <w:ind w:left="113" w:right="113"/>
              <w:rPr>
                <w:b/>
                <w:color w:val="000000" w:themeColor="text1"/>
                <w:sz w:val="22"/>
                <w:szCs w:val="22"/>
              </w:rPr>
            </w:pPr>
            <w:r w:rsidRPr="0070527E">
              <w:rPr>
                <w:b/>
                <w:color w:val="000000" w:themeColor="text1"/>
                <w:sz w:val="22"/>
                <w:szCs w:val="22"/>
              </w:rPr>
              <w:t>Dijagnostika</w:t>
            </w:r>
          </w:p>
        </w:tc>
        <w:tc>
          <w:tcPr>
            <w:tcW w:w="866" w:type="dxa"/>
            <w:shd w:val="clear" w:color="auto" w:fill="E7E6E6" w:themeFill="background2"/>
            <w:textDirection w:val="btLr"/>
            <w:vAlign w:val="center"/>
          </w:tcPr>
          <w:p w:rsidR="00A131AD" w:rsidRPr="0070527E" w:rsidRDefault="0070527E" w:rsidP="0070527E">
            <w:pPr>
              <w:pStyle w:val="NoSpacing"/>
              <w:shd w:val="clear" w:color="auto" w:fill="E7E6E6" w:themeFill="background2"/>
              <w:spacing w:line="276" w:lineRule="auto"/>
              <w:ind w:left="113" w:right="113"/>
              <w:rPr>
                <w:b/>
                <w:color w:val="000000" w:themeColor="text1"/>
                <w:sz w:val="22"/>
                <w:szCs w:val="22"/>
              </w:rPr>
            </w:pPr>
            <w:r w:rsidRPr="0070527E">
              <w:rPr>
                <w:b/>
                <w:color w:val="000000" w:themeColor="text1"/>
                <w:sz w:val="22"/>
                <w:szCs w:val="22"/>
              </w:rPr>
              <w:t>Interventna dijagnostika</w:t>
            </w:r>
          </w:p>
        </w:tc>
        <w:tc>
          <w:tcPr>
            <w:tcW w:w="866" w:type="dxa"/>
            <w:shd w:val="clear" w:color="auto" w:fill="E7E6E6" w:themeFill="background2"/>
            <w:textDirection w:val="btLr"/>
            <w:vAlign w:val="center"/>
          </w:tcPr>
          <w:p w:rsidR="00A131AD" w:rsidRPr="0070527E" w:rsidRDefault="0070527E" w:rsidP="0070527E">
            <w:pPr>
              <w:pStyle w:val="NoSpacing"/>
              <w:shd w:val="clear" w:color="auto" w:fill="E7E6E6" w:themeFill="background2"/>
              <w:spacing w:line="276" w:lineRule="auto"/>
              <w:ind w:left="113" w:right="113"/>
              <w:rPr>
                <w:b/>
                <w:color w:val="000000" w:themeColor="text1"/>
                <w:sz w:val="22"/>
                <w:szCs w:val="22"/>
              </w:rPr>
            </w:pPr>
            <w:r w:rsidRPr="0070527E">
              <w:rPr>
                <w:b/>
                <w:color w:val="000000" w:themeColor="text1"/>
                <w:sz w:val="22"/>
                <w:szCs w:val="22"/>
              </w:rPr>
              <w:t>Nuklearna medicina</w:t>
            </w:r>
          </w:p>
        </w:tc>
        <w:tc>
          <w:tcPr>
            <w:tcW w:w="866" w:type="dxa"/>
            <w:shd w:val="clear" w:color="auto" w:fill="E7E6E6" w:themeFill="background2"/>
            <w:textDirection w:val="btLr"/>
            <w:vAlign w:val="center"/>
          </w:tcPr>
          <w:p w:rsidR="00A131AD" w:rsidRPr="0070527E" w:rsidRDefault="00A131AD" w:rsidP="0070527E">
            <w:pPr>
              <w:pStyle w:val="NoSpacing"/>
              <w:shd w:val="clear" w:color="auto" w:fill="E7E6E6" w:themeFill="background2"/>
              <w:spacing w:line="276" w:lineRule="auto"/>
              <w:ind w:left="113" w:right="113"/>
              <w:rPr>
                <w:b/>
                <w:color w:val="000000" w:themeColor="text1"/>
                <w:sz w:val="22"/>
                <w:szCs w:val="22"/>
              </w:rPr>
            </w:pPr>
            <w:r w:rsidRPr="0070527E">
              <w:rPr>
                <w:b/>
                <w:color w:val="000000" w:themeColor="text1"/>
                <w:sz w:val="22"/>
                <w:szCs w:val="22"/>
              </w:rPr>
              <w:t>Onkolo</w:t>
            </w:r>
            <w:r w:rsidR="0070527E" w:rsidRPr="0070527E">
              <w:rPr>
                <w:b/>
                <w:color w:val="000000" w:themeColor="text1"/>
                <w:sz w:val="22"/>
                <w:szCs w:val="22"/>
              </w:rPr>
              <w:t>gija</w:t>
            </w:r>
          </w:p>
        </w:tc>
        <w:tc>
          <w:tcPr>
            <w:tcW w:w="865" w:type="dxa"/>
            <w:shd w:val="clear" w:color="auto" w:fill="E7E6E6" w:themeFill="background2"/>
            <w:textDirection w:val="btLr"/>
            <w:vAlign w:val="center"/>
          </w:tcPr>
          <w:p w:rsidR="00A131AD" w:rsidRPr="0070527E" w:rsidRDefault="0070527E" w:rsidP="0070527E">
            <w:pPr>
              <w:pStyle w:val="NoSpacing"/>
              <w:shd w:val="clear" w:color="auto" w:fill="E7E6E6" w:themeFill="background2"/>
              <w:spacing w:line="276" w:lineRule="auto"/>
              <w:ind w:left="113" w:right="113"/>
              <w:rPr>
                <w:b/>
                <w:color w:val="000000" w:themeColor="text1"/>
                <w:sz w:val="22"/>
                <w:szCs w:val="22"/>
              </w:rPr>
            </w:pPr>
            <w:r w:rsidRPr="0070527E">
              <w:rPr>
                <w:b/>
                <w:color w:val="000000" w:themeColor="text1"/>
                <w:sz w:val="22"/>
                <w:szCs w:val="22"/>
              </w:rPr>
              <w:t>Industrija</w:t>
            </w:r>
          </w:p>
        </w:tc>
        <w:tc>
          <w:tcPr>
            <w:tcW w:w="866" w:type="dxa"/>
            <w:shd w:val="clear" w:color="auto" w:fill="E7E6E6" w:themeFill="background2"/>
            <w:textDirection w:val="btLr"/>
            <w:vAlign w:val="center"/>
          </w:tcPr>
          <w:p w:rsidR="00A131AD" w:rsidRPr="0070527E" w:rsidRDefault="0070527E" w:rsidP="0070527E">
            <w:pPr>
              <w:pStyle w:val="NoSpacing"/>
              <w:shd w:val="clear" w:color="auto" w:fill="E7E6E6" w:themeFill="background2"/>
              <w:spacing w:line="276" w:lineRule="auto"/>
              <w:ind w:left="113" w:right="113"/>
              <w:rPr>
                <w:b/>
                <w:color w:val="000000" w:themeColor="text1"/>
                <w:sz w:val="22"/>
                <w:szCs w:val="22"/>
              </w:rPr>
            </w:pPr>
            <w:r w:rsidRPr="0070527E">
              <w:rPr>
                <w:b/>
                <w:color w:val="000000" w:themeColor="text1"/>
                <w:sz w:val="22"/>
                <w:szCs w:val="22"/>
              </w:rPr>
              <w:t>Stomatologija</w:t>
            </w:r>
          </w:p>
        </w:tc>
        <w:tc>
          <w:tcPr>
            <w:tcW w:w="866" w:type="dxa"/>
            <w:shd w:val="clear" w:color="auto" w:fill="E7E6E6" w:themeFill="background2"/>
            <w:textDirection w:val="btLr"/>
            <w:vAlign w:val="center"/>
          </w:tcPr>
          <w:p w:rsidR="00A131AD" w:rsidRPr="0070527E" w:rsidRDefault="00A131AD" w:rsidP="0070527E">
            <w:pPr>
              <w:pStyle w:val="NoSpacing"/>
              <w:shd w:val="clear" w:color="auto" w:fill="E7E6E6" w:themeFill="background2"/>
              <w:spacing w:line="276" w:lineRule="auto"/>
              <w:ind w:left="113" w:right="113"/>
              <w:rPr>
                <w:b/>
                <w:color w:val="000000" w:themeColor="text1"/>
                <w:sz w:val="22"/>
                <w:szCs w:val="22"/>
              </w:rPr>
            </w:pPr>
            <w:r w:rsidRPr="0070527E">
              <w:rPr>
                <w:b/>
                <w:color w:val="000000" w:themeColor="text1"/>
                <w:sz w:val="22"/>
                <w:szCs w:val="22"/>
              </w:rPr>
              <w:t>Veterina</w:t>
            </w:r>
          </w:p>
        </w:tc>
        <w:tc>
          <w:tcPr>
            <w:tcW w:w="866" w:type="dxa"/>
            <w:shd w:val="clear" w:color="auto" w:fill="E7E6E6" w:themeFill="background2"/>
            <w:textDirection w:val="btLr"/>
            <w:vAlign w:val="center"/>
          </w:tcPr>
          <w:p w:rsidR="00A131AD" w:rsidRPr="0070527E" w:rsidRDefault="00A131AD" w:rsidP="0070527E">
            <w:pPr>
              <w:pStyle w:val="NoSpacing"/>
              <w:shd w:val="clear" w:color="auto" w:fill="E7E6E6" w:themeFill="background2"/>
              <w:spacing w:line="276" w:lineRule="auto"/>
              <w:ind w:left="113" w:right="113"/>
              <w:rPr>
                <w:b/>
                <w:color w:val="000000" w:themeColor="text1"/>
                <w:sz w:val="22"/>
                <w:szCs w:val="22"/>
              </w:rPr>
            </w:pPr>
            <w:r w:rsidRPr="0070527E">
              <w:rPr>
                <w:b/>
                <w:color w:val="000000" w:themeColor="text1"/>
                <w:sz w:val="22"/>
                <w:szCs w:val="22"/>
              </w:rPr>
              <w:t>UKUPNO</w:t>
            </w:r>
          </w:p>
        </w:tc>
      </w:tr>
      <w:tr w:rsidR="00A06016" w:rsidRPr="0070527E" w:rsidTr="0070527E">
        <w:trPr>
          <w:trHeight w:val="173"/>
          <w:jc w:val="center"/>
        </w:trPr>
        <w:tc>
          <w:tcPr>
            <w:tcW w:w="462" w:type="dxa"/>
            <w:vMerge w:val="restart"/>
            <w:shd w:val="clear" w:color="auto" w:fill="FFFFFF" w:themeFill="background1"/>
            <w:textDirection w:val="btLr"/>
            <w:vAlign w:val="center"/>
          </w:tcPr>
          <w:p w:rsidR="00A131AD" w:rsidRPr="0070527E" w:rsidRDefault="00A131AD" w:rsidP="000C0138">
            <w:pPr>
              <w:pStyle w:val="NoSpacing"/>
              <w:spacing w:line="276" w:lineRule="auto"/>
              <w:jc w:val="center"/>
              <w:rPr>
                <w:color w:val="000000" w:themeColor="text1"/>
                <w:sz w:val="22"/>
                <w:szCs w:val="22"/>
              </w:rPr>
            </w:pPr>
            <w:r w:rsidRPr="0070527E">
              <w:rPr>
                <w:color w:val="000000" w:themeColor="text1"/>
                <w:sz w:val="22"/>
                <w:szCs w:val="22"/>
              </w:rPr>
              <w:t>2010</w:t>
            </w:r>
            <w:r w:rsidR="00874E9B">
              <w:rPr>
                <w:color w:val="000000" w:themeColor="text1"/>
                <w:sz w:val="22"/>
                <w:szCs w:val="22"/>
              </w:rPr>
              <w:t>.</w:t>
            </w:r>
          </w:p>
        </w:tc>
        <w:tc>
          <w:tcPr>
            <w:tcW w:w="1718"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Kol. eff.doza</w:t>
            </w:r>
          </w:p>
        </w:tc>
        <w:tc>
          <w:tcPr>
            <w:tcW w:w="865"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389,150</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75,625</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49,125</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27,820</w:t>
            </w:r>
          </w:p>
        </w:tc>
        <w:tc>
          <w:tcPr>
            <w:tcW w:w="865"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60,166</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17,985</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0,770</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620,641</w:t>
            </w:r>
          </w:p>
        </w:tc>
      </w:tr>
      <w:tr w:rsidR="00A06016" w:rsidRPr="0070527E" w:rsidTr="0070527E">
        <w:trPr>
          <w:trHeight w:val="173"/>
          <w:jc w:val="center"/>
        </w:trPr>
        <w:tc>
          <w:tcPr>
            <w:tcW w:w="462" w:type="dxa"/>
            <w:vMerge/>
            <w:shd w:val="clear" w:color="auto" w:fill="FFFFFF" w:themeFill="background1"/>
            <w:vAlign w:val="center"/>
          </w:tcPr>
          <w:p w:rsidR="00A131AD" w:rsidRPr="0070527E" w:rsidRDefault="00A131AD" w:rsidP="000C0138">
            <w:pPr>
              <w:pStyle w:val="NoSpacing"/>
              <w:spacing w:line="276" w:lineRule="auto"/>
              <w:jc w:val="center"/>
              <w:rPr>
                <w:color w:val="000000" w:themeColor="text1"/>
                <w:sz w:val="22"/>
                <w:szCs w:val="22"/>
              </w:rPr>
            </w:pPr>
          </w:p>
        </w:tc>
        <w:tc>
          <w:tcPr>
            <w:tcW w:w="1718"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Broj lica (očitanja)</w:t>
            </w:r>
          </w:p>
        </w:tc>
        <w:tc>
          <w:tcPr>
            <w:tcW w:w="865"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975</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99</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86</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76</w:t>
            </w:r>
          </w:p>
        </w:tc>
        <w:tc>
          <w:tcPr>
            <w:tcW w:w="865"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116</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49</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5</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1406</w:t>
            </w:r>
          </w:p>
        </w:tc>
      </w:tr>
      <w:tr w:rsidR="00A06016" w:rsidRPr="0070527E" w:rsidTr="0070527E">
        <w:trPr>
          <w:trHeight w:val="274"/>
          <w:jc w:val="center"/>
        </w:trPr>
        <w:tc>
          <w:tcPr>
            <w:tcW w:w="462" w:type="dxa"/>
            <w:vMerge/>
            <w:shd w:val="clear" w:color="auto" w:fill="FFFFFF" w:themeFill="background1"/>
            <w:vAlign w:val="center"/>
          </w:tcPr>
          <w:p w:rsidR="00A131AD" w:rsidRPr="0070527E" w:rsidRDefault="00A131AD" w:rsidP="000C0138">
            <w:pPr>
              <w:pStyle w:val="NoSpacing"/>
              <w:spacing w:line="276" w:lineRule="auto"/>
              <w:jc w:val="center"/>
              <w:rPr>
                <w:color w:val="000000" w:themeColor="text1"/>
                <w:sz w:val="22"/>
                <w:szCs w:val="22"/>
              </w:rPr>
            </w:pPr>
          </w:p>
        </w:tc>
        <w:tc>
          <w:tcPr>
            <w:tcW w:w="1718" w:type="dxa"/>
            <w:shd w:val="clear" w:color="auto" w:fill="FFFFFF" w:themeFill="background1"/>
            <w:vAlign w:val="center"/>
          </w:tcPr>
          <w:p w:rsidR="00A131AD" w:rsidRPr="0070527E" w:rsidRDefault="00A131AD" w:rsidP="000C0138">
            <w:pPr>
              <w:pStyle w:val="NoSpacing"/>
              <w:spacing w:line="276" w:lineRule="auto"/>
              <w:rPr>
                <w:b/>
                <w:color w:val="000000" w:themeColor="text1"/>
                <w:sz w:val="22"/>
                <w:szCs w:val="22"/>
              </w:rPr>
            </w:pPr>
            <w:r w:rsidRPr="0070527E">
              <w:rPr>
                <w:b/>
                <w:color w:val="000000" w:themeColor="text1"/>
                <w:sz w:val="22"/>
                <w:szCs w:val="22"/>
              </w:rPr>
              <w:t>Srednja vrijednost</w:t>
            </w:r>
          </w:p>
        </w:tc>
        <w:tc>
          <w:tcPr>
            <w:tcW w:w="865" w:type="dxa"/>
            <w:shd w:val="clear" w:color="auto" w:fill="FFFFFF" w:themeFill="background1"/>
            <w:vAlign w:val="center"/>
          </w:tcPr>
          <w:p w:rsidR="00A131AD" w:rsidRPr="0070527E" w:rsidRDefault="00A131AD" w:rsidP="000C0138">
            <w:pPr>
              <w:pStyle w:val="NoSpacing"/>
              <w:spacing w:line="276" w:lineRule="auto"/>
              <w:rPr>
                <w:b/>
                <w:bCs/>
                <w:color w:val="000000" w:themeColor="text1"/>
                <w:sz w:val="22"/>
                <w:szCs w:val="22"/>
              </w:rPr>
            </w:pPr>
            <w:r w:rsidRPr="0070527E">
              <w:rPr>
                <w:b/>
                <w:bCs/>
                <w:color w:val="000000" w:themeColor="text1"/>
                <w:sz w:val="22"/>
                <w:szCs w:val="22"/>
              </w:rPr>
              <w:t>0,399</w:t>
            </w:r>
          </w:p>
        </w:tc>
        <w:tc>
          <w:tcPr>
            <w:tcW w:w="866" w:type="dxa"/>
            <w:shd w:val="clear" w:color="auto" w:fill="FFFFFF" w:themeFill="background1"/>
            <w:vAlign w:val="center"/>
          </w:tcPr>
          <w:p w:rsidR="00A131AD" w:rsidRPr="0070527E" w:rsidRDefault="00A131AD" w:rsidP="000C0138">
            <w:pPr>
              <w:pStyle w:val="NoSpacing"/>
              <w:spacing w:line="276" w:lineRule="auto"/>
              <w:rPr>
                <w:b/>
                <w:bCs/>
                <w:color w:val="000000" w:themeColor="text1"/>
                <w:sz w:val="22"/>
                <w:szCs w:val="22"/>
              </w:rPr>
            </w:pPr>
            <w:r w:rsidRPr="0070527E">
              <w:rPr>
                <w:b/>
                <w:bCs/>
                <w:color w:val="000000" w:themeColor="text1"/>
                <w:sz w:val="22"/>
                <w:szCs w:val="22"/>
              </w:rPr>
              <w:t>0,764</w:t>
            </w:r>
          </w:p>
        </w:tc>
        <w:tc>
          <w:tcPr>
            <w:tcW w:w="866" w:type="dxa"/>
            <w:shd w:val="clear" w:color="auto" w:fill="FFFFFF" w:themeFill="background1"/>
            <w:vAlign w:val="center"/>
          </w:tcPr>
          <w:p w:rsidR="00A131AD" w:rsidRPr="0070527E" w:rsidRDefault="00A131AD" w:rsidP="000C0138">
            <w:pPr>
              <w:pStyle w:val="NoSpacing"/>
              <w:spacing w:line="276" w:lineRule="auto"/>
              <w:rPr>
                <w:b/>
                <w:bCs/>
                <w:color w:val="000000" w:themeColor="text1"/>
                <w:sz w:val="22"/>
                <w:szCs w:val="22"/>
              </w:rPr>
            </w:pPr>
            <w:r w:rsidRPr="0070527E">
              <w:rPr>
                <w:b/>
                <w:bCs/>
                <w:color w:val="000000" w:themeColor="text1"/>
                <w:sz w:val="22"/>
                <w:szCs w:val="22"/>
              </w:rPr>
              <w:t>0,571</w:t>
            </w:r>
          </w:p>
        </w:tc>
        <w:tc>
          <w:tcPr>
            <w:tcW w:w="866" w:type="dxa"/>
            <w:shd w:val="clear" w:color="auto" w:fill="FFFFFF" w:themeFill="background1"/>
            <w:vAlign w:val="center"/>
          </w:tcPr>
          <w:p w:rsidR="00A131AD" w:rsidRPr="0070527E" w:rsidRDefault="00A131AD" w:rsidP="000C0138">
            <w:pPr>
              <w:pStyle w:val="NoSpacing"/>
              <w:spacing w:line="276" w:lineRule="auto"/>
              <w:rPr>
                <w:b/>
                <w:bCs/>
                <w:color w:val="000000" w:themeColor="text1"/>
                <w:sz w:val="22"/>
                <w:szCs w:val="22"/>
              </w:rPr>
            </w:pPr>
            <w:r w:rsidRPr="0070527E">
              <w:rPr>
                <w:b/>
                <w:bCs/>
                <w:color w:val="000000" w:themeColor="text1"/>
                <w:sz w:val="22"/>
                <w:szCs w:val="22"/>
              </w:rPr>
              <w:t>0,366</w:t>
            </w:r>
          </w:p>
        </w:tc>
        <w:tc>
          <w:tcPr>
            <w:tcW w:w="865" w:type="dxa"/>
            <w:shd w:val="clear" w:color="auto" w:fill="FFFFFF" w:themeFill="background1"/>
            <w:vAlign w:val="center"/>
          </w:tcPr>
          <w:p w:rsidR="00A131AD" w:rsidRPr="0070527E" w:rsidRDefault="00A131AD" w:rsidP="000C0138">
            <w:pPr>
              <w:pStyle w:val="NoSpacing"/>
              <w:spacing w:line="276" w:lineRule="auto"/>
              <w:rPr>
                <w:b/>
                <w:bCs/>
                <w:color w:val="000000" w:themeColor="text1"/>
                <w:sz w:val="22"/>
                <w:szCs w:val="22"/>
              </w:rPr>
            </w:pPr>
            <w:r w:rsidRPr="0070527E">
              <w:rPr>
                <w:b/>
                <w:bCs/>
                <w:color w:val="000000" w:themeColor="text1"/>
                <w:sz w:val="22"/>
                <w:szCs w:val="22"/>
              </w:rPr>
              <w:t>0,519</w:t>
            </w:r>
          </w:p>
        </w:tc>
        <w:tc>
          <w:tcPr>
            <w:tcW w:w="866" w:type="dxa"/>
            <w:shd w:val="clear" w:color="auto" w:fill="FFFFFF" w:themeFill="background1"/>
            <w:vAlign w:val="center"/>
          </w:tcPr>
          <w:p w:rsidR="00A131AD" w:rsidRPr="0070527E" w:rsidRDefault="00A131AD" w:rsidP="000C0138">
            <w:pPr>
              <w:pStyle w:val="NoSpacing"/>
              <w:spacing w:line="276" w:lineRule="auto"/>
              <w:rPr>
                <w:b/>
                <w:bCs/>
                <w:color w:val="000000" w:themeColor="text1"/>
                <w:sz w:val="22"/>
                <w:szCs w:val="22"/>
              </w:rPr>
            </w:pPr>
            <w:r w:rsidRPr="0070527E">
              <w:rPr>
                <w:b/>
                <w:bCs/>
                <w:color w:val="000000" w:themeColor="text1"/>
                <w:sz w:val="22"/>
                <w:szCs w:val="22"/>
              </w:rPr>
              <w:t>0,367</w:t>
            </w:r>
          </w:p>
        </w:tc>
        <w:tc>
          <w:tcPr>
            <w:tcW w:w="866" w:type="dxa"/>
            <w:shd w:val="clear" w:color="auto" w:fill="FFFFFF" w:themeFill="background1"/>
            <w:vAlign w:val="center"/>
          </w:tcPr>
          <w:p w:rsidR="00A131AD" w:rsidRPr="0070527E" w:rsidRDefault="00A131AD" w:rsidP="000C0138">
            <w:pPr>
              <w:pStyle w:val="NoSpacing"/>
              <w:spacing w:line="276" w:lineRule="auto"/>
              <w:rPr>
                <w:b/>
                <w:bCs/>
                <w:color w:val="000000" w:themeColor="text1"/>
                <w:sz w:val="22"/>
                <w:szCs w:val="22"/>
              </w:rPr>
            </w:pPr>
            <w:r w:rsidRPr="0070527E">
              <w:rPr>
                <w:b/>
                <w:bCs/>
                <w:color w:val="000000" w:themeColor="text1"/>
                <w:sz w:val="22"/>
                <w:szCs w:val="22"/>
              </w:rPr>
              <w:t>0,154</w:t>
            </w:r>
          </w:p>
        </w:tc>
        <w:tc>
          <w:tcPr>
            <w:tcW w:w="866" w:type="dxa"/>
            <w:shd w:val="clear" w:color="auto" w:fill="FFFFFF" w:themeFill="background1"/>
            <w:vAlign w:val="center"/>
          </w:tcPr>
          <w:p w:rsidR="00A131AD" w:rsidRPr="0070527E" w:rsidRDefault="00A131AD" w:rsidP="000C0138">
            <w:pPr>
              <w:pStyle w:val="NoSpacing"/>
              <w:spacing w:line="276" w:lineRule="auto"/>
              <w:rPr>
                <w:b/>
                <w:bCs/>
                <w:color w:val="000000" w:themeColor="text1"/>
                <w:sz w:val="22"/>
                <w:szCs w:val="22"/>
              </w:rPr>
            </w:pPr>
            <w:r w:rsidRPr="0070527E">
              <w:rPr>
                <w:b/>
                <w:bCs/>
                <w:color w:val="000000" w:themeColor="text1"/>
                <w:sz w:val="22"/>
                <w:szCs w:val="22"/>
              </w:rPr>
              <w:t>0,441</w:t>
            </w:r>
          </w:p>
        </w:tc>
      </w:tr>
      <w:tr w:rsidR="00A06016" w:rsidRPr="0070527E" w:rsidTr="0070527E">
        <w:trPr>
          <w:trHeight w:val="173"/>
          <w:jc w:val="center"/>
        </w:trPr>
        <w:tc>
          <w:tcPr>
            <w:tcW w:w="462" w:type="dxa"/>
            <w:vMerge w:val="restart"/>
            <w:shd w:val="clear" w:color="auto" w:fill="FFFFFF" w:themeFill="background1"/>
            <w:textDirection w:val="btLr"/>
            <w:vAlign w:val="center"/>
          </w:tcPr>
          <w:p w:rsidR="00A131AD" w:rsidRPr="0070527E" w:rsidRDefault="00A131AD" w:rsidP="000C0138">
            <w:pPr>
              <w:pStyle w:val="NoSpacing"/>
              <w:spacing w:line="276" w:lineRule="auto"/>
              <w:jc w:val="center"/>
              <w:rPr>
                <w:color w:val="000000" w:themeColor="text1"/>
                <w:sz w:val="22"/>
                <w:szCs w:val="22"/>
              </w:rPr>
            </w:pPr>
            <w:r w:rsidRPr="0070527E">
              <w:rPr>
                <w:color w:val="000000" w:themeColor="text1"/>
                <w:sz w:val="22"/>
                <w:szCs w:val="22"/>
              </w:rPr>
              <w:t>2011</w:t>
            </w:r>
            <w:r w:rsidR="00874E9B">
              <w:rPr>
                <w:color w:val="000000" w:themeColor="text1"/>
                <w:sz w:val="22"/>
                <w:szCs w:val="22"/>
              </w:rPr>
              <w:t>.</w:t>
            </w:r>
          </w:p>
        </w:tc>
        <w:tc>
          <w:tcPr>
            <w:tcW w:w="1718"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Kol. eff.doza</w:t>
            </w:r>
          </w:p>
        </w:tc>
        <w:tc>
          <w:tcPr>
            <w:tcW w:w="865"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311,066</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58,530</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43,440</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20,170</w:t>
            </w:r>
          </w:p>
        </w:tc>
        <w:tc>
          <w:tcPr>
            <w:tcW w:w="865"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57,910</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20,065</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0,785</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511,966</w:t>
            </w:r>
          </w:p>
        </w:tc>
      </w:tr>
      <w:tr w:rsidR="00A06016" w:rsidRPr="0070527E" w:rsidTr="0070527E">
        <w:trPr>
          <w:trHeight w:val="173"/>
          <w:jc w:val="center"/>
        </w:trPr>
        <w:tc>
          <w:tcPr>
            <w:tcW w:w="462" w:type="dxa"/>
            <w:vMerge/>
            <w:shd w:val="clear" w:color="auto" w:fill="FFFFFF" w:themeFill="background1"/>
            <w:vAlign w:val="center"/>
          </w:tcPr>
          <w:p w:rsidR="00A131AD" w:rsidRPr="0070527E" w:rsidRDefault="00A131AD" w:rsidP="000C0138">
            <w:pPr>
              <w:pStyle w:val="NoSpacing"/>
              <w:spacing w:line="276" w:lineRule="auto"/>
              <w:jc w:val="center"/>
              <w:rPr>
                <w:color w:val="000000" w:themeColor="text1"/>
                <w:sz w:val="22"/>
                <w:szCs w:val="22"/>
              </w:rPr>
            </w:pPr>
          </w:p>
        </w:tc>
        <w:tc>
          <w:tcPr>
            <w:tcW w:w="1718"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Broj lica (očitanja)</w:t>
            </w:r>
          </w:p>
        </w:tc>
        <w:tc>
          <w:tcPr>
            <w:tcW w:w="865"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984</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101</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84</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78</w:t>
            </w:r>
          </w:p>
        </w:tc>
        <w:tc>
          <w:tcPr>
            <w:tcW w:w="865"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123</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60</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5</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1435</w:t>
            </w:r>
          </w:p>
        </w:tc>
      </w:tr>
      <w:tr w:rsidR="00A06016" w:rsidRPr="0070527E" w:rsidTr="0070527E">
        <w:trPr>
          <w:trHeight w:val="173"/>
          <w:jc w:val="center"/>
        </w:trPr>
        <w:tc>
          <w:tcPr>
            <w:tcW w:w="462" w:type="dxa"/>
            <w:vMerge/>
            <w:shd w:val="clear" w:color="auto" w:fill="FFFFFF" w:themeFill="background1"/>
            <w:vAlign w:val="center"/>
          </w:tcPr>
          <w:p w:rsidR="00A131AD" w:rsidRPr="0070527E" w:rsidRDefault="00A131AD" w:rsidP="000C0138">
            <w:pPr>
              <w:pStyle w:val="NoSpacing"/>
              <w:spacing w:line="276" w:lineRule="auto"/>
              <w:jc w:val="center"/>
              <w:rPr>
                <w:color w:val="000000" w:themeColor="text1"/>
                <w:sz w:val="22"/>
                <w:szCs w:val="22"/>
              </w:rPr>
            </w:pPr>
          </w:p>
        </w:tc>
        <w:tc>
          <w:tcPr>
            <w:tcW w:w="1718"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Srednja vrijednost eff.doza</w:t>
            </w:r>
          </w:p>
        </w:tc>
        <w:tc>
          <w:tcPr>
            <w:tcW w:w="865" w:type="dxa"/>
            <w:shd w:val="clear" w:color="auto" w:fill="FFFFFF" w:themeFill="background1"/>
            <w:vAlign w:val="center"/>
          </w:tcPr>
          <w:p w:rsidR="00A131AD" w:rsidRPr="0070527E" w:rsidRDefault="00A131AD" w:rsidP="000C0138">
            <w:pPr>
              <w:pStyle w:val="NoSpacing"/>
              <w:spacing w:line="276" w:lineRule="auto"/>
              <w:rPr>
                <w:b/>
                <w:bCs/>
                <w:color w:val="000000" w:themeColor="text1"/>
                <w:sz w:val="22"/>
                <w:szCs w:val="22"/>
              </w:rPr>
            </w:pPr>
            <w:r w:rsidRPr="0070527E">
              <w:rPr>
                <w:b/>
                <w:bCs/>
                <w:color w:val="000000" w:themeColor="text1"/>
                <w:sz w:val="22"/>
                <w:szCs w:val="22"/>
              </w:rPr>
              <w:t>0,316</w:t>
            </w:r>
          </w:p>
        </w:tc>
        <w:tc>
          <w:tcPr>
            <w:tcW w:w="866" w:type="dxa"/>
            <w:shd w:val="clear" w:color="auto" w:fill="FFFFFF" w:themeFill="background1"/>
            <w:vAlign w:val="center"/>
          </w:tcPr>
          <w:p w:rsidR="00A131AD" w:rsidRPr="0070527E" w:rsidRDefault="00A131AD" w:rsidP="000C0138">
            <w:pPr>
              <w:pStyle w:val="NoSpacing"/>
              <w:spacing w:line="276" w:lineRule="auto"/>
              <w:rPr>
                <w:b/>
                <w:bCs/>
                <w:color w:val="000000" w:themeColor="text1"/>
                <w:sz w:val="22"/>
                <w:szCs w:val="22"/>
              </w:rPr>
            </w:pPr>
            <w:r w:rsidRPr="0070527E">
              <w:rPr>
                <w:b/>
                <w:bCs/>
                <w:color w:val="000000" w:themeColor="text1"/>
                <w:sz w:val="22"/>
                <w:szCs w:val="22"/>
              </w:rPr>
              <w:t>0,580</w:t>
            </w:r>
          </w:p>
        </w:tc>
        <w:tc>
          <w:tcPr>
            <w:tcW w:w="866" w:type="dxa"/>
            <w:shd w:val="clear" w:color="auto" w:fill="FFFFFF" w:themeFill="background1"/>
            <w:vAlign w:val="center"/>
          </w:tcPr>
          <w:p w:rsidR="00A131AD" w:rsidRPr="0070527E" w:rsidRDefault="00A131AD" w:rsidP="000C0138">
            <w:pPr>
              <w:pStyle w:val="NoSpacing"/>
              <w:spacing w:line="276" w:lineRule="auto"/>
              <w:rPr>
                <w:b/>
                <w:bCs/>
                <w:color w:val="000000" w:themeColor="text1"/>
                <w:sz w:val="22"/>
                <w:szCs w:val="22"/>
              </w:rPr>
            </w:pPr>
            <w:r w:rsidRPr="0070527E">
              <w:rPr>
                <w:b/>
                <w:bCs/>
                <w:color w:val="000000" w:themeColor="text1"/>
                <w:sz w:val="22"/>
                <w:szCs w:val="22"/>
              </w:rPr>
              <w:t>0,517</w:t>
            </w:r>
          </w:p>
        </w:tc>
        <w:tc>
          <w:tcPr>
            <w:tcW w:w="866" w:type="dxa"/>
            <w:shd w:val="clear" w:color="auto" w:fill="FFFFFF" w:themeFill="background1"/>
            <w:vAlign w:val="center"/>
          </w:tcPr>
          <w:p w:rsidR="00A131AD" w:rsidRPr="0070527E" w:rsidRDefault="00A131AD" w:rsidP="000C0138">
            <w:pPr>
              <w:pStyle w:val="NoSpacing"/>
              <w:spacing w:line="276" w:lineRule="auto"/>
              <w:rPr>
                <w:b/>
                <w:bCs/>
                <w:color w:val="000000" w:themeColor="text1"/>
                <w:sz w:val="22"/>
                <w:szCs w:val="22"/>
              </w:rPr>
            </w:pPr>
            <w:r w:rsidRPr="0070527E">
              <w:rPr>
                <w:b/>
                <w:bCs/>
                <w:color w:val="000000" w:themeColor="text1"/>
                <w:sz w:val="22"/>
                <w:szCs w:val="22"/>
              </w:rPr>
              <w:t>0,259</w:t>
            </w:r>
          </w:p>
        </w:tc>
        <w:tc>
          <w:tcPr>
            <w:tcW w:w="865" w:type="dxa"/>
            <w:shd w:val="clear" w:color="auto" w:fill="FFFFFF" w:themeFill="background1"/>
            <w:vAlign w:val="center"/>
          </w:tcPr>
          <w:p w:rsidR="00A131AD" w:rsidRPr="0070527E" w:rsidRDefault="00A131AD" w:rsidP="000C0138">
            <w:pPr>
              <w:pStyle w:val="NoSpacing"/>
              <w:spacing w:line="276" w:lineRule="auto"/>
              <w:rPr>
                <w:b/>
                <w:bCs/>
                <w:color w:val="000000" w:themeColor="text1"/>
                <w:sz w:val="22"/>
                <w:szCs w:val="22"/>
              </w:rPr>
            </w:pPr>
            <w:r w:rsidRPr="0070527E">
              <w:rPr>
                <w:b/>
                <w:bCs/>
                <w:color w:val="000000" w:themeColor="text1"/>
                <w:sz w:val="22"/>
                <w:szCs w:val="22"/>
              </w:rPr>
              <w:t>0,471</w:t>
            </w:r>
          </w:p>
        </w:tc>
        <w:tc>
          <w:tcPr>
            <w:tcW w:w="866" w:type="dxa"/>
            <w:shd w:val="clear" w:color="auto" w:fill="FFFFFF" w:themeFill="background1"/>
            <w:vAlign w:val="center"/>
          </w:tcPr>
          <w:p w:rsidR="00A131AD" w:rsidRPr="0070527E" w:rsidRDefault="00A131AD" w:rsidP="000C0138">
            <w:pPr>
              <w:pStyle w:val="NoSpacing"/>
              <w:spacing w:line="276" w:lineRule="auto"/>
              <w:rPr>
                <w:b/>
                <w:bCs/>
                <w:color w:val="000000" w:themeColor="text1"/>
                <w:sz w:val="22"/>
                <w:szCs w:val="22"/>
              </w:rPr>
            </w:pPr>
            <w:r w:rsidRPr="0070527E">
              <w:rPr>
                <w:b/>
                <w:bCs/>
                <w:color w:val="000000" w:themeColor="text1"/>
                <w:sz w:val="22"/>
                <w:szCs w:val="22"/>
              </w:rPr>
              <w:t>0,334</w:t>
            </w:r>
          </w:p>
        </w:tc>
        <w:tc>
          <w:tcPr>
            <w:tcW w:w="866" w:type="dxa"/>
            <w:shd w:val="clear" w:color="auto" w:fill="FFFFFF" w:themeFill="background1"/>
            <w:vAlign w:val="center"/>
          </w:tcPr>
          <w:p w:rsidR="00A131AD" w:rsidRPr="0070527E" w:rsidRDefault="00A131AD" w:rsidP="000C0138">
            <w:pPr>
              <w:pStyle w:val="NoSpacing"/>
              <w:spacing w:line="276" w:lineRule="auto"/>
              <w:rPr>
                <w:b/>
                <w:bCs/>
                <w:color w:val="000000" w:themeColor="text1"/>
                <w:sz w:val="22"/>
                <w:szCs w:val="22"/>
              </w:rPr>
            </w:pPr>
            <w:r w:rsidRPr="0070527E">
              <w:rPr>
                <w:b/>
                <w:bCs/>
                <w:color w:val="000000" w:themeColor="text1"/>
                <w:sz w:val="22"/>
                <w:szCs w:val="22"/>
              </w:rPr>
              <w:t>0,157</w:t>
            </w:r>
          </w:p>
        </w:tc>
        <w:tc>
          <w:tcPr>
            <w:tcW w:w="866" w:type="dxa"/>
            <w:shd w:val="clear" w:color="auto" w:fill="FFFFFF" w:themeFill="background1"/>
            <w:vAlign w:val="center"/>
          </w:tcPr>
          <w:p w:rsidR="00A131AD" w:rsidRPr="0070527E" w:rsidRDefault="00A131AD" w:rsidP="000C0138">
            <w:pPr>
              <w:pStyle w:val="NoSpacing"/>
              <w:spacing w:line="276" w:lineRule="auto"/>
              <w:rPr>
                <w:b/>
                <w:bCs/>
                <w:color w:val="000000" w:themeColor="text1"/>
                <w:sz w:val="22"/>
                <w:szCs w:val="22"/>
              </w:rPr>
            </w:pPr>
            <w:r w:rsidRPr="0070527E">
              <w:rPr>
                <w:b/>
                <w:bCs/>
                <w:color w:val="000000" w:themeColor="text1"/>
                <w:sz w:val="22"/>
                <w:szCs w:val="22"/>
              </w:rPr>
              <w:t>0,357</w:t>
            </w:r>
          </w:p>
        </w:tc>
      </w:tr>
      <w:tr w:rsidR="00A06016" w:rsidRPr="0070527E" w:rsidTr="0070527E">
        <w:trPr>
          <w:trHeight w:val="173"/>
          <w:jc w:val="center"/>
        </w:trPr>
        <w:tc>
          <w:tcPr>
            <w:tcW w:w="462" w:type="dxa"/>
            <w:vMerge w:val="restart"/>
            <w:shd w:val="clear" w:color="auto" w:fill="FFFFFF" w:themeFill="background1"/>
            <w:textDirection w:val="btLr"/>
            <w:vAlign w:val="center"/>
          </w:tcPr>
          <w:p w:rsidR="00A131AD" w:rsidRPr="0070527E" w:rsidRDefault="00A131AD" w:rsidP="000C0138">
            <w:pPr>
              <w:pStyle w:val="NoSpacing"/>
              <w:spacing w:line="276" w:lineRule="auto"/>
              <w:jc w:val="center"/>
              <w:rPr>
                <w:color w:val="000000" w:themeColor="text1"/>
                <w:sz w:val="22"/>
                <w:szCs w:val="22"/>
              </w:rPr>
            </w:pPr>
            <w:r w:rsidRPr="0070527E">
              <w:rPr>
                <w:color w:val="000000" w:themeColor="text1"/>
                <w:sz w:val="22"/>
                <w:szCs w:val="22"/>
              </w:rPr>
              <w:t>2012</w:t>
            </w:r>
            <w:r w:rsidR="00874E9B">
              <w:rPr>
                <w:color w:val="000000" w:themeColor="text1"/>
                <w:sz w:val="22"/>
                <w:szCs w:val="22"/>
              </w:rPr>
              <w:t>.</w:t>
            </w:r>
          </w:p>
        </w:tc>
        <w:tc>
          <w:tcPr>
            <w:tcW w:w="1718"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Kol. eff.doza</w:t>
            </w:r>
          </w:p>
        </w:tc>
        <w:tc>
          <w:tcPr>
            <w:tcW w:w="865"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122,325</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26,145</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25,310</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8,975</w:t>
            </w:r>
          </w:p>
        </w:tc>
        <w:tc>
          <w:tcPr>
            <w:tcW w:w="865"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34,225</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9,120</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1,260</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227,360</w:t>
            </w:r>
          </w:p>
        </w:tc>
      </w:tr>
      <w:tr w:rsidR="00A06016" w:rsidRPr="0070527E" w:rsidTr="0070527E">
        <w:trPr>
          <w:trHeight w:val="173"/>
          <w:jc w:val="center"/>
        </w:trPr>
        <w:tc>
          <w:tcPr>
            <w:tcW w:w="462" w:type="dxa"/>
            <w:vMerge/>
            <w:shd w:val="clear" w:color="auto" w:fill="FFFFFF" w:themeFill="background1"/>
            <w:vAlign w:val="center"/>
          </w:tcPr>
          <w:p w:rsidR="00A131AD" w:rsidRPr="0070527E" w:rsidRDefault="00A131AD" w:rsidP="000C0138">
            <w:pPr>
              <w:pStyle w:val="NoSpacing"/>
              <w:spacing w:line="276" w:lineRule="auto"/>
              <w:jc w:val="center"/>
              <w:rPr>
                <w:color w:val="000000" w:themeColor="text1"/>
                <w:sz w:val="22"/>
                <w:szCs w:val="22"/>
              </w:rPr>
            </w:pPr>
          </w:p>
        </w:tc>
        <w:tc>
          <w:tcPr>
            <w:tcW w:w="1718"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Broj lica (očitanja)</w:t>
            </w:r>
          </w:p>
        </w:tc>
        <w:tc>
          <w:tcPr>
            <w:tcW w:w="865"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987</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93</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88</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90</w:t>
            </w:r>
          </w:p>
        </w:tc>
        <w:tc>
          <w:tcPr>
            <w:tcW w:w="865"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117</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56</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6</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1437</w:t>
            </w:r>
          </w:p>
        </w:tc>
      </w:tr>
      <w:tr w:rsidR="00A06016" w:rsidRPr="0070527E" w:rsidTr="0070527E">
        <w:trPr>
          <w:trHeight w:val="173"/>
          <w:jc w:val="center"/>
        </w:trPr>
        <w:tc>
          <w:tcPr>
            <w:tcW w:w="462" w:type="dxa"/>
            <w:vMerge/>
            <w:shd w:val="clear" w:color="auto" w:fill="FFFFFF" w:themeFill="background1"/>
            <w:vAlign w:val="center"/>
          </w:tcPr>
          <w:p w:rsidR="00A131AD" w:rsidRPr="0070527E" w:rsidRDefault="00A131AD" w:rsidP="000C0138">
            <w:pPr>
              <w:pStyle w:val="NoSpacing"/>
              <w:spacing w:line="276" w:lineRule="auto"/>
              <w:jc w:val="center"/>
              <w:rPr>
                <w:color w:val="000000" w:themeColor="text1"/>
                <w:sz w:val="22"/>
                <w:szCs w:val="22"/>
              </w:rPr>
            </w:pPr>
          </w:p>
        </w:tc>
        <w:tc>
          <w:tcPr>
            <w:tcW w:w="1718"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Srednja vrijednost eff.doza</w:t>
            </w:r>
          </w:p>
        </w:tc>
        <w:tc>
          <w:tcPr>
            <w:tcW w:w="865" w:type="dxa"/>
            <w:shd w:val="clear" w:color="auto" w:fill="FFFFFF" w:themeFill="background1"/>
            <w:vAlign w:val="center"/>
          </w:tcPr>
          <w:p w:rsidR="00A131AD" w:rsidRPr="0070527E" w:rsidRDefault="00A131AD" w:rsidP="000C0138">
            <w:pPr>
              <w:pStyle w:val="NoSpacing"/>
              <w:spacing w:line="276" w:lineRule="auto"/>
              <w:rPr>
                <w:b/>
                <w:bCs/>
                <w:color w:val="000000" w:themeColor="text1"/>
                <w:sz w:val="22"/>
                <w:szCs w:val="22"/>
              </w:rPr>
            </w:pPr>
            <w:r w:rsidRPr="0070527E">
              <w:rPr>
                <w:b/>
                <w:bCs/>
                <w:color w:val="000000" w:themeColor="text1"/>
                <w:sz w:val="22"/>
                <w:szCs w:val="22"/>
              </w:rPr>
              <w:t>0,124</w:t>
            </w:r>
          </w:p>
        </w:tc>
        <w:tc>
          <w:tcPr>
            <w:tcW w:w="866" w:type="dxa"/>
            <w:shd w:val="clear" w:color="auto" w:fill="FFFFFF" w:themeFill="background1"/>
            <w:vAlign w:val="center"/>
          </w:tcPr>
          <w:p w:rsidR="00A131AD" w:rsidRPr="0070527E" w:rsidRDefault="00A131AD" w:rsidP="000C0138">
            <w:pPr>
              <w:pStyle w:val="NoSpacing"/>
              <w:spacing w:line="276" w:lineRule="auto"/>
              <w:rPr>
                <w:b/>
                <w:bCs/>
                <w:color w:val="000000" w:themeColor="text1"/>
                <w:sz w:val="22"/>
                <w:szCs w:val="22"/>
              </w:rPr>
            </w:pPr>
            <w:r w:rsidRPr="0070527E">
              <w:rPr>
                <w:b/>
                <w:bCs/>
                <w:color w:val="000000" w:themeColor="text1"/>
                <w:sz w:val="22"/>
                <w:szCs w:val="22"/>
              </w:rPr>
              <w:t>0,281</w:t>
            </w:r>
          </w:p>
        </w:tc>
        <w:tc>
          <w:tcPr>
            <w:tcW w:w="866" w:type="dxa"/>
            <w:shd w:val="clear" w:color="auto" w:fill="FFFFFF" w:themeFill="background1"/>
            <w:vAlign w:val="center"/>
          </w:tcPr>
          <w:p w:rsidR="00A131AD" w:rsidRPr="0070527E" w:rsidRDefault="00A131AD" w:rsidP="000C0138">
            <w:pPr>
              <w:pStyle w:val="NoSpacing"/>
              <w:spacing w:line="276" w:lineRule="auto"/>
              <w:rPr>
                <w:b/>
                <w:bCs/>
                <w:color w:val="000000" w:themeColor="text1"/>
                <w:sz w:val="22"/>
                <w:szCs w:val="22"/>
              </w:rPr>
            </w:pPr>
            <w:r w:rsidRPr="0070527E">
              <w:rPr>
                <w:b/>
                <w:bCs/>
                <w:color w:val="000000" w:themeColor="text1"/>
                <w:sz w:val="22"/>
                <w:szCs w:val="22"/>
              </w:rPr>
              <w:t>0,288</w:t>
            </w:r>
          </w:p>
        </w:tc>
        <w:tc>
          <w:tcPr>
            <w:tcW w:w="866" w:type="dxa"/>
            <w:shd w:val="clear" w:color="auto" w:fill="FFFFFF" w:themeFill="background1"/>
            <w:vAlign w:val="center"/>
          </w:tcPr>
          <w:p w:rsidR="00A131AD" w:rsidRPr="0070527E" w:rsidRDefault="00A131AD" w:rsidP="000C0138">
            <w:pPr>
              <w:pStyle w:val="NoSpacing"/>
              <w:spacing w:line="276" w:lineRule="auto"/>
              <w:rPr>
                <w:b/>
                <w:bCs/>
                <w:color w:val="000000" w:themeColor="text1"/>
                <w:sz w:val="22"/>
                <w:szCs w:val="22"/>
              </w:rPr>
            </w:pPr>
            <w:r w:rsidRPr="0070527E">
              <w:rPr>
                <w:b/>
                <w:bCs/>
                <w:color w:val="000000" w:themeColor="text1"/>
                <w:sz w:val="22"/>
                <w:szCs w:val="22"/>
              </w:rPr>
              <w:t>0,100</w:t>
            </w:r>
          </w:p>
        </w:tc>
        <w:tc>
          <w:tcPr>
            <w:tcW w:w="865" w:type="dxa"/>
            <w:shd w:val="clear" w:color="auto" w:fill="FFFFFF" w:themeFill="background1"/>
            <w:vAlign w:val="center"/>
          </w:tcPr>
          <w:p w:rsidR="00A131AD" w:rsidRPr="0070527E" w:rsidRDefault="00A131AD" w:rsidP="000C0138">
            <w:pPr>
              <w:pStyle w:val="NoSpacing"/>
              <w:spacing w:line="276" w:lineRule="auto"/>
              <w:rPr>
                <w:b/>
                <w:bCs/>
                <w:color w:val="000000" w:themeColor="text1"/>
                <w:sz w:val="22"/>
                <w:szCs w:val="22"/>
              </w:rPr>
            </w:pPr>
            <w:r w:rsidRPr="0070527E">
              <w:rPr>
                <w:b/>
                <w:bCs/>
                <w:color w:val="000000" w:themeColor="text1"/>
                <w:sz w:val="22"/>
                <w:szCs w:val="22"/>
              </w:rPr>
              <w:t>0,293</w:t>
            </w:r>
          </w:p>
        </w:tc>
        <w:tc>
          <w:tcPr>
            <w:tcW w:w="866" w:type="dxa"/>
            <w:shd w:val="clear" w:color="auto" w:fill="FFFFFF" w:themeFill="background1"/>
            <w:vAlign w:val="center"/>
          </w:tcPr>
          <w:p w:rsidR="00A131AD" w:rsidRPr="0070527E" w:rsidRDefault="00A131AD" w:rsidP="000C0138">
            <w:pPr>
              <w:pStyle w:val="NoSpacing"/>
              <w:spacing w:line="276" w:lineRule="auto"/>
              <w:rPr>
                <w:b/>
                <w:bCs/>
                <w:color w:val="000000" w:themeColor="text1"/>
                <w:sz w:val="22"/>
                <w:szCs w:val="22"/>
              </w:rPr>
            </w:pPr>
            <w:r w:rsidRPr="0070527E">
              <w:rPr>
                <w:b/>
                <w:bCs/>
                <w:color w:val="000000" w:themeColor="text1"/>
                <w:sz w:val="22"/>
                <w:szCs w:val="22"/>
              </w:rPr>
              <w:t>0,163</w:t>
            </w:r>
          </w:p>
        </w:tc>
        <w:tc>
          <w:tcPr>
            <w:tcW w:w="866" w:type="dxa"/>
            <w:shd w:val="clear" w:color="auto" w:fill="FFFFFF" w:themeFill="background1"/>
            <w:vAlign w:val="center"/>
          </w:tcPr>
          <w:p w:rsidR="00A131AD" w:rsidRPr="0070527E" w:rsidRDefault="00A131AD" w:rsidP="000C0138">
            <w:pPr>
              <w:pStyle w:val="NoSpacing"/>
              <w:spacing w:line="276" w:lineRule="auto"/>
              <w:rPr>
                <w:b/>
                <w:bCs/>
                <w:color w:val="000000" w:themeColor="text1"/>
                <w:sz w:val="22"/>
                <w:szCs w:val="22"/>
              </w:rPr>
            </w:pPr>
            <w:r w:rsidRPr="0070527E">
              <w:rPr>
                <w:b/>
                <w:bCs/>
                <w:color w:val="000000" w:themeColor="text1"/>
                <w:sz w:val="22"/>
                <w:szCs w:val="22"/>
              </w:rPr>
              <w:t>0,210</w:t>
            </w:r>
          </w:p>
        </w:tc>
        <w:tc>
          <w:tcPr>
            <w:tcW w:w="866" w:type="dxa"/>
            <w:shd w:val="clear" w:color="auto" w:fill="FFFFFF" w:themeFill="background1"/>
            <w:vAlign w:val="center"/>
          </w:tcPr>
          <w:p w:rsidR="00A131AD" w:rsidRPr="0070527E" w:rsidRDefault="00A131AD" w:rsidP="000C0138">
            <w:pPr>
              <w:pStyle w:val="NoSpacing"/>
              <w:spacing w:line="276" w:lineRule="auto"/>
              <w:rPr>
                <w:b/>
                <w:bCs/>
                <w:color w:val="000000" w:themeColor="text1"/>
                <w:sz w:val="22"/>
                <w:szCs w:val="22"/>
              </w:rPr>
            </w:pPr>
            <w:r w:rsidRPr="0070527E">
              <w:rPr>
                <w:b/>
                <w:bCs/>
                <w:color w:val="000000" w:themeColor="text1"/>
                <w:sz w:val="22"/>
                <w:szCs w:val="22"/>
              </w:rPr>
              <w:t>0,158</w:t>
            </w:r>
          </w:p>
        </w:tc>
      </w:tr>
      <w:tr w:rsidR="00A06016" w:rsidRPr="0070527E" w:rsidTr="0070527E">
        <w:trPr>
          <w:trHeight w:val="173"/>
          <w:jc w:val="center"/>
        </w:trPr>
        <w:tc>
          <w:tcPr>
            <w:tcW w:w="462" w:type="dxa"/>
            <w:vMerge w:val="restart"/>
            <w:shd w:val="clear" w:color="auto" w:fill="FFFFFF" w:themeFill="background1"/>
            <w:textDirection w:val="btLr"/>
            <w:vAlign w:val="center"/>
          </w:tcPr>
          <w:p w:rsidR="00A131AD" w:rsidRPr="0070527E" w:rsidRDefault="00A131AD" w:rsidP="000C0138">
            <w:pPr>
              <w:pStyle w:val="NoSpacing"/>
              <w:spacing w:line="276" w:lineRule="auto"/>
              <w:jc w:val="center"/>
              <w:rPr>
                <w:color w:val="000000" w:themeColor="text1"/>
                <w:sz w:val="22"/>
                <w:szCs w:val="22"/>
              </w:rPr>
            </w:pPr>
            <w:r w:rsidRPr="0070527E">
              <w:rPr>
                <w:color w:val="000000" w:themeColor="text1"/>
                <w:sz w:val="22"/>
                <w:szCs w:val="22"/>
              </w:rPr>
              <w:t>2013</w:t>
            </w:r>
            <w:r w:rsidR="00874E9B">
              <w:rPr>
                <w:color w:val="000000" w:themeColor="text1"/>
                <w:sz w:val="22"/>
                <w:szCs w:val="22"/>
              </w:rPr>
              <w:t>.</w:t>
            </w:r>
          </w:p>
        </w:tc>
        <w:tc>
          <w:tcPr>
            <w:tcW w:w="1718"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Kol. eff.doza</w:t>
            </w:r>
          </w:p>
        </w:tc>
        <w:tc>
          <w:tcPr>
            <w:tcW w:w="865"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158,750</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25,650</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24,620</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13,190</w:t>
            </w:r>
          </w:p>
        </w:tc>
        <w:tc>
          <w:tcPr>
            <w:tcW w:w="865"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23,712</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18,310</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0,715</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264,947</w:t>
            </w:r>
          </w:p>
        </w:tc>
      </w:tr>
      <w:tr w:rsidR="00A06016" w:rsidRPr="0070527E" w:rsidTr="0070527E">
        <w:trPr>
          <w:cantSplit/>
          <w:trHeight w:val="352"/>
          <w:jc w:val="center"/>
        </w:trPr>
        <w:tc>
          <w:tcPr>
            <w:tcW w:w="462" w:type="dxa"/>
            <w:vMerge/>
            <w:shd w:val="clear" w:color="auto" w:fill="FFFFFF" w:themeFill="background1"/>
            <w:vAlign w:val="center"/>
          </w:tcPr>
          <w:p w:rsidR="00A131AD" w:rsidRPr="0070527E" w:rsidRDefault="00A131AD" w:rsidP="000C0138">
            <w:pPr>
              <w:pStyle w:val="NoSpacing"/>
              <w:spacing w:line="276" w:lineRule="auto"/>
              <w:jc w:val="center"/>
              <w:rPr>
                <w:color w:val="000000" w:themeColor="text1"/>
                <w:sz w:val="22"/>
                <w:szCs w:val="22"/>
              </w:rPr>
            </w:pPr>
          </w:p>
        </w:tc>
        <w:tc>
          <w:tcPr>
            <w:tcW w:w="1718"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Broj lica (očitanja)</w:t>
            </w:r>
          </w:p>
        </w:tc>
        <w:tc>
          <w:tcPr>
            <w:tcW w:w="865"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998</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91</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93</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99</w:t>
            </w:r>
          </w:p>
        </w:tc>
        <w:tc>
          <w:tcPr>
            <w:tcW w:w="865"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91</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58</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6</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1436</w:t>
            </w:r>
          </w:p>
        </w:tc>
      </w:tr>
      <w:tr w:rsidR="00A06016" w:rsidRPr="0070527E" w:rsidTr="0070527E">
        <w:trPr>
          <w:trHeight w:val="173"/>
          <w:jc w:val="center"/>
        </w:trPr>
        <w:tc>
          <w:tcPr>
            <w:tcW w:w="462" w:type="dxa"/>
            <w:vMerge/>
            <w:shd w:val="clear" w:color="auto" w:fill="FFFFFF" w:themeFill="background1"/>
            <w:vAlign w:val="center"/>
          </w:tcPr>
          <w:p w:rsidR="00A131AD" w:rsidRPr="0070527E" w:rsidRDefault="00A131AD" w:rsidP="000C0138">
            <w:pPr>
              <w:pStyle w:val="NoSpacing"/>
              <w:spacing w:line="276" w:lineRule="auto"/>
              <w:jc w:val="center"/>
              <w:rPr>
                <w:color w:val="000000" w:themeColor="text1"/>
                <w:sz w:val="22"/>
                <w:szCs w:val="22"/>
              </w:rPr>
            </w:pPr>
          </w:p>
        </w:tc>
        <w:tc>
          <w:tcPr>
            <w:tcW w:w="1718"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Srednja vrijednost eff.doza</w:t>
            </w:r>
          </w:p>
        </w:tc>
        <w:tc>
          <w:tcPr>
            <w:tcW w:w="865" w:type="dxa"/>
            <w:shd w:val="clear" w:color="auto" w:fill="FFFFFF" w:themeFill="background1"/>
            <w:vAlign w:val="center"/>
          </w:tcPr>
          <w:p w:rsidR="00A131AD" w:rsidRPr="0070527E" w:rsidRDefault="00A131AD" w:rsidP="000C0138">
            <w:pPr>
              <w:pStyle w:val="NoSpacing"/>
              <w:spacing w:line="276" w:lineRule="auto"/>
              <w:rPr>
                <w:b/>
                <w:bCs/>
                <w:color w:val="000000" w:themeColor="text1"/>
                <w:sz w:val="22"/>
                <w:szCs w:val="22"/>
              </w:rPr>
            </w:pPr>
            <w:r w:rsidRPr="0070527E">
              <w:rPr>
                <w:b/>
                <w:bCs/>
                <w:color w:val="000000" w:themeColor="text1"/>
                <w:sz w:val="22"/>
                <w:szCs w:val="22"/>
              </w:rPr>
              <w:t>0,159</w:t>
            </w:r>
          </w:p>
        </w:tc>
        <w:tc>
          <w:tcPr>
            <w:tcW w:w="866" w:type="dxa"/>
            <w:shd w:val="clear" w:color="auto" w:fill="FFFFFF" w:themeFill="background1"/>
            <w:vAlign w:val="center"/>
          </w:tcPr>
          <w:p w:rsidR="00A131AD" w:rsidRPr="0070527E" w:rsidRDefault="00A131AD" w:rsidP="000C0138">
            <w:pPr>
              <w:pStyle w:val="NoSpacing"/>
              <w:spacing w:line="276" w:lineRule="auto"/>
              <w:rPr>
                <w:b/>
                <w:bCs/>
                <w:color w:val="000000" w:themeColor="text1"/>
                <w:sz w:val="22"/>
                <w:szCs w:val="22"/>
              </w:rPr>
            </w:pPr>
            <w:r w:rsidRPr="0070527E">
              <w:rPr>
                <w:b/>
                <w:bCs/>
                <w:color w:val="000000" w:themeColor="text1"/>
                <w:sz w:val="22"/>
                <w:szCs w:val="22"/>
              </w:rPr>
              <w:t>0,282</w:t>
            </w:r>
          </w:p>
        </w:tc>
        <w:tc>
          <w:tcPr>
            <w:tcW w:w="866" w:type="dxa"/>
            <w:shd w:val="clear" w:color="auto" w:fill="FFFFFF" w:themeFill="background1"/>
            <w:vAlign w:val="center"/>
          </w:tcPr>
          <w:p w:rsidR="00A131AD" w:rsidRPr="0070527E" w:rsidRDefault="00A131AD" w:rsidP="000C0138">
            <w:pPr>
              <w:pStyle w:val="NoSpacing"/>
              <w:spacing w:line="276" w:lineRule="auto"/>
              <w:rPr>
                <w:b/>
                <w:bCs/>
                <w:color w:val="000000" w:themeColor="text1"/>
                <w:sz w:val="22"/>
                <w:szCs w:val="22"/>
              </w:rPr>
            </w:pPr>
            <w:r w:rsidRPr="0070527E">
              <w:rPr>
                <w:b/>
                <w:bCs/>
                <w:color w:val="000000" w:themeColor="text1"/>
                <w:sz w:val="22"/>
                <w:szCs w:val="22"/>
              </w:rPr>
              <w:t>0,265</w:t>
            </w:r>
          </w:p>
        </w:tc>
        <w:tc>
          <w:tcPr>
            <w:tcW w:w="866" w:type="dxa"/>
            <w:shd w:val="clear" w:color="auto" w:fill="FFFFFF" w:themeFill="background1"/>
            <w:vAlign w:val="center"/>
          </w:tcPr>
          <w:p w:rsidR="00A131AD" w:rsidRPr="0070527E" w:rsidRDefault="00A131AD" w:rsidP="000C0138">
            <w:pPr>
              <w:pStyle w:val="NoSpacing"/>
              <w:spacing w:line="276" w:lineRule="auto"/>
              <w:rPr>
                <w:b/>
                <w:bCs/>
                <w:color w:val="000000" w:themeColor="text1"/>
                <w:sz w:val="22"/>
                <w:szCs w:val="22"/>
              </w:rPr>
            </w:pPr>
            <w:r w:rsidRPr="0070527E">
              <w:rPr>
                <w:b/>
                <w:bCs/>
                <w:color w:val="000000" w:themeColor="text1"/>
                <w:sz w:val="22"/>
                <w:szCs w:val="22"/>
              </w:rPr>
              <w:t>0,133</w:t>
            </w:r>
          </w:p>
        </w:tc>
        <w:tc>
          <w:tcPr>
            <w:tcW w:w="865" w:type="dxa"/>
            <w:shd w:val="clear" w:color="auto" w:fill="FFFFFF" w:themeFill="background1"/>
            <w:vAlign w:val="center"/>
          </w:tcPr>
          <w:p w:rsidR="00A131AD" w:rsidRPr="0070527E" w:rsidRDefault="00A131AD" w:rsidP="000C0138">
            <w:pPr>
              <w:pStyle w:val="NoSpacing"/>
              <w:spacing w:line="276" w:lineRule="auto"/>
              <w:rPr>
                <w:b/>
                <w:bCs/>
                <w:color w:val="000000" w:themeColor="text1"/>
                <w:sz w:val="22"/>
                <w:szCs w:val="22"/>
              </w:rPr>
            </w:pPr>
            <w:r w:rsidRPr="0070527E">
              <w:rPr>
                <w:b/>
                <w:bCs/>
                <w:color w:val="000000" w:themeColor="text1"/>
                <w:sz w:val="22"/>
                <w:szCs w:val="22"/>
              </w:rPr>
              <w:t>0,261</w:t>
            </w:r>
          </w:p>
        </w:tc>
        <w:tc>
          <w:tcPr>
            <w:tcW w:w="866" w:type="dxa"/>
            <w:shd w:val="clear" w:color="auto" w:fill="FFFFFF" w:themeFill="background1"/>
            <w:vAlign w:val="center"/>
          </w:tcPr>
          <w:p w:rsidR="00A131AD" w:rsidRPr="0070527E" w:rsidRDefault="00A131AD" w:rsidP="000C0138">
            <w:pPr>
              <w:pStyle w:val="NoSpacing"/>
              <w:spacing w:line="276" w:lineRule="auto"/>
              <w:rPr>
                <w:b/>
                <w:bCs/>
                <w:color w:val="000000" w:themeColor="text1"/>
                <w:sz w:val="22"/>
                <w:szCs w:val="22"/>
              </w:rPr>
            </w:pPr>
            <w:r w:rsidRPr="0070527E">
              <w:rPr>
                <w:b/>
                <w:bCs/>
                <w:color w:val="000000" w:themeColor="text1"/>
                <w:sz w:val="22"/>
                <w:szCs w:val="22"/>
              </w:rPr>
              <w:t>0,316</w:t>
            </w:r>
          </w:p>
        </w:tc>
        <w:tc>
          <w:tcPr>
            <w:tcW w:w="866" w:type="dxa"/>
            <w:shd w:val="clear" w:color="auto" w:fill="FFFFFF" w:themeFill="background1"/>
            <w:vAlign w:val="center"/>
          </w:tcPr>
          <w:p w:rsidR="00A131AD" w:rsidRPr="0070527E" w:rsidRDefault="00A131AD" w:rsidP="000C0138">
            <w:pPr>
              <w:pStyle w:val="NoSpacing"/>
              <w:spacing w:line="276" w:lineRule="auto"/>
              <w:rPr>
                <w:b/>
                <w:bCs/>
                <w:color w:val="000000" w:themeColor="text1"/>
                <w:sz w:val="22"/>
                <w:szCs w:val="22"/>
              </w:rPr>
            </w:pPr>
            <w:r w:rsidRPr="0070527E">
              <w:rPr>
                <w:b/>
                <w:bCs/>
                <w:color w:val="000000" w:themeColor="text1"/>
                <w:sz w:val="22"/>
                <w:szCs w:val="22"/>
              </w:rPr>
              <w:t>0,119</w:t>
            </w:r>
          </w:p>
        </w:tc>
        <w:tc>
          <w:tcPr>
            <w:tcW w:w="866" w:type="dxa"/>
            <w:shd w:val="clear" w:color="auto" w:fill="FFFFFF" w:themeFill="background1"/>
            <w:vAlign w:val="center"/>
          </w:tcPr>
          <w:p w:rsidR="00A131AD" w:rsidRPr="0070527E" w:rsidRDefault="00A131AD" w:rsidP="000C0138">
            <w:pPr>
              <w:pStyle w:val="NoSpacing"/>
              <w:spacing w:line="276" w:lineRule="auto"/>
              <w:rPr>
                <w:b/>
                <w:bCs/>
                <w:color w:val="000000" w:themeColor="text1"/>
                <w:sz w:val="22"/>
                <w:szCs w:val="22"/>
              </w:rPr>
            </w:pPr>
            <w:r w:rsidRPr="0070527E">
              <w:rPr>
                <w:b/>
                <w:bCs/>
                <w:color w:val="000000" w:themeColor="text1"/>
                <w:sz w:val="22"/>
                <w:szCs w:val="22"/>
              </w:rPr>
              <w:t>0,185</w:t>
            </w:r>
          </w:p>
        </w:tc>
      </w:tr>
      <w:tr w:rsidR="00A06016" w:rsidRPr="0070527E" w:rsidTr="0070527E">
        <w:trPr>
          <w:trHeight w:val="173"/>
          <w:jc w:val="center"/>
        </w:trPr>
        <w:tc>
          <w:tcPr>
            <w:tcW w:w="462" w:type="dxa"/>
            <w:vMerge w:val="restart"/>
            <w:shd w:val="clear" w:color="auto" w:fill="FFFFFF" w:themeFill="background1"/>
            <w:textDirection w:val="btLr"/>
            <w:vAlign w:val="center"/>
          </w:tcPr>
          <w:p w:rsidR="00A131AD" w:rsidRPr="0070527E" w:rsidRDefault="00A131AD" w:rsidP="000C0138">
            <w:pPr>
              <w:pStyle w:val="NoSpacing"/>
              <w:spacing w:line="276" w:lineRule="auto"/>
              <w:jc w:val="center"/>
              <w:rPr>
                <w:color w:val="000000" w:themeColor="text1"/>
                <w:sz w:val="22"/>
                <w:szCs w:val="22"/>
              </w:rPr>
            </w:pPr>
            <w:r w:rsidRPr="0070527E">
              <w:rPr>
                <w:color w:val="000000" w:themeColor="text1"/>
                <w:sz w:val="22"/>
                <w:szCs w:val="22"/>
              </w:rPr>
              <w:t>2014</w:t>
            </w:r>
            <w:r w:rsidR="00874E9B">
              <w:rPr>
                <w:color w:val="000000" w:themeColor="text1"/>
                <w:sz w:val="22"/>
                <w:szCs w:val="22"/>
              </w:rPr>
              <w:t>.</w:t>
            </w:r>
          </w:p>
        </w:tc>
        <w:tc>
          <w:tcPr>
            <w:tcW w:w="1718"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Kol. eff.doza</w:t>
            </w:r>
          </w:p>
        </w:tc>
        <w:tc>
          <w:tcPr>
            <w:tcW w:w="865"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149,210</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25,545</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24,535</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12,960</w:t>
            </w:r>
          </w:p>
        </w:tc>
        <w:tc>
          <w:tcPr>
            <w:tcW w:w="865"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21,78</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15,055</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1,100</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250,185</w:t>
            </w:r>
          </w:p>
        </w:tc>
      </w:tr>
      <w:tr w:rsidR="00A06016" w:rsidRPr="0070527E" w:rsidTr="0070527E">
        <w:trPr>
          <w:trHeight w:val="173"/>
          <w:jc w:val="center"/>
        </w:trPr>
        <w:tc>
          <w:tcPr>
            <w:tcW w:w="462" w:type="dxa"/>
            <w:vMerge/>
            <w:shd w:val="clear" w:color="auto" w:fill="FFFFFF" w:themeFill="background1"/>
            <w:vAlign w:val="center"/>
          </w:tcPr>
          <w:p w:rsidR="00A131AD" w:rsidRPr="0070527E" w:rsidRDefault="00A131AD" w:rsidP="000C0138">
            <w:pPr>
              <w:pStyle w:val="NoSpacing"/>
              <w:spacing w:line="276" w:lineRule="auto"/>
              <w:jc w:val="center"/>
              <w:rPr>
                <w:color w:val="000000" w:themeColor="text1"/>
                <w:sz w:val="22"/>
                <w:szCs w:val="22"/>
              </w:rPr>
            </w:pPr>
          </w:p>
        </w:tc>
        <w:tc>
          <w:tcPr>
            <w:tcW w:w="1718"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Broj lica (očitanja)</w:t>
            </w:r>
          </w:p>
        </w:tc>
        <w:tc>
          <w:tcPr>
            <w:tcW w:w="865"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1042</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100</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100</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98</w:t>
            </w:r>
          </w:p>
        </w:tc>
        <w:tc>
          <w:tcPr>
            <w:tcW w:w="865"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94</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49</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5</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1488</w:t>
            </w:r>
          </w:p>
        </w:tc>
      </w:tr>
      <w:tr w:rsidR="00A06016" w:rsidRPr="0070527E" w:rsidTr="0070527E">
        <w:trPr>
          <w:trHeight w:val="173"/>
          <w:jc w:val="center"/>
        </w:trPr>
        <w:tc>
          <w:tcPr>
            <w:tcW w:w="462" w:type="dxa"/>
            <w:vMerge/>
            <w:shd w:val="clear" w:color="auto" w:fill="FFFFFF" w:themeFill="background1"/>
            <w:vAlign w:val="center"/>
          </w:tcPr>
          <w:p w:rsidR="00A131AD" w:rsidRPr="0070527E" w:rsidRDefault="00A131AD" w:rsidP="000C0138">
            <w:pPr>
              <w:pStyle w:val="NoSpacing"/>
              <w:spacing w:line="276" w:lineRule="auto"/>
              <w:jc w:val="center"/>
              <w:rPr>
                <w:color w:val="000000" w:themeColor="text1"/>
                <w:sz w:val="22"/>
                <w:szCs w:val="22"/>
              </w:rPr>
            </w:pPr>
          </w:p>
        </w:tc>
        <w:tc>
          <w:tcPr>
            <w:tcW w:w="1718"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Srednja vrijednost eff.doza</w:t>
            </w:r>
          </w:p>
        </w:tc>
        <w:tc>
          <w:tcPr>
            <w:tcW w:w="865" w:type="dxa"/>
            <w:shd w:val="clear" w:color="auto" w:fill="FFFFFF" w:themeFill="background1"/>
            <w:vAlign w:val="center"/>
          </w:tcPr>
          <w:p w:rsidR="00A131AD" w:rsidRPr="0070527E" w:rsidRDefault="00A131AD" w:rsidP="000C0138">
            <w:pPr>
              <w:pStyle w:val="NoSpacing"/>
              <w:spacing w:line="276" w:lineRule="auto"/>
              <w:rPr>
                <w:b/>
                <w:bCs/>
                <w:color w:val="000000" w:themeColor="text1"/>
                <w:sz w:val="22"/>
                <w:szCs w:val="22"/>
              </w:rPr>
            </w:pPr>
            <w:r w:rsidRPr="0070527E">
              <w:rPr>
                <w:b/>
                <w:bCs/>
                <w:color w:val="000000" w:themeColor="text1"/>
                <w:sz w:val="22"/>
                <w:szCs w:val="22"/>
              </w:rPr>
              <w:t>0,143</w:t>
            </w:r>
          </w:p>
        </w:tc>
        <w:tc>
          <w:tcPr>
            <w:tcW w:w="866" w:type="dxa"/>
            <w:shd w:val="clear" w:color="auto" w:fill="FFFFFF" w:themeFill="background1"/>
            <w:vAlign w:val="center"/>
          </w:tcPr>
          <w:p w:rsidR="00A131AD" w:rsidRPr="0070527E" w:rsidRDefault="00A131AD" w:rsidP="000C0138">
            <w:pPr>
              <w:pStyle w:val="NoSpacing"/>
              <w:spacing w:line="276" w:lineRule="auto"/>
              <w:rPr>
                <w:b/>
                <w:bCs/>
                <w:color w:val="000000" w:themeColor="text1"/>
                <w:sz w:val="22"/>
                <w:szCs w:val="22"/>
              </w:rPr>
            </w:pPr>
            <w:r w:rsidRPr="0070527E">
              <w:rPr>
                <w:b/>
                <w:bCs/>
                <w:color w:val="000000" w:themeColor="text1"/>
                <w:sz w:val="22"/>
                <w:szCs w:val="22"/>
              </w:rPr>
              <w:t>0,255</w:t>
            </w:r>
          </w:p>
        </w:tc>
        <w:tc>
          <w:tcPr>
            <w:tcW w:w="866" w:type="dxa"/>
            <w:shd w:val="clear" w:color="auto" w:fill="FFFFFF" w:themeFill="background1"/>
            <w:vAlign w:val="center"/>
          </w:tcPr>
          <w:p w:rsidR="00A131AD" w:rsidRPr="0070527E" w:rsidRDefault="00A131AD" w:rsidP="000C0138">
            <w:pPr>
              <w:pStyle w:val="NoSpacing"/>
              <w:spacing w:line="276" w:lineRule="auto"/>
              <w:rPr>
                <w:b/>
                <w:bCs/>
                <w:color w:val="000000" w:themeColor="text1"/>
                <w:sz w:val="22"/>
                <w:szCs w:val="22"/>
              </w:rPr>
            </w:pPr>
            <w:r w:rsidRPr="0070527E">
              <w:rPr>
                <w:b/>
                <w:bCs/>
                <w:color w:val="000000" w:themeColor="text1"/>
                <w:sz w:val="22"/>
                <w:szCs w:val="22"/>
              </w:rPr>
              <w:t>0,245</w:t>
            </w:r>
          </w:p>
        </w:tc>
        <w:tc>
          <w:tcPr>
            <w:tcW w:w="866" w:type="dxa"/>
            <w:shd w:val="clear" w:color="auto" w:fill="FFFFFF" w:themeFill="background1"/>
            <w:vAlign w:val="center"/>
          </w:tcPr>
          <w:p w:rsidR="00A131AD" w:rsidRPr="0070527E" w:rsidRDefault="00A131AD" w:rsidP="000C0138">
            <w:pPr>
              <w:pStyle w:val="NoSpacing"/>
              <w:spacing w:line="276" w:lineRule="auto"/>
              <w:rPr>
                <w:b/>
                <w:bCs/>
                <w:color w:val="000000" w:themeColor="text1"/>
                <w:sz w:val="22"/>
                <w:szCs w:val="22"/>
              </w:rPr>
            </w:pPr>
            <w:r w:rsidRPr="0070527E">
              <w:rPr>
                <w:b/>
                <w:bCs/>
                <w:color w:val="000000" w:themeColor="text1"/>
                <w:sz w:val="22"/>
                <w:szCs w:val="22"/>
              </w:rPr>
              <w:t>0,132</w:t>
            </w:r>
          </w:p>
        </w:tc>
        <w:tc>
          <w:tcPr>
            <w:tcW w:w="865" w:type="dxa"/>
            <w:shd w:val="clear" w:color="auto" w:fill="FFFFFF" w:themeFill="background1"/>
            <w:vAlign w:val="center"/>
          </w:tcPr>
          <w:p w:rsidR="00A131AD" w:rsidRPr="0070527E" w:rsidRDefault="00A131AD" w:rsidP="000C0138">
            <w:pPr>
              <w:pStyle w:val="NoSpacing"/>
              <w:spacing w:line="276" w:lineRule="auto"/>
              <w:rPr>
                <w:b/>
                <w:bCs/>
                <w:color w:val="000000" w:themeColor="text1"/>
                <w:sz w:val="22"/>
                <w:szCs w:val="22"/>
              </w:rPr>
            </w:pPr>
            <w:r w:rsidRPr="0070527E">
              <w:rPr>
                <w:b/>
                <w:bCs/>
                <w:color w:val="000000" w:themeColor="text1"/>
                <w:sz w:val="22"/>
                <w:szCs w:val="22"/>
              </w:rPr>
              <w:t>0,232</w:t>
            </w:r>
          </w:p>
        </w:tc>
        <w:tc>
          <w:tcPr>
            <w:tcW w:w="866" w:type="dxa"/>
            <w:shd w:val="clear" w:color="auto" w:fill="FFFFFF" w:themeFill="background1"/>
            <w:vAlign w:val="center"/>
          </w:tcPr>
          <w:p w:rsidR="00A131AD" w:rsidRPr="0070527E" w:rsidRDefault="00A131AD" w:rsidP="000C0138">
            <w:pPr>
              <w:pStyle w:val="NoSpacing"/>
              <w:spacing w:line="276" w:lineRule="auto"/>
              <w:rPr>
                <w:b/>
                <w:bCs/>
                <w:color w:val="000000" w:themeColor="text1"/>
                <w:sz w:val="22"/>
                <w:szCs w:val="22"/>
              </w:rPr>
            </w:pPr>
            <w:r w:rsidRPr="0070527E">
              <w:rPr>
                <w:b/>
                <w:bCs/>
                <w:color w:val="000000" w:themeColor="text1"/>
                <w:sz w:val="22"/>
                <w:szCs w:val="22"/>
              </w:rPr>
              <w:t>0,307</w:t>
            </w:r>
          </w:p>
        </w:tc>
        <w:tc>
          <w:tcPr>
            <w:tcW w:w="866" w:type="dxa"/>
            <w:shd w:val="clear" w:color="auto" w:fill="FFFFFF" w:themeFill="background1"/>
            <w:vAlign w:val="center"/>
          </w:tcPr>
          <w:p w:rsidR="00A131AD" w:rsidRPr="0070527E" w:rsidRDefault="00A131AD" w:rsidP="000C0138">
            <w:pPr>
              <w:pStyle w:val="NoSpacing"/>
              <w:spacing w:line="276" w:lineRule="auto"/>
              <w:rPr>
                <w:b/>
                <w:bCs/>
                <w:color w:val="000000" w:themeColor="text1"/>
                <w:sz w:val="22"/>
                <w:szCs w:val="22"/>
              </w:rPr>
            </w:pPr>
            <w:r w:rsidRPr="0070527E">
              <w:rPr>
                <w:b/>
                <w:bCs/>
                <w:color w:val="000000" w:themeColor="text1"/>
                <w:sz w:val="22"/>
                <w:szCs w:val="22"/>
              </w:rPr>
              <w:t>0,220</w:t>
            </w:r>
          </w:p>
        </w:tc>
        <w:tc>
          <w:tcPr>
            <w:tcW w:w="866" w:type="dxa"/>
            <w:shd w:val="clear" w:color="auto" w:fill="FFFFFF" w:themeFill="background1"/>
            <w:vAlign w:val="center"/>
          </w:tcPr>
          <w:p w:rsidR="00A131AD" w:rsidRPr="0070527E" w:rsidRDefault="00A131AD" w:rsidP="000C0138">
            <w:pPr>
              <w:pStyle w:val="NoSpacing"/>
              <w:spacing w:line="276" w:lineRule="auto"/>
              <w:rPr>
                <w:b/>
                <w:bCs/>
                <w:color w:val="000000" w:themeColor="text1"/>
                <w:sz w:val="22"/>
                <w:szCs w:val="22"/>
              </w:rPr>
            </w:pPr>
            <w:r w:rsidRPr="0070527E">
              <w:rPr>
                <w:b/>
                <w:bCs/>
                <w:color w:val="000000" w:themeColor="text1"/>
                <w:sz w:val="22"/>
                <w:szCs w:val="22"/>
              </w:rPr>
              <w:t>0,168</w:t>
            </w:r>
          </w:p>
        </w:tc>
      </w:tr>
      <w:tr w:rsidR="00A06016" w:rsidRPr="0070527E" w:rsidTr="0070527E">
        <w:trPr>
          <w:trHeight w:val="173"/>
          <w:jc w:val="center"/>
        </w:trPr>
        <w:tc>
          <w:tcPr>
            <w:tcW w:w="462" w:type="dxa"/>
            <w:vMerge w:val="restart"/>
            <w:shd w:val="clear" w:color="auto" w:fill="FFFFFF" w:themeFill="background1"/>
            <w:textDirection w:val="btLr"/>
            <w:vAlign w:val="center"/>
          </w:tcPr>
          <w:p w:rsidR="00A131AD" w:rsidRPr="0070527E" w:rsidRDefault="00A131AD" w:rsidP="000C0138">
            <w:pPr>
              <w:pStyle w:val="NoSpacing"/>
              <w:spacing w:line="276" w:lineRule="auto"/>
              <w:jc w:val="center"/>
              <w:rPr>
                <w:color w:val="000000" w:themeColor="text1"/>
                <w:sz w:val="22"/>
                <w:szCs w:val="22"/>
              </w:rPr>
            </w:pPr>
            <w:r w:rsidRPr="0070527E">
              <w:rPr>
                <w:color w:val="000000" w:themeColor="text1"/>
                <w:sz w:val="22"/>
                <w:szCs w:val="22"/>
              </w:rPr>
              <w:t>2015</w:t>
            </w:r>
            <w:r w:rsidR="00874E9B">
              <w:rPr>
                <w:color w:val="000000" w:themeColor="text1"/>
                <w:sz w:val="22"/>
                <w:szCs w:val="22"/>
              </w:rPr>
              <w:t>.</w:t>
            </w:r>
          </w:p>
        </w:tc>
        <w:tc>
          <w:tcPr>
            <w:tcW w:w="1718"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Kol. eff.doza</w:t>
            </w:r>
          </w:p>
        </w:tc>
        <w:tc>
          <w:tcPr>
            <w:tcW w:w="865"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242,780</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42,620</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49,270</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17,860</w:t>
            </w:r>
          </w:p>
        </w:tc>
        <w:tc>
          <w:tcPr>
            <w:tcW w:w="865"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28,360</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20,715</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1,425</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403,030</w:t>
            </w:r>
          </w:p>
        </w:tc>
      </w:tr>
      <w:tr w:rsidR="00A06016" w:rsidRPr="0070527E" w:rsidTr="0070527E">
        <w:trPr>
          <w:trHeight w:val="173"/>
          <w:jc w:val="center"/>
        </w:trPr>
        <w:tc>
          <w:tcPr>
            <w:tcW w:w="462" w:type="dxa"/>
            <w:vMerge/>
            <w:shd w:val="clear" w:color="auto" w:fill="FFFFFF" w:themeFill="background1"/>
            <w:vAlign w:val="center"/>
          </w:tcPr>
          <w:p w:rsidR="00A131AD" w:rsidRPr="0070527E" w:rsidRDefault="00A131AD" w:rsidP="000C0138">
            <w:pPr>
              <w:pStyle w:val="NoSpacing"/>
              <w:spacing w:line="276" w:lineRule="auto"/>
              <w:jc w:val="center"/>
              <w:rPr>
                <w:color w:val="000000" w:themeColor="text1"/>
                <w:sz w:val="22"/>
                <w:szCs w:val="22"/>
              </w:rPr>
            </w:pPr>
          </w:p>
        </w:tc>
        <w:tc>
          <w:tcPr>
            <w:tcW w:w="1718"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Broj lica (očitanja)</w:t>
            </w:r>
          </w:p>
        </w:tc>
        <w:tc>
          <w:tcPr>
            <w:tcW w:w="865"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1065</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104</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104</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92</w:t>
            </w:r>
          </w:p>
        </w:tc>
        <w:tc>
          <w:tcPr>
            <w:tcW w:w="865"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75</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52</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5</w:t>
            </w:r>
          </w:p>
        </w:tc>
        <w:tc>
          <w:tcPr>
            <w:tcW w:w="866"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1497</w:t>
            </w:r>
          </w:p>
        </w:tc>
      </w:tr>
      <w:tr w:rsidR="00A06016" w:rsidRPr="0070527E" w:rsidTr="0070527E">
        <w:trPr>
          <w:trHeight w:val="803"/>
          <w:jc w:val="center"/>
        </w:trPr>
        <w:tc>
          <w:tcPr>
            <w:tcW w:w="462" w:type="dxa"/>
            <w:vMerge/>
            <w:shd w:val="clear" w:color="auto" w:fill="FFFFFF" w:themeFill="background1"/>
            <w:vAlign w:val="center"/>
          </w:tcPr>
          <w:p w:rsidR="00A131AD" w:rsidRPr="0070527E" w:rsidRDefault="00A131AD" w:rsidP="000C0138">
            <w:pPr>
              <w:pStyle w:val="NoSpacing"/>
              <w:spacing w:line="276" w:lineRule="auto"/>
              <w:jc w:val="center"/>
              <w:rPr>
                <w:color w:val="000000" w:themeColor="text1"/>
                <w:sz w:val="22"/>
                <w:szCs w:val="22"/>
              </w:rPr>
            </w:pPr>
          </w:p>
        </w:tc>
        <w:tc>
          <w:tcPr>
            <w:tcW w:w="1718" w:type="dxa"/>
            <w:shd w:val="clear" w:color="auto" w:fill="FFFFFF" w:themeFill="background1"/>
            <w:vAlign w:val="center"/>
          </w:tcPr>
          <w:p w:rsidR="00A131AD" w:rsidRPr="0070527E" w:rsidRDefault="00A131AD" w:rsidP="000C0138">
            <w:pPr>
              <w:pStyle w:val="NoSpacing"/>
              <w:spacing w:line="276" w:lineRule="auto"/>
              <w:rPr>
                <w:color w:val="000000" w:themeColor="text1"/>
                <w:sz w:val="22"/>
                <w:szCs w:val="22"/>
              </w:rPr>
            </w:pPr>
            <w:r w:rsidRPr="0070527E">
              <w:rPr>
                <w:color w:val="000000" w:themeColor="text1"/>
                <w:sz w:val="22"/>
                <w:szCs w:val="22"/>
              </w:rPr>
              <w:t>Srednja vrijednost eff.doza</w:t>
            </w:r>
          </w:p>
        </w:tc>
        <w:tc>
          <w:tcPr>
            <w:tcW w:w="865" w:type="dxa"/>
            <w:shd w:val="clear" w:color="auto" w:fill="FFFFFF" w:themeFill="background1"/>
            <w:vAlign w:val="center"/>
          </w:tcPr>
          <w:p w:rsidR="00A131AD" w:rsidRPr="0070527E" w:rsidRDefault="00A131AD" w:rsidP="000C0138">
            <w:pPr>
              <w:pStyle w:val="NoSpacing"/>
              <w:spacing w:line="276" w:lineRule="auto"/>
              <w:rPr>
                <w:b/>
                <w:bCs/>
                <w:color w:val="000000" w:themeColor="text1"/>
                <w:sz w:val="22"/>
                <w:szCs w:val="22"/>
              </w:rPr>
            </w:pPr>
            <w:r w:rsidRPr="0070527E">
              <w:rPr>
                <w:b/>
                <w:bCs/>
                <w:color w:val="000000" w:themeColor="text1"/>
                <w:sz w:val="22"/>
                <w:szCs w:val="22"/>
              </w:rPr>
              <w:t>0,228</w:t>
            </w:r>
          </w:p>
        </w:tc>
        <w:tc>
          <w:tcPr>
            <w:tcW w:w="866" w:type="dxa"/>
            <w:shd w:val="clear" w:color="auto" w:fill="FFFFFF" w:themeFill="background1"/>
            <w:vAlign w:val="center"/>
          </w:tcPr>
          <w:p w:rsidR="00A131AD" w:rsidRPr="0070527E" w:rsidRDefault="00A131AD" w:rsidP="000C0138">
            <w:pPr>
              <w:pStyle w:val="NoSpacing"/>
              <w:spacing w:line="276" w:lineRule="auto"/>
              <w:rPr>
                <w:b/>
                <w:bCs/>
                <w:color w:val="000000" w:themeColor="text1"/>
                <w:sz w:val="22"/>
                <w:szCs w:val="22"/>
              </w:rPr>
            </w:pPr>
            <w:r w:rsidRPr="0070527E">
              <w:rPr>
                <w:b/>
                <w:bCs/>
                <w:color w:val="000000" w:themeColor="text1"/>
                <w:sz w:val="22"/>
                <w:szCs w:val="22"/>
              </w:rPr>
              <w:t>0,410</w:t>
            </w:r>
          </w:p>
        </w:tc>
        <w:tc>
          <w:tcPr>
            <w:tcW w:w="866" w:type="dxa"/>
            <w:shd w:val="clear" w:color="auto" w:fill="FFFFFF" w:themeFill="background1"/>
            <w:vAlign w:val="center"/>
          </w:tcPr>
          <w:p w:rsidR="00A131AD" w:rsidRPr="0070527E" w:rsidRDefault="00A131AD" w:rsidP="000C0138">
            <w:pPr>
              <w:pStyle w:val="NoSpacing"/>
              <w:spacing w:line="276" w:lineRule="auto"/>
              <w:rPr>
                <w:b/>
                <w:bCs/>
                <w:color w:val="000000" w:themeColor="text1"/>
                <w:sz w:val="22"/>
                <w:szCs w:val="22"/>
              </w:rPr>
            </w:pPr>
            <w:r w:rsidRPr="0070527E">
              <w:rPr>
                <w:b/>
                <w:bCs/>
                <w:color w:val="000000" w:themeColor="text1"/>
                <w:sz w:val="22"/>
                <w:szCs w:val="22"/>
              </w:rPr>
              <w:t>0,474</w:t>
            </w:r>
          </w:p>
        </w:tc>
        <w:tc>
          <w:tcPr>
            <w:tcW w:w="866" w:type="dxa"/>
            <w:shd w:val="clear" w:color="auto" w:fill="FFFFFF" w:themeFill="background1"/>
            <w:vAlign w:val="center"/>
          </w:tcPr>
          <w:p w:rsidR="00A131AD" w:rsidRPr="0070527E" w:rsidRDefault="00A131AD" w:rsidP="000C0138">
            <w:pPr>
              <w:pStyle w:val="NoSpacing"/>
              <w:spacing w:line="276" w:lineRule="auto"/>
              <w:rPr>
                <w:b/>
                <w:bCs/>
                <w:color w:val="000000" w:themeColor="text1"/>
                <w:sz w:val="22"/>
                <w:szCs w:val="22"/>
              </w:rPr>
            </w:pPr>
            <w:r w:rsidRPr="0070527E">
              <w:rPr>
                <w:b/>
                <w:bCs/>
                <w:color w:val="000000" w:themeColor="text1"/>
                <w:sz w:val="22"/>
                <w:szCs w:val="22"/>
              </w:rPr>
              <w:t>0,194</w:t>
            </w:r>
          </w:p>
        </w:tc>
        <w:tc>
          <w:tcPr>
            <w:tcW w:w="865" w:type="dxa"/>
            <w:shd w:val="clear" w:color="auto" w:fill="FFFFFF" w:themeFill="background1"/>
            <w:vAlign w:val="center"/>
          </w:tcPr>
          <w:p w:rsidR="00A131AD" w:rsidRPr="0070527E" w:rsidRDefault="00A131AD" w:rsidP="000C0138">
            <w:pPr>
              <w:pStyle w:val="NoSpacing"/>
              <w:spacing w:line="276" w:lineRule="auto"/>
              <w:rPr>
                <w:b/>
                <w:bCs/>
                <w:color w:val="000000" w:themeColor="text1"/>
                <w:sz w:val="22"/>
                <w:szCs w:val="22"/>
              </w:rPr>
            </w:pPr>
            <w:r w:rsidRPr="0070527E">
              <w:rPr>
                <w:b/>
                <w:bCs/>
                <w:color w:val="000000" w:themeColor="text1"/>
                <w:sz w:val="22"/>
                <w:szCs w:val="22"/>
              </w:rPr>
              <w:t>0,378</w:t>
            </w:r>
          </w:p>
        </w:tc>
        <w:tc>
          <w:tcPr>
            <w:tcW w:w="866" w:type="dxa"/>
            <w:shd w:val="clear" w:color="auto" w:fill="FFFFFF" w:themeFill="background1"/>
            <w:vAlign w:val="center"/>
          </w:tcPr>
          <w:p w:rsidR="00A131AD" w:rsidRPr="0070527E" w:rsidRDefault="00A131AD" w:rsidP="000C0138">
            <w:pPr>
              <w:pStyle w:val="NoSpacing"/>
              <w:spacing w:line="276" w:lineRule="auto"/>
              <w:rPr>
                <w:b/>
                <w:bCs/>
                <w:color w:val="000000" w:themeColor="text1"/>
                <w:sz w:val="22"/>
                <w:szCs w:val="22"/>
              </w:rPr>
            </w:pPr>
            <w:r w:rsidRPr="0070527E">
              <w:rPr>
                <w:b/>
                <w:bCs/>
                <w:color w:val="000000" w:themeColor="text1"/>
                <w:sz w:val="22"/>
                <w:szCs w:val="22"/>
              </w:rPr>
              <w:t>0,398</w:t>
            </w:r>
          </w:p>
        </w:tc>
        <w:tc>
          <w:tcPr>
            <w:tcW w:w="866" w:type="dxa"/>
            <w:shd w:val="clear" w:color="auto" w:fill="FFFFFF" w:themeFill="background1"/>
            <w:vAlign w:val="center"/>
          </w:tcPr>
          <w:p w:rsidR="00A131AD" w:rsidRPr="0070527E" w:rsidRDefault="00A131AD" w:rsidP="000C0138">
            <w:pPr>
              <w:pStyle w:val="NoSpacing"/>
              <w:spacing w:line="276" w:lineRule="auto"/>
              <w:rPr>
                <w:b/>
                <w:bCs/>
                <w:color w:val="000000" w:themeColor="text1"/>
                <w:sz w:val="22"/>
                <w:szCs w:val="22"/>
              </w:rPr>
            </w:pPr>
            <w:r w:rsidRPr="0070527E">
              <w:rPr>
                <w:b/>
                <w:bCs/>
                <w:color w:val="000000" w:themeColor="text1"/>
                <w:sz w:val="22"/>
                <w:szCs w:val="22"/>
              </w:rPr>
              <w:t>0,285</w:t>
            </w:r>
          </w:p>
        </w:tc>
        <w:tc>
          <w:tcPr>
            <w:tcW w:w="866" w:type="dxa"/>
            <w:shd w:val="clear" w:color="auto" w:fill="FFFFFF" w:themeFill="background1"/>
            <w:vAlign w:val="center"/>
          </w:tcPr>
          <w:p w:rsidR="00A131AD" w:rsidRPr="0070527E" w:rsidRDefault="00A131AD" w:rsidP="000C0138">
            <w:pPr>
              <w:pStyle w:val="NoSpacing"/>
              <w:spacing w:line="276" w:lineRule="auto"/>
              <w:rPr>
                <w:b/>
                <w:bCs/>
                <w:color w:val="000000" w:themeColor="text1"/>
                <w:sz w:val="22"/>
                <w:szCs w:val="22"/>
              </w:rPr>
            </w:pPr>
            <w:r w:rsidRPr="0070527E">
              <w:rPr>
                <w:b/>
                <w:bCs/>
                <w:color w:val="000000" w:themeColor="text1"/>
                <w:sz w:val="22"/>
                <w:szCs w:val="22"/>
              </w:rPr>
              <w:t>0,269</w:t>
            </w:r>
          </w:p>
        </w:tc>
      </w:tr>
    </w:tbl>
    <w:p w:rsidR="00A131AD" w:rsidRPr="00155F80" w:rsidRDefault="00A131AD" w:rsidP="000C0138">
      <w:pPr>
        <w:spacing w:line="276" w:lineRule="auto"/>
        <w:rPr>
          <w:rFonts w:ascii="Times New Roman" w:hAnsi="Times New Roman"/>
        </w:rPr>
      </w:pPr>
    </w:p>
    <w:p w:rsidR="00A131AD" w:rsidRPr="00155F80" w:rsidRDefault="00A131AD" w:rsidP="000C0138">
      <w:pPr>
        <w:spacing w:line="276" w:lineRule="auto"/>
        <w:rPr>
          <w:rFonts w:ascii="Times New Roman" w:hAnsi="Times New Roman"/>
        </w:rPr>
      </w:pPr>
      <w:r w:rsidRPr="00155F80">
        <w:rPr>
          <w:rFonts w:ascii="Times New Roman" w:hAnsi="Times New Roman"/>
        </w:rPr>
        <w:t xml:space="preserve">Očitane vrijednosti efektivne doze su znatno veća za </w:t>
      </w:r>
      <w:r w:rsidR="00BD1A28">
        <w:rPr>
          <w:rFonts w:ascii="Times New Roman" w:hAnsi="Times New Roman"/>
        </w:rPr>
        <w:t>osobe</w:t>
      </w:r>
      <w:r w:rsidRPr="00155F80">
        <w:rPr>
          <w:rFonts w:ascii="Times New Roman" w:hAnsi="Times New Roman"/>
        </w:rPr>
        <w:t xml:space="preserve"> koja rade na nuklearnoj medicini i </w:t>
      </w:r>
      <w:r w:rsidR="00BD1A28">
        <w:rPr>
          <w:rFonts w:ascii="Times New Roman" w:hAnsi="Times New Roman"/>
        </w:rPr>
        <w:t>osobe</w:t>
      </w:r>
      <w:r w:rsidRPr="00155F80">
        <w:rPr>
          <w:rFonts w:ascii="Times New Roman" w:hAnsi="Times New Roman"/>
        </w:rPr>
        <w:t xml:space="preserve"> koj</w:t>
      </w:r>
      <w:r w:rsidR="00BD1A28">
        <w:rPr>
          <w:rFonts w:ascii="Times New Roman" w:hAnsi="Times New Roman"/>
        </w:rPr>
        <w:t>e</w:t>
      </w:r>
      <w:r w:rsidRPr="00155F80">
        <w:rPr>
          <w:rFonts w:ascii="Times New Roman" w:hAnsi="Times New Roman"/>
        </w:rPr>
        <w:t xml:space="preserve"> rade u interventnoj dijagnostici, a uočeno je i da uposlenici koji rade u stomatološkim ordinacijama primaju veće doze od očekivanih. Pretpostavka je da se ne poštuju pravila korištenja </w:t>
      </w:r>
      <w:r w:rsidR="00BD1A28">
        <w:rPr>
          <w:rFonts w:ascii="Times New Roman" w:hAnsi="Times New Roman"/>
        </w:rPr>
        <w:t>osobne</w:t>
      </w:r>
      <w:r w:rsidRPr="00155F80">
        <w:rPr>
          <w:rFonts w:ascii="Times New Roman" w:hAnsi="Times New Roman"/>
        </w:rPr>
        <w:t xml:space="preserve"> zaštitne opreme.</w:t>
      </w:r>
    </w:p>
    <w:p w:rsidR="00A131AD" w:rsidRPr="00155F80" w:rsidRDefault="00A131AD" w:rsidP="000C0138">
      <w:pPr>
        <w:spacing w:line="276" w:lineRule="auto"/>
        <w:rPr>
          <w:rFonts w:ascii="Times New Roman" w:hAnsi="Times New Roman"/>
        </w:rPr>
      </w:pPr>
    </w:p>
    <w:p w:rsidR="001628EA" w:rsidRDefault="001628EA" w:rsidP="000C0138">
      <w:pPr>
        <w:autoSpaceDE w:val="0"/>
        <w:autoSpaceDN w:val="0"/>
        <w:adjustRightInd w:val="0"/>
        <w:spacing w:line="276" w:lineRule="auto"/>
        <w:rPr>
          <w:rFonts w:ascii="Times New Roman" w:hAnsi="Times New Roman"/>
          <w:b/>
          <w:bCs/>
        </w:rPr>
      </w:pPr>
    </w:p>
    <w:p w:rsidR="0070527E" w:rsidRDefault="0070527E" w:rsidP="000C0138">
      <w:pPr>
        <w:autoSpaceDE w:val="0"/>
        <w:autoSpaceDN w:val="0"/>
        <w:adjustRightInd w:val="0"/>
        <w:spacing w:line="276" w:lineRule="auto"/>
        <w:rPr>
          <w:rFonts w:ascii="Times New Roman" w:hAnsi="Times New Roman"/>
          <w:b/>
          <w:bCs/>
        </w:rPr>
      </w:pPr>
    </w:p>
    <w:p w:rsidR="001628EA" w:rsidRDefault="001628EA" w:rsidP="000C0138">
      <w:pPr>
        <w:autoSpaceDE w:val="0"/>
        <w:autoSpaceDN w:val="0"/>
        <w:adjustRightInd w:val="0"/>
        <w:spacing w:line="276" w:lineRule="auto"/>
        <w:rPr>
          <w:rFonts w:ascii="Times New Roman" w:hAnsi="Times New Roman"/>
          <w:b/>
          <w:bCs/>
        </w:rPr>
      </w:pPr>
    </w:p>
    <w:p w:rsidR="001628EA" w:rsidRDefault="001628EA" w:rsidP="000C0138">
      <w:pPr>
        <w:autoSpaceDE w:val="0"/>
        <w:autoSpaceDN w:val="0"/>
        <w:adjustRightInd w:val="0"/>
        <w:spacing w:line="276" w:lineRule="auto"/>
        <w:rPr>
          <w:rFonts w:ascii="Times New Roman" w:hAnsi="Times New Roman"/>
          <w:b/>
          <w:bCs/>
        </w:rPr>
      </w:pPr>
    </w:p>
    <w:p w:rsidR="00A131AD" w:rsidRPr="00155F80" w:rsidRDefault="00A131AD" w:rsidP="000C0138">
      <w:pPr>
        <w:autoSpaceDE w:val="0"/>
        <w:autoSpaceDN w:val="0"/>
        <w:adjustRightInd w:val="0"/>
        <w:spacing w:line="276" w:lineRule="auto"/>
        <w:rPr>
          <w:rFonts w:ascii="Times New Roman" w:hAnsi="Times New Roman"/>
          <w:b/>
          <w:bCs/>
        </w:rPr>
      </w:pPr>
      <w:r w:rsidRPr="00155F80">
        <w:rPr>
          <w:rFonts w:ascii="Times New Roman" w:hAnsi="Times New Roman"/>
          <w:b/>
          <w:bCs/>
        </w:rPr>
        <w:lastRenderedPageBreak/>
        <w:t xml:space="preserve">Zdravstvena kontrola profesionalno izloženih radnika </w:t>
      </w:r>
      <w:r w:rsidR="00BD1A28">
        <w:rPr>
          <w:rFonts w:ascii="Times New Roman" w:hAnsi="Times New Roman"/>
          <w:b/>
          <w:bCs/>
        </w:rPr>
        <w:t>i</w:t>
      </w:r>
      <w:r w:rsidRPr="00155F80">
        <w:rPr>
          <w:rFonts w:ascii="Times New Roman" w:hAnsi="Times New Roman"/>
          <w:b/>
          <w:bCs/>
        </w:rPr>
        <w:t>onizirajućem zračenju</w:t>
      </w:r>
    </w:p>
    <w:p w:rsidR="00A131AD" w:rsidRPr="00155F80" w:rsidRDefault="00A131AD" w:rsidP="000C0138">
      <w:pPr>
        <w:autoSpaceDE w:val="0"/>
        <w:autoSpaceDN w:val="0"/>
        <w:adjustRightInd w:val="0"/>
        <w:spacing w:line="276" w:lineRule="auto"/>
        <w:rPr>
          <w:rFonts w:ascii="Times New Roman" w:hAnsi="Times New Roman"/>
          <w:b/>
          <w:bCs/>
        </w:rPr>
      </w:pPr>
    </w:p>
    <w:p w:rsidR="00A131AD" w:rsidRPr="00155F80" w:rsidRDefault="00A131AD" w:rsidP="000C0138">
      <w:pPr>
        <w:spacing w:line="276" w:lineRule="auto"/>
        <w:rPr>
          <w:rFonts w:ascii="Times New Roman" w:hAnsi="Times New Roman"/>
          <w:lang w:val="en-US"/>
        </w:rPr>
      </w:pPr>
      <w:r w:rsidRPr="00155F80">
        <w:rPr>
          <w:rFonts w:ascii="Times New Roman" w:hAnsi="Times New Roman"/>
        </w:rPr>
        <w:t xml:space="preserve">Osim </w:t>
      </w:r>
      <w:r w:rsidR="00BD1A28">
        <w:rPr>
          <w:rFonts w:ascii="Times New Roman" w:hAnsi="Times New Roman"/>
        </w:rPr>
        <w:t>osobne</w:t>
      </w:r>
      <w:r w:rsidRPr="00155F80">
        <w:rPr>
          <w:rFonts w:ascii="Times New Roman" w:hAnsi="Times New Roman"/>
        </w:rPr>
        <w:t xml:space="preserve"> dozimetrijske kontrole </w:t>
      </w:r>
      <w:r w:rsidR="00BD1A28">
        <w:rPr>
          <w:rFonts w:ascii="Times New Roman" w:hAnsi="Times New Roman"/>
        </w:rPr>
        <w:t>radi</w:t>
      </w:r>
      <w:r w:rsidRPr="00155F80">
        <w:rPr>
          <w:rFonts w:ascii="Times New Roman" w:hAnsi="Times New Roman"/>
        </w:rPr>
        <w:t xml:space="preserve"> zaštite od </w:t>
      </w:r>
      <w:r w:rsidR="00BD1A28">
        <w:rPr>
          <w:rFonts w:ascii="Times New Roman" w:hAnsi="Times New Roman"/>
        </w:rPr>
        <w:t>i</w:t>
      </w:r>
      <w:r w:rsidRPr="00155F80">
        <w:rPr>
          <w:rFonts w:ascii="Times New Roman" w:hAnsi="Times New Roman"/>
        </w:rPr>
        <w:t xml:space="preserve">onizirajućeg zračenja, </w:t>
      </w:r>
      <w:r w:rsidR="00BD1A28">
        <w:rPr>
          <w:rFonts w:ascii="Times New Roman" w:hAnsi="Times New Roman"/>
        </w:rPr>
        <w:t>osobe</w:t>
      </w:r>
      <w:r w:rsidRPr="00155F80">
        <w:rPr>
          <w:rFonts w:ascii="Times New Roman" w:hAnsi="Times New Roman"/>
        </w:rPr>
        <w:t xml:space="preserve"> koja rade sa izvorima </w:t>
      </w:r>
      <w:r w:rsidR="00BD1A28">
        <w:rPr>
          <w:rFonts w:ascii="Times New Roman" w:hAnsi="Times New Roman"/>
        </w:rPr>
        <w:t>i</w:t>
      </w:r>
      <w:r w:rsidRPr="00155F80">
        <w:rPr>
          <w:rFonts w:ascii="Times New Roman" w:hAnsi="Times New Roman"/>
        </w:rPr>
        <w:t>onizirajućeg zračenja obavljaju i periodične zdravstvene preglede („Službeni list SFRJ“,br. 40/86), a od polovine 2012. godine prema Pravilniku o autorizaciji pravnih osoba koje obavljaju zdravstvene  preglede i načinu obavljanja zdravstvenih pregleda</w:t>
      </w:r>
      <w:r w:rsidR="0075749A">
        <w:rPr>
          <w:rFonts w:ascii="Times New Roman" w:hAnsi="Times New Roman"/>
        </w:rPr>
        <w:t xml:space="preserve"> osoba profesionalno izloženih </w:t>
      </w:r>
      <w:r w:rsidR="00BD1A28">
        <w:rPr>
          <w:rFonts w:ascii="Times New Roman" w:hAnsi="Times New Roman"/>
        </w:rPr>
        <w:t>i</w:t>
      </w:r>
      <w:r w:rsidRPr="00155F80">
        <w:rPr>
          <w:rFonts w:ascii="Times New Roman" w:hAnsi="Times New Roman"/>
        </w:rPr>
        <w:t xml:space="preserve">onizirajućem zračenju  (,,Službeni  glasnik BiH" broj 25//12), te od 2015. godine </w:t>
      </w:r>
      <w:r w:rsidRPr="00155F80">
        <w:rPr>
          <w:rFonts w:ascii="Times New Roman" w:hAnsi="Times New Roman"/>
          <w:lang w:val="en-US"/>
        </w:rPr>
        <w:t xml:space="preserve">Pravilnik o zdravstvenom nadzoru </w:t>
      </w:r>
      <w:r w:rsidR="00BD1A28">
        <w:rPr>
          <w:rFonts w:ascii="Times New Roman" w:hAnsi="Times New Roman"/>
          <w:lang w:val="en-US"/>
        </w:rPr>
        <w:t>osoba</w:t>
      </w:r>
      <w:r w:rsidRPr="00155F80">
        <w:rPr>
          <w:rFonts w:ascii="Times New Roman" w:hAnsi="Times New Roman"/>
          <w:lang w:val="en-US"/>
        </w:rPr>
        <w:t xml:space="preserve"> profesionalno izloženih </w:t>
      </w:r>
      <w:r w:rsidR="00BD1A28">
        <w:rPr>
          <w:rFonts w:ascii="Times New Roman" w:hAnsi="Times New Roman"/>
          <w:lang w:val="en-US"/>
        </w:rPr>
        <w:t>i</w:t>
      </w:r>
      <w:r w:rsidRPr="00155F80">
        <w:rPr>
          <w:rFonts w:ascii="Times New Roman" w:hAnsi="Times New Roman"/>
          <w:lang w:val="en-US"/>
        </w:rPr>
        <w:t>onizirajuće</w:t>
      </w:r>
      <w:r w:rsidR="00BD1A28">
        <w:rPr>
          <w:rFonts w:ascii="Times New Roman" w:hAnsi="Times New Roman"/>
          <w:lang w:val="en-US"/>
        </w:rPr>
        <w:t>m</w:t>
      </w:r>
      <w:r w:rsidRPr="00155F80">
        <w:rPr>
          <w:rFonts w:ascii="Times New Roman" w:hAnsi="Times New Roman"/>
          <w:lang w:val="en-US"/>
        </w:rPr>
        <w:t xml:space="preserve"> zračenju ("Službeni glasnik BiH" broj 68/15).</w:t>
      </w:r>
    </w:p>
    <w:p w:rsidR="00A131AD" w:rsidRPr="00155F80" w:rsidRDefault="00A131AD" w:rsidP="000C0138">
      <w:pPr>
        <w:spacing w:line="276" w:lineRule="auto"/>
        <w:rPr>
          <w:rFonts w:ascii="Times New Roman" w:hAnsi="Times New Roman"/>
          <w:lang w:val="en-US"/>
        </w:rPr>
      </w:pPr>
      <w:r w:rsidRPr="00155F80">
        <w:rPr>
          <w:rFonts w:ascii="Times New Roman" w:hAnsi="Times New Roman"/>
          <w:lang w:val="en-US"/>
        </w:rPr>
        <w:t>Procjena je da u FBiH ima 1</w:t>
      </w:r>
      <w:r w:rsidR="00BD1A28">
        <w:rPr>
          <w:rFonts w:ascii="Times New Roman" w:hAnsi="Times New Roman"/>
          <w:lang w:val="en-US"/>
        </w:rPr>
        <w:t>.</w:t>
      </w:r>
      <w:r w:rsidRPr="00155F80">
        <w:rPr>
          <w:rFonts w:ascii="Times New Roman" w:hAnsi="Times New Roman"/>
          <w:lang w:val="en-US"/>
        </w:rPr>
        <w:t xml:space="preserve">800 radnika koji rade u zoni </w:t>
      </w:r>
      <w:r w:rsidR="00BD1A28">
        <w:rPr>
          <w:rFonts w:ascii="Times New Roman" w:hAnsi="Times New Roman"/>
          <w:lang w:val="en-US"/>
        </w:rPr>
        <w:t>i</w:t>
      </w:r>
      <w:r w:rsidRPr="00155F80">
        <w:rPr>
          <w:rFonts w:ascii="Times New Roman" w:hAnsi="Times New Roman"/>
          <w:lang w:val="en-US"/>
        </w:rPr>
        <w:t xml:space="preserve">onizirajućeg zračenja. Na </w:t>
      </w:r>
      <w:r w:rsidR="00BD1A28">
        <w:rPr>
          <w:rFonts w:ascii="Times New Roman" w:hAnsi="Times New Roman"/>
          <w:lang w:val="en-US"/>
        </w:rPr>
        <w:t>temelju</w:t>
      </w:r>
      <w:r w:rsidRPr="00155F80">
        <w:rPr>
          <w:rFonts w:ascii="Times New Roman" w:hAnsi="Times New Roman"/>
          <w:lang w:val="en-US"/>
        </w:rPr>
        <w:t xml:space="preserve"> dostupnih  podataka u Grafikon</w:t>
      </w:r>
      <w:r w:rsidR="001628EA">
        <w:rPr>
          <w:rFonts w:ascii="Times New Roman" w:hAnsi="Times New Roman"/>
          <w:lang w:val="en-US"/>
        </w:rPr>
        <w:t>u 54 da</w:t>
      </w:r>
      <w:r w:rsidR="00BD1A28">
        <w:rPr>
          <w:rFonts w:ascii="Times New Roman" w:hAnsi="Times New Roman"/>
          <w:lang w:val="en-US"/>
        </w:rPr>
        <w:t>n</w:t>
      </w:r>
      <w:r w:rsidR="001628EA">
        <w:rPr>
          <w:rFonts w:ascii="Times New Roman" w:hAnsi="Times New Roman"/>
          <w:lang w:val="en-US"/>
        </w:rPr>
        <w:t xml:space="preserve"> je prikaz zdravstvene sposobnosti </w:t>
      </w:r>
      <w:r w:rsidRPr="00155F80">
        <w:rPr>
          <w:rFonts w:ascii="Times New Roman" w:hAnsi="Times New Roman"/>
          <w:lang w:val="en-US"/>
        </w:rPr>
        <w:t xml:space="preserve">uposlenika koji rade u zoni </w:t>
      </w:r>
      <w:r w:rsidR="00BD1A28">
        <w:rPr>
          <w:rFonts w:ascii="Times New Roman" w:hAnsi="Times New Roman"/>
          <w:lang w:val="en-US"/>
        </w:rPr>
        <w:t>i</w:t>
      </w:r>
      <w:r w:rsidRPr="00155F80">
        <w:rPr>
          <w:rFonts w:ascii="Times New Roman" w:hAnsi="Times New Roman"/>
          <w:lang w:val="en-US"/>
        </w:rPr>
        <w:t xml:space="preserve">onizirajućeg zračenja. Na </w:t>
      </w:r>
      <w:r w:rsidR="00BD1A28">
        <w:rPr>
          <w:rFonts w:ascii="Times New Roman" w:hAnsi="Times New Roman"/>
          <w:lang w:val="en-US"/>
        </w:rPr>
        <w:t>temelju</w:t>
      </w:r>
      <w:r w:rsidRPr="00155F80">
        <w:rPr>
          <w:rFonts w:ascii="Times New Roman" w:hAnsi="Times New Roman"/>
          <w:lang w:val="en-US"/>
        </w:rPr>
        <w:t xml:space="preserve"> ovog uzorka sa velikim st</w:t>
      </w:r>
      <w:r w:rsidR="00BD1A28">
        <w:rPr>
          <w:rFonts w:ascii="Times New Roman" w:hAnsi="Times New Roman"/>
          <w:lang w:val="en-US"/>
        </w:rPr>
        <w:t>upnjem</w:t>
      </w:r>
      <w:r w:rsidRPr="00155F80">
        <w:rPr>
          <w:rFonts w:ascii="Times New Roman" w:hAnsi="Times New Roman"/>
          <w:lang w:val="en-US"/>
        </w:rPr>
        <w:t xml:space="preserve"> pouzdanosti može se zaključiti da je st</w:t>
      </w:r>
      <w:r w:rsidR="00BD1A28">
        <w:rPr>
          <w:rFonts w:ascii="Times New Roman" w:hAnsi="Times New Roman"/>
          <w:lang w:val="en-US"/>
        </w:rPr>
        <w:t>upanj</w:t>
      </w:r>
      <w:r w:rsidRPr="00155F80">
        <w:rPr>
          <w:rFonts w:ascii="Times New Roman" w:hAnsi="Times New Roman"/>
          <w:lang w:val="en-US"/>
        </w:rPr>
        <w:t xml:space="preserve"> zaštite od </w:t>
      </w:r>
      <w:r w:rsidR="00BD1A28">
        <w:rPr>
          <w:rFonts w:ascii="Times New Roman" w:hAnsi="Times New Roman"/>
          <w:lang w:val="en-US"/>
        </w:rPr>
        <w:t>i</w:t>
      </w:r>
      <w:r w:rsidRPr="00155F80">
        <w:rPr>
          <w:rFonts w:ascii="Times New Roman" w:hAnsi="Times New Roman"/>
          <w:lang w:val="en-US"/>
        </w:rPr>
        <w:t>onizirajučeg zračenja na visoko</w:t>
      </w:r>
      <w:r w:rsidR="00BD1A28">
        <w:rPr>
          <w:rFonts w:ascii="Times New Roman" w:hAnsi="Times New Roman"/>
          <w:lang w:val="en-US"/>
        </w:rPr>
        <w:t>j</w:t>
      </w:r>
      <w:r w:rsidRPr="00155F80">
        <w:rPr>
          <w:rFonts w:ascii="Times New Roman" w:hAnsi="Times New Roman"/>
          <w:lang w:val="en-US"/>
        </w:rPr>
        <w:t xml:space="preserve"> </w:t>
      </w:r>
      <w:r w:rsidR="00BD1A28">
        <w:rPr>
          <w:rFonts w:ascii="Times New Roman" w:hAnsi="Times New Roman"/>
          <w:lang w:val="en-US"/>
        </w:rPr>
        <w:t>razini</w:t>
      </w:r>
      <w:r w:rsidRPr="00155F80">
        <w:rPr>
          <w:rFonts w:ascii="Times New Roman" w:hAnsi="Times New Roman"/>
          <w:lang w:val="en-US"/>
        </w:rPr>
        <w:t xml:space="preserve">, jer je u </w:t>
      </w:r>
      <w:r w:rsidR="00BD1A28">
        <w:rPr>
          <w:rFonts w:ascii="Times New Roman" w:hAnsi="Times New Roman"/>
          <w:lang w:val="en-US"/>
        </w:rPr>
        <w:t>razdoblju</w:t>
      </w:r>
      <w:r w:rsidRPr="00155F80">
        <w:rPr>
          <w:rFonts w:ascii="Times New Roman" w:hAnsi="Times New Roman"/>
          <w:lang w:val="en-US"/>
        </w:rPr>
        <w:t xml:space="preserve"> 2010.-2015. godine od uposlenika koji su pristupili zdravstvenom pregledu u kategoriji sposo</w:t>
      </w:r>
      <w:r w:rsidR="00BD1A28">
        <w:rPr>
          <w:rFonts w:ascii="Times New Roman" w:hAnsi="Times New Roman"/>
          <w:lang w:val="en-US"/>
        </w:rPr>
        <w:t>b</w:t>
      </w:r>
      <w:r w:rsidRPr="00155F80">
        <w:rPr>
          <w:rFonts w:ascii="Times New Roman" w:hAnsi="Times New Roman"/>
          <w:lang w:val="en-US"/>
        </w:rPr>
        <w:t xml:space="preserve">nih </w:t>
      </w:r>
      <w:r w:rsidR="001628EA" w:rsidRPr="00155F80">
        <w:rPr>
          <w:rFonts w:ascii="Times New Roman" w:hAnsi="Times New Roman"/>
          <w:lang w:val="en-US"/>
        </w:rPr>
        <w:t xml:space="preserve">bilo </w:t>
      </w:r>
      <w:r w:rsidRPr="00155F80">
        <w:rPr>
          <w:rFonts w:ascii="Times New Roman" w:hAnsi="Times New Roman"/>
          <w:lang w:val="en-US"/>
        </w:rPr>
        <w:t>96,4%, u kat</w:t>
      </w:r>
      <w:r w:rsidR="001628EA">
        <w:rPr>
          <w:rFonts w:ascii="Times New Roman" w:hAnsi="Times New Roman"/>
          <w:lang w:val="en-US"/>
        </w:rPr>
        <w:t>egoriji uslovno sposo</w:t>
      </w:r>
      <w:r w:rsidR="00BD1A28">
        <w:rPr>
          <w:rFonts w:ascii="Times New Roman" w:hAnsi="Times New Roman"/>
          <w:lang w:val="en-US"/>
        </w:rPr>
        <w:t>b</w:t>
      </w:r>
      <w:r w:rsidR="001628EA">
        <w:rPr>
          <w:rFonts w:ascii="Times New Roman" w:hAnsi="Times New Roman"/>
          <w:lang w:val="en-US"/>
        </w:rPr>
        <w:t>nih 3,2% i</w:t>
      </w:r>
      <w:r w:rsidRPr="00155F80">
        <w:rPr>
          <w:rFonts w:ascii="Times New Roman" w:hAnsi="Times New Roman"/>
          <w:lang w:val="en-US"/>
        </w:rPr>
        <w:t xml:space="preserve"> u kategoriji nesposo</w:t>
      </w:r>
      <w:r w:rsidR="00BD1A28">
        <w:rPr>
          <w:rFonts w:ascii="Times New Roman" w:hAnsi="Times New Roman"/>
          <w:lang w:val="en-US"/>
        </w:rPr>
        <w:t>b</w:t>
      </w:r>
      <w:r w:rsidRPr="00155F80">
        <w:rPr>
          <w:rFonts w:ascii="Times New Roman" w:hAnsi="Times New Roman"/>
          <w:lang w:val="en-US"/>
        </w:rPr>
        <w:t xml:space="preserve">nih 0,4%. Osobe koje su proglašene nesposobnim za rad u zoni </w:t>
      </w:r>
      <w:r w:rsidR="00BD1A28">
        <w:rPr>
          <w:rFonts w:ascii="Times New Roman" w:hAnsi="Times New Roman"/>
          <w:lang w:val="en-US"/>
        </w:rPr>
        <w:t>i</w:t>
      </w:r>
      <w:r w:rsidRPr="00155F80">
        <w:rPr>
          <w:rFonts w:ascii="Times New Roman" w:hAnsi="Times New Roman"/>
          <w:lang w:val="en-US"/>
        </w:rPr>
        <w:t xml:space="preserve">onizirajućeg zračenja imale su medicinske kontraindikacije koje nisu prihvatljive za rad i nisu nužno posljedica rada u zoni </w:t>
      </w:r>
      <w:r w:rsidR="00BD1A28">
        <w:rPr>
          <w:rFonts w:ascii="Times New Roman" w:hAnsi="Times New Roman"/>
          <w:lang w:val="en-US"/>
        </w:rPr>
        <w:t>i</w:t>
      </w:r>
      <w:r w:rsidRPr="00155F80">
        <w:rPr>
          <w:rFonts w:ascii="Times New Roman" w:hAnsi="Times New Roman"/>
          <w:lang w:val="en-US"/>
        </w:rPr>
        <w:t xml:space="preserve">onizirajućeg zračenja. </w:t>
      </w:r>
    </w:p>
    <w:p w:rsidR="00A131AD" w:rsidRPr="00155F80" w:rsidRDefault="00A131AD" w:rsidP="000C0138">
      <w:pPr>
        <w:spacing w:line="276" w:lineRule="auto"/>
        <w:rPr>
          <w:rFonts w:ascii="Times New Roman" w:hAnsi="Times New Roman"/>
          <w:lang w:val="en-US"/>
        </w:rPr>
      </w:pPr>
    </w:p>
    <w:p w:rsidR="00A131AD" w:rsidRPr="00155F80" w:rsidRDefault="00A131AD" w:rsidP="00EB7CC7">
      <w:pPr>
        <w:pStyle w:val="refererere"/>
        <w:rPr>
          <w:lang w:val="en-US"/>
        </w:rPr>
      </w:pPr>
      <w:r w:rsidRPr="00155F80">
        <w:rPr>
          <w:lang w:val="en-US"/>
        </w:rPr>
        <w:t xml:space="preserve">Grafikon 54: Procjena zdravstvene sposobnosti uposlenika koji rade u zoni </w:t>
      </w:r>
      <w:r w:rsidR="00BD1A28">
        <w:rPr>
          <w:lang w:val="en-US"/>
        </w:rPr>
        <w:t>i</w:t>
      </w:r>
      <w:r w:rsidRPr="00155F80">
        <w:rPr>
          <w:lang w:val="en-US"/>
        </w:rPr>
        <w:t xml:space="preserve">onizirajućeg zračenja, za </w:t>
      </w:r>
      <w:r w:rsidR="00BD1A28">
        <w:rPr>
          <w:lang w:val="en-US"/>
        </w:rPr>
        <w:t>razdoblje</w:t>
      </w:r>
      <w:r w:rsidRPr="00155F80">
        <w:rPr>
          <w:lang w:val="en-US"/>
        </w:rPr>
        <w:t xml:space="preserve"> 2010.-2015. godina</w:t>
      </w:r>
    </w:p>
    <w:p w:rsidR="00A131AD" w:rsidRPr="00155F80" w:rsidRDefault="00A131AD" w:rsidP="000C0138">
      <w:pPr>
        <w:spacing w:line="276" w:lineRule="auto"/>
        <w:rPr>
          <w:rFonts w:ascii="Times New Roman" w:hAnsi="Times New Roman"/>
          <w:lang w:val="en-US"/>
        </w:rPr>
      </w:pPr>
      <w:r w:rsidRPr="00155F80">
        <w:rPr>
          <w:rFonts w:ascii="Times New Roman" w:hAnsi="Times New Roman"/>
          <w:noProof/>
          <w:lang w:val="bs-Latn-BA" w:eastAsia="bs-Latn-BA"/>
        </w:rPr>
        <w:drawing>
          <wp:inline distT="0" distB="0" distL="0" distR="0" wp14:anchorId="431C5E57" wp14:editId="325C12D0">
            <wp:extent cx="5676900" cy="244792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676900" cy="2447925"/>
                    </a:xfrm>
                    <a:prstGeom prst="rect">
                      <a:avLst/>
                    </a:prstGeom>
                    <a:noFill/>
                    <a:ln>
                      <a:noFill/>
                    </a:ln>
                  </pic:spPr>
                </pic:pic>
              </a:graphicData>
            </a:graphic>
          </wp:inline>
        </w:drawing>
      </w:r>
    </w:p>
    <w:p w:rsidR="00A131AD" w:rsidRPr="00155F80" w:rsidRDefault="00A131AD" w:rsidP="000C0138">
      <w:pPr>
        <w:spacing w:line="276" w:lineRule="auto"/>
        <w:rPr>
          <w:rFonts w:ascii="Times New Roman" w:hAnsi="Times New Roman"/>
          <w:lang w:val="en-US"/>
        </w:rPr>
      </w:pPr>
    </w:p>
    <w:p w:rsidR="00A131AD" w:rsidRPr="00155F80" w:rsidRDefault="00A131AD" w:rsidP="000C0138">
      <w:pPr>
        <w:spacing w:after="160" w:line="276" w:lineRule="auto"/>
        <w:rPr>
          <w:rFonts w:ascii="Times New Roman" w:eastAsiaTheme="minorHAnsi" w:hAnsi="Times New Roman"/>
          <w:lang w:val="bs-Latn-BA"/>
        </w:rPr>
      </w:pPr>
    </w:p>
    <w:p w:rsidR="00A131AD" w:rsidRPr="00155F80" w:rsidRDefault="00A06016" w:rsidP="003E3695">
      <w:pPr>
        <w:pStyle w:val="Poglavlje3"/>
      </w:pPr>
      <w:bookmarkStart w:id="290" w:name="_Toc424298832"/>
      <w:bookmarkStart w:id="291" w:name="_Toc456095919"/>
      <w:r>
        <w:t>3.2.5.3</w:t>
      </w:r>
      <w:r w:rsidR="00752EAE">
        <w:t xml:space="preserve"> </w:t>
      </w:r>
      <w:r w:rsidR="00A131AD" w:rsidRPr="00155F80">
        <w:t>Zdravlje stanovništva starijeg od 65 godina</w:t>
      </w:r>
      <w:bookmarkEnd w:id="290"/>
      <w:bookmarkEnd w:id="291"/>
      <w:r w:rsidR="00A131AD" w:rsidRPr="00155F80">
        <w:t xml:space="preserve"> </w:t>
      </w:r>
    </w:p>
    <w:p w:rsidR="00A131AD" w:rsidRPr="00155F80" w:rsidRDefault="00A131AD" w:rsidP="000C0138">
      <w:pPr>
        <w:tabs>
          <w:tab w:val="left" w:pos="550"/>
        </w:tabs>
        <w:spacing w:before="120" w:line="276" w:lineRule="auto"/>
        <w:rPr>
          <w:rFonts w:ascii="Times New Roman" w:hAnsi="Times New Roman"/>
          <w:noProof/>
          <w:lang w:val="bs-Latn-BA"/>
        </w:rPr>
      </w:pPr>
      <w:r w:rsidRPr="00155F80">
        <w:rPr>
          <w:rFonts w:ascii="Times New Roman" w:hAnsi="Times New Roman"/>
          <w:noProof/>
          <w:lang w:val="bs-Latn-BA"/>
        </w:rPr>
        <w:t xml:space="preserve">Stanovništvo Federacije BiH, kao i </w:t>
      </w:r>
      <w:r w:rsidR="00BD1A28">
        <w:rPr>
          <w:rFonts w:ascii="Times New Roman" w:hAnsi="Times New Roman"/>
          <w:noProof/>
          <w:lang w:val="bs-Latn-BA"/>
        </w:rPr>
        <w:t>eu</w:t>
      </w:r>
      <w:r w:rsidRPr="00155F80">
        <w:rPr>
          <w:rFonts w:ascii="Times New Roman" w:hAnsi="Times New Roman"/>
          <w:noProof/>
          <w:lang w:val="bs-Latn-BA"/>
        </w:rPr>
        <w:t>ropske regije, ubrzano stari. Uzroci ove pojave su sve bolji u</w:t>
      </w:r>
      <w:r w:rsidR="00BD1A28">
        <w:rPr>
          <w:rFonts w:ascii="Times New Roman" w:hAnsi="Times New Roman"/>
          <w:noProof/>
          <w:lang w:val="bs-Latn-BA"/>
        </w:rPr>
        <w:t>vjeti</w:t>
      </w:r>
      <w:r w:rsidRPr="00155F80">
        <w:rPr>
          <w:rFonts w:ascii="Times New Roman" w:hAnsi="Times New Roman"/>
          <w:noProof/>
          <w:lang w:val="bs-Latn-BA"/>
        </w:rPr>
        <w:t xml:space="preserve"> života zbog čega se produžava životni vijek, ali i opadanje stope nataliteta i fertiliteta, a porasta stope mortaliteta.</w:t>
      </w:r>
    </w:p>
    <w:p w:rsidR="00A131AD" w:rsidRPr="00155F80" w:rsidRDefault="00A131AD" w:rsidP="000C0138">
      <w:pPr>
        <w:tabs>
          <w:tab w:val="left" w:pos="550"/>
        </w:tabs>
        <w:spacing w:before="120" w:line="276" w:lineRule="auto"/>
        <w:rPr>
          <w:rFonts w:ascii="Times New Roman" w:hAnsi="Times New Roman"/>
          <w:noProof/>
          <w:lang w:val="bs-Latn-BA"/>
        </w:rPr>
      </w:pPr>
      <w:r w:rsidRPr="00155F80">
        <w:rPr>
          <w:rFonts w:ascii="Times New Roman" w:hAnsi="Times New Roman"/>
          <w:noProof/>
          <w:lang w:val="bs-Latn-BA"/>
        </w:rPr>
        <w:t>Prema procjeni Federalnog zavoda za statistiku, u</w:t>
      </w:r>
      <w:r w:rsidR="00BD1A28">
        <w:rPr>
          <w:rFonts w:ascii="Times New Roman" w:hAnsi="Times New Roman"/>
          <w:noProof/>
          <w:lang w:val="bs-Latn-BA"/>
        </w:rPr>
        <w:t>dio</w:t>
      </w:r>
      <w:r w:rsidRPr="00155F80">
        <w:rPr>
          <w:rFonts w:ascii="Times New Roman" w:hAnsi="Times New Roman"/>
          <w:noProof/>
          <w:lang w:val="bs-Latn-BA"/>
        </w:rPr>
        <w:t xml:space="preserve"> stanovništva starijeg od 65 godine u ukupnom stanovništvu, u p</w:t>
      </w:r>
      <w:r w:rsidR="00BD1A28">
        <w:rPr>
          <w:rFonts w:ascii="Times New Roman" w:hAnsi="Times New Roman"/>
          <w:noProof/>
          <w:lang w:val="bs-Latn-BA"/>
        </w:rPr>
        <w:t>r</w:t>
      </w:r>
      <w:r w:rsidRPr="00155F80">
        <w:rPr>
          <w:rFonts w:ascii="Times New Roman" w:hAnsi="Times New Roman"/>
          <w:noProof/>
          <w:lang w:val="bs-Latn-BA"/>
        </w:rPr>
        <w:t xml:space="preserve">omatranom razdoblju iznosi 14,3%, pa je stanovništvo u Federaciji BiH na granici stacionarno-regresivnog tipa. </w:t>
      </w:r>
    </w:p>
    <w:p w:rsidR="00A131AD" w:rsidRPr="00155F80" w:rsidRDefault="00A131AD" w:rsidP="000C0138">
      <w:pPr>
        <w:tabs>
          <w:tab w:val="left" w:pos="550"/>
        </w:tabs>
        <w:spacing w:before="120" w:line="276" w:lineRule="auto"/>
        <w:rPr>
          <w:rFonts w:ascii="Times New Roman" w:hAnsi="Times New Roman"/>
          <w:noProof/>
          <w:lang w:val="bs-Latn-BA"/>
        </w:rPr>
      </w:pPr>
      <w:r w:rsidRPr="00155F80">
        <w:rPr>
          <w:rFonts w:ascii="Times New Roman" w:hAnsi="Times New Roman"/>
          <w:noProof/>
          <w:lang w:val="bs-Latn-BA"/>
        </w:rPr>
        <w:t xml:space="preserve">Starenjem se povećava broj </w:t>
      </w:r>
      <w:r w:rsidR="00BD1A28">
        <w:rPr>
          <w:rFonts w:ascii="Times New Roman" w:hAnsi="Times New Roman"/>
          <w:noProof/>
          <w:lang w:val="bs-Latn-BA"/>
        </w:rPr>
        <w:t>k</w:t>
      </w:r>
      <w:r w:rsidRPr="00155F80">
        <w:rPr>
          <w:rFonts w:ascii="Times New Roman" w:hAnsi="Times New Roman"/>
          <w:noProof/>
          <w:lang w:val="bs-Latn-BA"/>
        </w:rPr>
        <w:t>roničnih oboljenja i stanja, te onesposobljenja za samostalno funkcioni</w:t>
      </w:r>
      <w:r w:rsidR="00BD1A28">
        <w:rPr>
          <w:rFonts w:ascii="Times New Roman" w:hAnsi="Times New Roman"/>
          <w:noProof/>
          <w:lang w:val="bs-Latn-BA"/>
        </w:rPr>
        <w:t>r</w:t>
      </w:r>
      <w:r w:rsidRPr="00155F80">
        <w:rPr>
          <w:rFonts w:ascii="Times New Roman" w:hAnsi="Times New Roman"/>
          <w:noProof/>
          <w:lang w:val="bs-Latn-BA"/>
        </w:rPr>
        <w:t>anje.</w:t>
      </w:r>
    </w:p>
    <w:p w:rsidR="00A131AD" w:rsidRPr="00155F80" w:rsidRDefault="00A131AD" w:rsidP="000C0138">
      <w:pPr>
        <w:tabs>
          <w:tab w:val="left" w:pos="550"/>
        </w:tabs>
        <w:spacing w:before="120" w:line="276" w:lineRule="auto"/>
        <w:rPr>
          <w:rFonts w:ascii="Times New Roman" w:hAnsi="Times New Roman"/>
          <w:noProof/>
          <w:lang w:val="bs-Latn-BA"/>
        </w:rPr>
      </w:pPr>
      <w:r w:rsidRPr="00155F80">
        <w:rPr>
          <w:rFonts w:ascii="Times New Roman" w:hAnsi="Times New Roman"/>
          <w:noProof/>
          <w:lang w:val="bs-Latn-BA"/>
        </w:rPr>
        <w:t>Ova populaci</w:t>
      </w:r>
      <w:r w:rsidR="00BD1A28">
        <w:rPr>
          <w:rFonts w:ascii="Times New Roman" w:hAnsi="Times New Roman"/>
          <w:noProof/>
          <w:lang w:val="bs-Latn-BA"/>
        </w:rPr>
        <w:t>jska</w:t>
      </w:r>
      <w:r w:rsidRPr="00155F80">
        <w:rPr>
          <w:rFonts w:ascii="Times New Roman" w:hAnsi="Times New Roman"/>
          <w:noProof/>
          <w:lang w:val="bs-Latn-BA"/>
        </w:rPr>
        <w:t xml:space="preserve"> grupa je u 2015. godini </w:t>
      </w:r>
      <w:r w:rsidR="00BD1A28">
        <w:rPr>
          <w:rFonts w:ascii="Times New Roman" w:hAnsi="Times New Roman"/>
          <w:noProof/>
          <w:lang w:val="bs-Latn-BA"/>
        </w:rPr>
        <w:t>sudjelovala</w:t>
      </w:r>
      <w:r w:rsidRPr="00155F80">
        <w:rPr>
          <w:rFonts w:ascii="Times New Roman" w:hAnsi="Times New Roman"/>
          <w:noProof/>
          <w:lang w:val="bs-Latn-BA"/>
        </w:rPr>
        <w:t xml:space="preserve"> sa 23% u strukturi oboljenja i stanja, a stopa obolijevanja u ambulantno-polikliničkom morbiditetu u p</w:t>
      </w:r>
      <w:r w:rsidR="00BD1A28">
        <w:rPr>
          <w:rFonts w:ascii="Times New Roman" w:hAnsi="Times New Roman"/>
          <w:noProof/>
          <w:lang w:val="bs-Latn-BA"/>
        </w:rPr>
        <w:t>r</w:t>
      </w:r>
      <w:r w:rsidRPr="00155F80">
        <w:rPr>
          <w:rFonts w:ascii="Times New Roman" w:hAnsi="Times New Roman"/>
          <w:noProof/>
          <w:lang w:val="bs-Latn-BA"/>
        </w:rPr>
        <w:t>omatranom razdoblju je imala trend porasta.</w:t>
      </w:r>
    </w:p>
    <w:p w:rsidR="00834139" w:rsidRDefault="00A131AD" w:rsidP="00834139">
      <w:pPr>
        <w:tabs>
          <w:tab w:val="left" w:pos="550"/>
        </w:tabs>
        <w:spacing w:before="120" w:line="276" w:lineRule="auto"/>
        <w:rPr>
          <w:rFonts w:ascii="Times New Roman" w:hAnsi="Times New Roman"/>
          <w:noProof/>
          <w:lang w:val="bs-Latn-BA"/>
        </w:rPr>
      </w:pPr>
      <w:r w:rsidRPr="00155F80">
        <w:rPr>
          <w:rFonts w:ascii="Times New Roman" w:hAnsi="Times New Roman"/>
          <w:noProof/>
          <w:lang w:val="bs-Latn-BA"/>
        </w:rPr>
        <w:lastRenderedPageBreak/>
        <w:t>Vodeća oboljenja u ovoj starosnoj grupi u p</w:t>
      </w:r>
      <w:r w:rsidR="00BD1A28">
        <w:rPr>
          <w:rFonts w:ascii="Times New Roman" w:hAnsi="Times New Roman"/>
          <w:noProof/>
          <w:lang w:val="bs-Latn-BA"/>
        </w:rPr>
        <w:t>r</w:t>
      </w:r>
      <w:r w:rsidRPr="00155F80">
        <w:rPr>
          <w:rFonts w:ascii="Times New Roman" w:hAnsi="Times New Roman"/>
          <w:noProof/>
          <w:lang w:val="bs-Latn-BA"/>
        </w:rPr>
        <w:t xml:space="preserve">omatranom </w:t>
      </w:r>
      <w:r w:rsidR="00BD1A28">
        <w:rPr>
          <w:rFonts w:ascii="Times New Roman" w:hAnsi="Times New Roman"/>
          <w:noProof/>
          <w:lang w:val="bs-Latn-BA"/>
        </w:rPr>
        <w:t>razdoblju</w:t>
      </w:r>
      <w:r w:rsidRPr="00155F80">
        <w:rPr>
          <w:rFonts w:ascii="Times New Roman" w:hAnsi="Times New Roman"/>
          <w:noProof/>
          <w:lang w:val="bs-Latn-BA"/>
        </w:rPr>
        <w:t xml:space="preserve"> su: hipertenzivna oboljenja i dijabetes</w:t>
      </w:r>
      <w:r w:rsidR="00BB3160">
        <w:rPr>
          <w:rFonts w:ascii="Times New Roman" w:hAnsi="Times New Roman"/>
          <w:noProof/>
          <w:lang w:val="bs-Latn-BA"/>
        </w:rPr>
        <w:t xml:space="preserve"> sa kontinuiranim porastom stope obolijevanja u p</w:t>
      </w:r>
      <w:r w:rsidR="00BD1A28">
        <w:rPr>
          <w:rFonts w:ascii="Times New Roman" w:hAnsi="Times New Roman"/>
          <w:noProof/>
          <w:lang w:val="bs-Latn-BA"/>
        </w:rPr>
        <w:t>r</w:t>
      </w:r>
      <w:r w:rsidR="00BB3160">
        <w:rPr>
          <w:rFonts w:ascii="Times New Roman" w:hAnsi="Times New Roman"/>
          <w:noProof/>
          <w:lang w:val="bs-Latn-BA"/>
        </w:rPr>
        <w:t xml:space="preserve">omatranom </w:t>
      </w:r>
      <w:r w:rsidR="00BD1A28">
        <w:rPr>
          <w:rFonts w:ascii="Times New Roman" w:hAnsi="Times New Roman"/>
          <w:noProof/>
          <w:lang w:val="bs-Latn-BA"/>
        </w:rPr>
        <w:t>razdoblju</w:t>
      </w:r>
      <w:r w:rsidRPr="00155F80">
        <w:rPr>
          <w:rFonts w:ascii="Times New Roman" w:hAnsi="Times New Roman"/>
          <w:noProof/>
          <w:lang w:val="bs-Latn-BA"/>
        </w:rPr>
        <w:t xml:space="preserve">, </w:t>
      </w:r>
      <w:r w:rsidR="00BB3160">
        <w:rPr>
          <w:rFonts w:ascii="Times New Roman" w:hAnsi="Times New Roman"/>
          <w:noProof/>
          <w:lang w:val="bs-Latn-BA"/>
        </w:rPr>
        <w:t>poslije kojih slijede</w:t>
      </w:r>
      <w:r w:rsidRPr="00155F80">
        <w:rPr>
          <w:rFonts w:ascii="Times New Roman" w:hAnsi="Times New Roman"/>
          <w:noProof/>
          <w:lang w:val="bs-Latn-BA"/>
        </w:rPr>
        <w:t xml:space="preserve"> akutne infekcije respiratornih</w:t>
      </w:r>
      <w:r w:rsidR="00BB3160">
        <w:rPr>
          <w:rFonts w:ascii="Times New Roman" w:hAnsi="Times New Roman"/>
          <w:noProof/>
          <w:lang w:val="bs-Latn-BA"/>
        </w:rPr>
        <w:t xml:space="preserve"> puteva, dorzopatije i cistitis, čije stope obolijevanja zadržavaju sličan trend obolijevanja.</w:t>
      </w:r>
    </w:p>
    <w:p w:rsidR="006256C9" w:rsidRPr="00155F80" w:rsidRDefault="006256C9" w:rsidP="00834139">
      <w:pPr>
        <w:tabs>
          <w:tab w:val="left" w:pos="550"/>
        </w:tabs>
        <w:spacing w:before="120" w:line="276" w:lineRule="auto"/>
        <w:rPr>
          <w:rFonts w:ascii="Times New Roman" w:hAnsi="Times New Roman"/>
          <w:noProof/>
          <w:lang w:val="bs-Latn-BA"/>
        </w:rPr>
      </w:pPr>
    </w:p>
    <w:p w:rsidR="00A131AD" w:rsidRPr="00155F80" w:rsidRDefault="00A131AD" w:rsidP="00EB7CC7">
      <w:pPr>
        <w:pStyle w:val="refererere"/>
        <w:rPr>
          <w:noProof/>
          <w:lang w:val="bs-Latn-BA" w:eastAsia="bs-Latn-BA"/>
        </w:rPr>
      </w:pPr>
      <w:r w:rsidRPr="00BB3160">
        <w:rPr>
          <w:noProof/>
          <w:lang w:val="bs-Latn-BA" w:eastAsia="bs-Latn-BA"/>
        </w:rPr>
        <w:t xml:space="preserve">Grafikon 55: Vodeća oboljenja stanovništva dobi 65 i više godina u Federaciji BiH, za </w:t>
      </w:r>
      <w:r w:rsidR="00BD1A28">
        <w:rPr>
          <w:noProof/>
          <w:lang w:val="bs-Latn-BA" w:eastAsia="bs-Latn-BA"/>
        </w:rPr>
        <w:t>razdoblje</w:t>
      </w:r>
      <w:r w:rsidRPr="00BB3160">
        <w:rPr>
          <w:noProof/>
          <w:lang w:val="bs-Latn-BA" w:eastAsia="bs-Latn-BA"/>
        </w:rPr>
        <w:t xml:space="preserve"> 2010.-2015. godina, stopa na 10.000 stanovnika</w:t>
      </w:r>
    </w:p>
    <w:p w:rsidR="00A131AD" w:rsidRPr="00155F80" w:rsidRDefault="00793494" w:rsidP="000C0138">
      <w:pPr>
        <w:spacing w:after="160" w:line="276" w:lineRule="auto"/>
        <w:rPr>
          <w:rFonts w:ascii="Times New Roman" w:eastAsiaTheme="minorHAnsi" w:hAnsi="Times New Roman"/>
          <w:lang w:val="bs-Latn-BA"/>
        </w:rPr>
      </w:pPr>
      <w:r>
        <w:rPr>
          <w:noProof/>
          <w:lang w:val="bs-Latn-BA" w:eastAsia="bs-Latn-BA"/>
        </w:rPr>
        <w:drawing>
          <wp:inline distT="0" distB="0" distL="0" distR="0" wp14:anchorId="114A7BEC" wp14:editId="7180D5B6">
            <wp:extent cx="5760720" cy="2076450"/>
            <wp:effectExtent l="0" t="0" r="11430" b="0"/>
            <wp:docPr id="107" name="Chart 107"/>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A131AD" w:rsidRPr="00155F80" w:rsidRDefault="00A131AD" w:rsidP="000C0138">
      <w:pPr>
        <w:spacing w:after="160" w:line="276" w:lineRule="auto"/>
        <w:rPr>
          <w:rFonts w:ascii="Times New Roman" w:eastAsiaTheme="minorHAnsi" w:hAnsi="Times New Roman"/>
          <w:lang w:val="bs-Latn-BA"/>
        </w:rPr>
      </w:pPr>
      <w:r w:rsidRPr="00155F80">
        <w:rPr>
          <w:rFonts w:ascii="Times New Roman" w:eastAsiaTheme="minorHAnsi" w:hAnsi="Times New Roman"/>
          <w:lang w:val="bs-Latn-BA"/>
        </w:rPr>
        <w:t>Iako nisu među vodećim oboljenjima, u ovoj populaci</w:t>
      </w:r>
      <w:r w:rsidR="00BD1A28">
        <w:rPr>
          <w:rFonts w:ascii="Times New Roman" w:eastAsiaTheme="minorHAnsi" w:hAnsi="Times New Roman"/>
          <w:lang w:val="bs-Latn-BA"/>
        </w:rPr>
        <w:t>jskoj</w:t>
      </w:r>
      <w:r w:rsidRPr="00155F80">
        <w:rPr>
          <w:rFonts w:ascii="Times New Roman" w:eastAsiaTheme="minorHAnsi" w:hAnsi="Times New Roman"/>
          <w:lang w:val="bs-Latn-BA"/>
        </w:rPr>
        <w:t xml:space="preserve"> grupi su česti poremećaji mentalnog zdravlja što se posebno odnosi na depresiju i demenciju, zatim poremećaji vida i sluha, </w:t>
      </w:r>
      <w:r w:rsidR="00FE3B0D">
        <w:rPr>
          <w:rFonts w:ascii="Times New Roman" w:eastAsiaTheme="minorHAnsi" w:hAnsi="Times New Roman"/>
          <w:lang w:val="bs-Latn-BA"/>
        </w:rPr>
        <w:t>ozljede</w:t>
      </w:r>
      <w:r w:rsidRPr="00155F80">
        <w:rPr>
          <w:rFonts w:ascii="Times New Roman" w:eastAsiaTheme="minorHAnsi" w:hAnsi="Times New Roman"/>
          <w:lang w:val="bs-Latn-BA"/>
        </w:rPr>
        <w:t>, maligne neoplazme i drugo, što sve smanjuje kvalitet života.</w:t>
      </w:r>
    </w:p>
    <w:p w:rsidR="00A131AD" w:rsidRPr="00155F80" w:rsidRDefault="00A131AD" w:rsidP="000C0138">
      <w:pPr>
        <w:spacing w:line="276" w:lineRule="auto"/>
        <w:rPr>
          <w:rFonts w:ascii="Times New Roman" w:hAnsi="Times New Roman"/>
        </w:rPr>
      </w:pPr>
      <w:r w:rsidRPr="00155F80">
        <w:rPr>
          <w:rFonts w:ascii="Times New Roman" w:hAnsi="Times New Roman"/>
        </w:rPr>
        <w:t>Vodeći uzroci smrti stanovništva starijeg od 65 godina u Federaciji BiH u  2015. godini, kao i 2010. godine, su oboljenja cirkula</w:t>
      </w:r>
      <w:r w:rsidR="00467393">
        <w:rPr>
          <w:rFonts w:ascii="Times New Roman" w:hAnsi="Times New Roman"/>
        </w:rPr>
        <w:t>cijskog</w:t>
      </w:r>
      <w:r w:rsidRPr="00155F80">
        <w:rPr>
          <w:rFonts w:ascii="Times New Roman" w:hAnsi="Times New Roman"/>
        </w:rPr>
        <w:t xml:space="preserve"> s</w:t>
      </w:r>
      <w:r w:rsidR="00467393">
        <w:rPr>
          <w:rFonts w:ascii="Times New Roman" w:hAnsi="Times New Roman"/>
        </w:rPr>
        <w:t>ustava</w:t>
      </w:r>
      <w:r w:rsidRPr="00155F80">
        <w:rPr>
          <w:rFonts w:ascii="Times New Roman" w:hAnsi="Times New Roman"/>
        </w:rPr>
        <w:t xml:space="preserve"> (I00-I99) sa udjelom od 59,1% (2918,0/100.000), i imaju lagani trend rasta u odnosu na 2010. godinu, slijede maligne neoplazme (C00-C97) sa udjelom od 17,9% (883,3/100.000) i takođe su u porastu u </w:t>
      </w:r>
      <w:r w:rsidR="00467393">
        <w:rPr>
          <w:rFonts w:ascii="Times New Roman" w:hAnsi="Times New Roman"/>
        </w:rPr>
        <w:t>usporedbi</w:t>
      </w:r>
      <w:r w:rsidRPr="00155F80">
        <w:rPr>
          <w:rFonts w:ascii="Times New Roman" w:hAnsi="Times New Roman"/>
        </w:rPr>
        <w:t xml:space="preserve"> sa 2010. godinom.</w:t>
      </w:r>
    </w:p>
    <w:p w:rsidR="00A131AD" w:rsidRDefault="00A131AD" w:rsidP="000C0138">
      <w:pPr>
        <w:spacing w:line="276" w:lineRule="auto"/>
        <w:rPr>
          <w:rFonts w:ascii="Times New Roman" w:hAnsi="Times New Roman"/>
          <w:color w:val="000000"/>
          <w:lang w:eastAsia="bs-Latn-BA"/>
        </w:rPr>
      </w:pPr>
      <w:r w:rsidRPr="00155F80">
        <w:rPr>
          <w:rFonts w:ascii="Times New Roman" w:hAnsi="Times New Roman"/>
        </w:rPr>
        <w:t xml:space="preserve">Treći vodeći uzrok smrti stanovništva starijeg od 65 godina bila su endokrina i metabolička oboljenja sa poremećajima u </w:t>
      </w:r>
      <w:r w:rsidR="00467393">
        <w:rPr>
          <w:rFonts w:ascii="Times New Roman" w:hAnsi="Times New Roman"/>
        </w:rPr>
        <w:t>pre</w:t>
      </w:r>
      <w:r w:rsidRPr="00155F80">
        <w:rPr>
          <w:rFonts w:ascii="Times New Roman" w:hAnsi="Times New Roman"/>
        </w:rPr>
        <w:t>hrani (E00-E99) sa u</w:t>
      </w:r>
      <w:r w:rsidR="00243A26">
        <w:rPr>
          <w:rFonts w:ascii="Times New Roman" w:hAnsi="Times New Roman"/>
        </w:rPr>
        <w:t>djelom</w:t>
      </w:r>
      <w:r w:rsidRPr="00155F80">
        <w:rPr>
          <w:rFonts w:ascii="Times New Roman" w:hAnsi="Times New Roman"/>
        </w:rPr>
        <w:t xml:space="preserve"> 6,2% (303,8/100.000) što predstavlja porast u odnosu na 2010. godinu., slijede oboljenja respiratornog s</w:t>
      </w:r>
      <w:r w:rsidR="00467393">
        <w:rPr>
          <w:rFonts w:ascii="Times New Roman" w:hAnsi="Times New Roman"/>
        </w:rPr>
        <w:t>ustava</w:t>
      </w:r>
      <w:r w:rsidRPr="00155F80">
        <w:rPr>
          <w:rFonts w:ascii="Times New Roman" w:hAnsi="Times New Roman"/>
        </w:rPr>
        <w:t xml:space="preserve"> (J00-J99) sa u</w:t>
      </w:r>
      <w:r w:rsidR="00467393">
        <w:rPr>
          <w:rFonts w:ascii="Times New Roman" w:hAnsi="Times New Roman"/>
        </w:rPr>
        <w:t>djelom</w:t>
      </w:r>
      <w:r w:rsidRPr="00155F80">
        <w:rPr>
          <w:rFonts w:ascii="Times New Roman" w:hAnsi="Times New Roman"/>
        </w:rPr>
        <w:t xml:space="preserve"> od 5,3% (260,5/100.000). Na petom mjestu su </w:t>
      </w:r>
      <w:r w:rsidR="004F1CAA" w:rsidRPr="00155F80">
        <w:rPr>
          <w:rFonts w:ascii="Times New Roman" w:hAnsi="Times New Roman"/>
        </w:rPr>
        <w:t>s</w:t>
      </w:r>
      <w:r w:rsidRPr="00155F80">
        <w:rPr>
          <w:rFonts w:ascii="Times New Roman" w:hAnsi="Times New Roman"/>
          <w:color w:val="000000"/>
          <w:lang w:eastAsia="bs-Latn-BA"/>
        </w:rPr>
        <w:t>imptomi,</w:t>
      </w:r>
      <w:r w:rsidR="004F1CAA" w:rsidRPr="00155F80">
        <w:rPr>
          <w:rFonts w:ascii="Times New Roman" w:hAnsi="Times New Roman"/>
          <w:color w:val="000000"/>
          <w:lang w:eastAsia="bs-Latn-BA"/>
        </w:rPr>
        <w:t xml:space="preserve"> </w:t>
      </w:r>
      <w:r w:rsidRPr="00155F80">
        <w:rPr>
          <w:rFonts w:ascii="Times New Roman" w:hAnsi="Times New Roman"/>
          <w:color w:val="000000"/>
          <w:lang w:eastAsia="bs-Latn-BA"/>
        </w:rPr>
        <w:t>zn</w:t>
      </w:r>
      <w:r w:rsidR="004F1CAA" w:rsidRPr="00155F80">
        <w:rPr>
          <w:rFonts w:ascii="Times New Roman" w:hAnsi="Times New Roman"/>
          <w:color w:val="000000"/>
          <w:lang w:eastAsia="bs-Latn-BA"/>
        </w:rPr>
        <w:t xml:space="preserve">aci i nenormalni klinički i laboratorijski </w:t>
      </w:r>
      <w:r w:rsidRPr="00155F80">
        <w:rPr>
          <w:rFonts w:ascii="Times New Roman" w:hAnsi="Times New Roman"/>
          <w:color w:val="000000"/>
          <w:lang w:eastAsia="bs-Latn-BA"/>
        </w:rPr>
        <w:t>nalazi (R00-R99) sa u</w:t>
      </w:r>
      <w:r w:rsidR="00243A26">
        <w:rPr>
          <w:rFonts w:ascii="Times New Roman" w:hAnsi="Times New Roman"/>
          <w:color w:val="000000"/>
          <w:lang w:eastAsia="bs-Latn-BA"/>
        </w:rPr>
        <w:t>djelom</w:t>
      </w:r>
      <w:r w:rsidRPr="00155F80">
        <w:rPr>
          <w:rFonts w:ascii="Times New Roman" w:hAnsi="Times New Roman"/>
          <w:color w:val="000000"/>
          <w:lang w:eastAsia="bs-Latn-BA"/>
        </w:rPr>
        <w:t xml:space="preserve"> od 2,1% (104,7/100.000).</w:t>
      </w:r>
    </w:p>
    <w:p w:rsidR="00A131AD" w:rsidRPr="00155F80" w:rsidRDefault="00A131AD" w:rsidP="000C0138">
      <w:pPr>
        <w:spacing w:line="276" w:lineRule="auto"/>
        <w:rPr>
          <w:rFonts w:ascii="Times New Roman" w:hAnsi="Times New Roman"/>
          <w:color w:val="000000"/>
          <w:lang w:eastAsia="bs-Latn-BA"/>
        </w:rPr>
      </w:pPr>
    </w:p>
    <w:p w:rsidR="00110347" w:rsidRDefault="00A131AD" w:rsidP="00EB7CC7">
      <w:pPr>
        <w:pStyle w:val="refererere"/>
        <w:rPr>
          <w:lang w:eastAsia="bs-Latn-BA"/>
        </w:rPr>
      </w:pPr>
      <w:r w:rsidRPr="00155F80">
        <w:rPr>
          <w:lang w:eastAsia="bs-Latn-BA"/>
        </w:rPr>
        <w:t>Grafikon 56: Pet vodećih grupa oboljenja kao uzroka smrti stanovništva starijeg od 65 godina u Federaciji BiH, 2010. i 2015. godina, stopa na 100.000 stanovnika</w:t>
      </w:r>
    </w:p>
    <w:p w:rsidR="00110347" w:rsidRDefault="00793494" w:rsidP="000C0138">
      <w:pPr>
        <w:spacing w:line="276" w:lineRule="auto"/>
        <w:rPr>
          <w:rFonts w:ascii="Times New Roman" w:hAnsi="Times New Roman"/>
          <w:color w:val="000000"/>
          <w:lang w:eastAsia="bs-Latn-BA"/>
        </w:rPr>
      </w:pPr>
      <w:r>
        <w:rPr>
          <w:noProof/>
          <w:lang w:val="bs-Latn-BA" w:eastAsia="bs-Latn-BA"/>
        </w:rPr>
        <w:drawing>
          <wp:inline distT="0" distB="0" distL="0" distR="0" wp14:anchorId="7693A42B" wp14:editId="190E0BF8">
            <wp:extent cx="5715000" cy="2295525"/>
            <wp:effectExtent l="0" t="0" r="0" b="9525"/>
            <wp:docPr id="108" name="Chart 108"/>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110347" w:rsidRPr="00155F80" w:rsidRDefault="00110347" w:rsidP="000C0138">
      <w:pPr>
        <w:spacing w:line="276" w:lineRule="auto"/>
        <w:rPr>
          <w:rFonts w:ascii="Times New Roman" w:hAnsi="Times New Roman"/>
          <w:color w:val="000000"/>
          <w:lang w:eastAsia="bs-Latn-BA"/>
        </w:rPr>
      </w:pPr>
    </w:p>
    <w:p w:rsidR="00A131AD" w:rsidRPr="00993848" w:rsidRDefault="00A06016" w:rsidP="003E3695">
      <w:pPr>
        <w:pStyle w:val="Poglavlje3"/>
      </w:pPr>
      <w:bookmarkStart w:id="292" w:name="_Toc456095920"/>
      <w:r>
        <w:lastRenderedPageBreak/>
        <w:t>3.2.5.4</w:t>
      </w:r>
      <w:r w:rsidR="00230D7E" w:rsidRPr="00993848">
        <w:t xml:space="preserve"> </w:t>
      </w:r>
      <w:r w:rsidR="00A131AD" w:rsidRPr="00993848">
        <w:t xml:space="preserve">Reproduktivno zdravlje i planiranje </w:t>
      </w:r>
      <w:bookmarkEnd w:id="292"/>
      <w:r w:rsidR="004B2A12">
        <w:t>obitelji</w:t>
      </w:r>
    </w:p>
    <w:p w:rsidR="00A131AD" w:rsidRPr="00155F80" w:rsidRDefault="00A131AD" w:rsidP="000C0138">
      <w:pPr>
        <w:tabs>
          <w:tab w:val="left" w:pos="550"/>
        </w:tabs>
        <w:spacing w:before="120" w:line="276" w:lineRule="auto"/>
        <w:rPr>
          <w:rFonts w:ascii="Times New Roman" w:hAnsi="Times New Roman"/>
          <w:noProof/>
          <w:lang w:val="bs-Latn-BA"/>
        </w:rPr>
      </w:pPr>
      <w:r w:rsidRPr="00155F80">
        <w:rPr>
          <w:rFonts w:ascii="Times New Roman" w:hAnsi="Times New Roman"/>
          <w:noProof/>
          <w:lang w:val="bs-Latn-BA"/>
        </w:rPr>
        <w:t>Pravo na reproduktivno zdravlje predstavlja dio općih ljudskih prava, a uključuje slobodno i svjesno odlučivanje o najpovoljnijem vremenu za roditeljstvo, rađanje željenog broja djece, razmak između poroda, dostupnost informacija i sredstava za kontracepciju, te pravo na najviše standarde zaštite seksualnog i reproduktivnog zdravlja.</w:t>
      </w:r>
    </w:p>
    <w:p w:rsidR="00A131AD" w:rsidRDefault="00A131AD" w:rsidP="00B37E7E">
      <w:pPr>
        <w:tabs>
          <w:tab w:val="left" w:pos="550"/>
        </w:tabs>
        <w:spacing w:before="120" w:line="276" w:lineRule="auto"/>
        <w:rPr>
          <w:rFonts w:ascii="Times New Roman" w:hAnsi="Times New Roman"/>
          <w:noProof/>
          <w:lang w:val="bs-Latn-BA"/>
        </w:rPr>
      </w:pPr>
      <w:r w:rsidRPr="00155F80">
        <w:rPr>
          <w:rFonts w:ascii="Times New Roman" w:hAnsi="Times New Roman"/>
          <w:noProof/>
          <w:lang w:val="bs-Latn-BA"/>
        </w:rPr>
        <w:t>Zdravlje i zdravstvena zaštita majke i djeteta je od priori</w:t>
      </w:r>
      <w:r w:rsidR="00B37E7E">
        <w:rPr>
          <w:rFonts w:ascii="Times New Roman" w:hAnsi="Times New Roman"/>
          <w:noProof/>
          <w:lang w:val="bs-Latn-BA"/>
        </w:rPr>
        <w:t>tetne važnosti za svaku zemlju.</w:t>
      </w:r>
    </w:p>
    <w:p w:rsidR="00B37E7E" w:rsidRPr="00B37E7E" w:rsidRDefault="00B37E7E" w:rsidP="00B37E7E">
      <w:pPr>
        <w:tabs>
          <w:tab w:val="left" w:pos="550"/>
        </w:tabs>
        <w:spacing w:before="120" w:line="276" w:lineRule="auto"/>
        <w:rPr>
          <w:rFonts w:ascii="Times New Roman" w:hAnsi="Times New Roman"/>
          <w:noProof/>
          <w:lang w:val="bs-Latn-BA"/>
        </w:rPr>
      </w:pPr>
    </w:p>
    <w:p w:rsidR="00A131AD" w:rsidRPr="00155F80" w:rsidRDefault="00A131AD" w:rsidP="000C0138">
      <w:pPr>
        <w:keepNext/>
        <w:keepLines/>
        <w:spacing w:before="40" w:line="276" w:lineRule="auto"/>
        <w:jc w:val="left"/>
        <w:outlineLvl w:val="3"/>
        <w:rPr>
          <w:rFonts w:ascii="Times New Roman" w:eastAsiaTheme="majorEastAsia" w:hAnsi="Times New Roman"/>
          <w:b/>
          <w:iCs/>
          <w:lang w:val="bs-Latn-BA"/>
        </w:rPr>
      </w:pPr>
      <w:r w:rsidRPr="00155F80">
        <w:rPr>
          <w:rFonts w:ascii="Times New Roman" w:eastAsiaTheme="majorEastAsia" w:hAnsi="Times New Roman"/>
          <w:b/>
          <w:iCs/>
          <w:lang w:val="bs-Latn-BA"/>
        </w:rPr>
        <w:t xml:space="preserve">Fertilitet </w:t>
      </w:r>
    </w:p>
    <w:p w:rsidR="00A131AD" w:rsidRPr="00155F80" w:rsidRDefault="00A131AD" w:rsidP="000C0138">
      <w:pPr>
        <w:tabs>
          <w:tab w:val="left" w:pos="550"/>
        </w:tabs>
        <w:spacing w:before="120" w:line="276" w:lineRule="auto"/>
        <w:rPr>
          <w:rFonts w:ascii="Times New Roman" w:hAnsi="Times New Roman"/>
          <w:noProof/>
          <w:lang w:val="bs-Latn-BA"/>
        </w:rPr>
      </w:pPr>
      <w:r w:rsidRPr="00155F80">
        <w:rPr>
          <w:rFonts w:ascii="Times New Roman" w:hAnsi="Times New Roman"/>
          <w:noProof/>
          <w:lang w:val="bs-Latn-BA"/>
        </w:rPr>
        <w:t>U Federaciji BiH u 2015. godini je, prema procjeni Federalnog zavoda za statistiku, živjelo 1.176.010 žena (50,4%).</w:t>
      </w:r>
    </w:p>
    <w:p w:rsidR="00A131AD" w:rsidRPr="00155F80" w:rsidRDefault="00A131AD" w:rsidP="00B560D0">
      <w:pPr>
        <w:tabs>
          <w:tab w:val="left" w:pos="550"/>
        </w:tabs>
        <w:spacing w:line="276" w:lineRule="auto"/>
        <w:rPr>
          <w:rFonts w:ascii="Times New Roman" w:hAnsi="Times New Roman"/>
          <w:noProof/>
          <w:lang w:val="bs-Latn-BA"/>
        </w:rPr>
      </w:pPr>
      <w:r w:rsidRPr="00155F80">
        <w:rPr>
          <w:rFonts w:ascii="Times New Roman" w:hAnsi="Times New Roman"/>
          <w:noProof/>
          <w:lang w:val="bs-Latn-BA"/>
        </w:rPr>
        <w:t>Stopa općeg fertiliteta (plodnosti) predstavlja broj živorođene djece na 1.000 žena reproduktivne dobi, i kontinuirano se smanjuje, pa je u 2015. godini iznosila samo 1,2.</w:t>
      </w:r>
    </w:p>
    <w:p w:rsidR="00A131AD" w:rsidRPr="00155F80" w:rsidRDefault="00A131AD" w:rsidP="000C0138">
      <w:pPr>
        <w:tabs>
          <w:tab w:val="left" w:pos="550"/>
        </w:tabs>
        <w:spacing w:before="120" w:line="276" w:lineRule="auto"/>
        <w:rPr>
          <w:rFonts w:ascii="Times New Roman" w:hAnsi="Times New Roman"/>
          <w:noProof/>
          <w:lang w:val="bs-Latn-BA"/>
        </w:rPr>
      </w:pPr>
      <w:r w:rsidRPr="00155F80">
        <w:rPr>
          <w:rFonts w:ascii="Times New Roman" w:hAnsi="Times New Roman"/>
          <w:noProof/>
          <w:lang w:val="bs-Latn-BA"/>
        </w:rPr>
        <w:t xml:space="preserve">U </w:t>
      </w:r>
      <w:r w:rsidR="004B2A12">
        <w:rPr>
          <w:rFonts w:ascii="Times New Roman" w:hAnsi="Times New Roman"/>
          <w:noProof/>
          <w:lang w:val="bs-Latn-BA"/>
        </w:rPr>
        <w:t xml:space="preserve">razdoblju </w:t>
      </w:r>
      <w:r w:rsidRPr="00155F80">
        <w:rPr>
          <w:rFonts w:ascii="Times New Roman" w:hAnsi="Times New Roman"/>
          <w:noProof/>
          <w:lang w:val="bs-Latn-BA"/>
        </w:rPr>
        <w:t>od 2010.-2015. godine je uočljivo smanjenje broja poroda i pomjeranje dobi rodilja prema starijim podgrupama. U 2015. godini, najviše poroda (28,5%) je bilo u grupi rodilja starosti 30-34  godine, potom u grupi starosti od 25-29 godina (28%). Ovo ukazuje da prosječna starost rodilja prelazi optimalnu granicu od 25 godina života.</w:t>
      </w:r>
    </w:p>
    <w:p w:rsidR="00A131AD" w:rsidRPr="00155F80" w:rsidRDefault="00A131AD" w:rsidP="000C0138">
      <w:pPr>
        <w:tabs>
          <w:tab w:val="left" w:pos="550"/>
        </w:tabs>
        <w:spacing w:before="120" w:line="276" w:lineRule="auto"/>
        <w:rPr>
          <w:rFonts w:ascii="Times New Roman" w:hAnsi="Times New Roman"/>
          <w:noProof/>
          <w:lang w:val="bs-Latn-BA"/>
        </w:rPr>
      </w:pPr>
      <w:r w:rsidRPr="00155F80">
        <w:rPr>
          <w:rFonts w:ascii="Times New Roman" w:hAnsi="Times New Roman"/>
          <w:noProof/>
          <w:lang w:val="bs-Latn-BA"/>
        </w:rPr>
        <w:t xml:space="preserve">Broj poroda u starosti  ispod 15 godina (3 poroda) i iznad 49 godina (1 porod) sveden je na sporadične slučajeve u 2015. godini. </w:t>
      </w:r>
    </w:p>
    <w:p w:rsidR="00A131AD" w:rsidRDefault="00E61F0C" w:rsidP="000C0138">
      <w:pPr>
        <w:tabs>
          <w:tab w:val="left" w:pos="550"/>
        </w:tabs>
        <w:spacing w:before="120" w:line="276" w:lineRule="auto"/>
        <w:rPr>
          <w:rFonts w:ascii="Times New Roman" w:hAnsi="Times New Roman"/>
          <w:noProof/>
          <w:lang w:val="bs-Latn-BA"/>
        </w:rPr>
      </w:pPr>
      <w:r>
        <w:rPr>
          <w:rFonts w:ascii="Times New Roman" w:hAnsi="Times New Roman"/>
          <w:noProof/>
          <w:lang w:val="bs-Latn-BA"/>
        </w:rPr>
        <w:t>U</w:t>
      </w:r>
      <w:r w:rsidR="004B2A12">
        <w:rPr>
          <w:rFonts w:ascii="Times New Roman" w:hAnsi="Times New Roman"/>
          <w:noProof/>
          <w:lang w:val="bs-Latn-BA"/>
        </w:rPr>
        <w:t>dio</w:t>
      </w:r>
      <w:r w:rsidR="00A131AD" w:rsidRPr="00155F80">
        <w:rPr>
          <w:rFonts w:ascii="Times New Roman" w:hAnsi="Times New Roman"/>
          <w:noProof/>
          <w:lang w:val="bs-Latn-BA"/>
        </w:rPr>
        <w:t xml:space="preserve"> rođenih od majki mlađih od 20 godina</w:t>
      </w:r>
      <w:r>
        <w:rPr>
          <w:rFonts w:ascii="Times New Roman" w:hAnsi="Times New Roman"/>
          <w:noProof/>
          <w:lang w:val="bs-Latn-BA"/>
        </w:rPr>
        <w:t xml:space="preserve"> u 2015. godini je </w:t>
      </w:r>
      <w:r w:rsidR="00A131AD" w:rsidRPr="00155F80">
        <w:rPr>
          <w:rFonts w:ascii="Times New Roman" w:hAnsi="Times New Roman"/>
          <w:noProof/>
          <w:lang w:val="bs-Latn-BA"/>
        </w:rPr>
        <w:t>iznosi</w:t>
      </w:r>
      <w:r>
        <w:rPr>
          <w:rFonts w:ascii="Times New Roman" w:hAnsi="Times New Roman"/>
          <w:noProof/>
          <w:lang w:val="bs-Latn-BA"/>
        </w:rPr>
        <w:t>o 5% i viš</w:t>
      </w:r>
      <w:r w:rsidR="004B2A12">
        <w:rPr>
          <w:rFonts w:ascii="Times New Roman" w:hAnsi="Times New Roman"/>
          <w:noProof/>
          <w:lang w:val="bs-Latn-BA"/>
        </w:rPr>
        <w:t>i</w:t>
      </w:r>
      <w:r w:rsidR="00A131AD" w:rsidRPr="00155F80">
        <w:rPr>
          <w:rFonts w:ascii="Times New Roman" w:hAnsi="Times New Roman"/>
          <w:noProof/>
          <w:lang w:val="bs-Latn-BA"/>
        </w:rPr>
        <w:t xml:space="preserve"> je nego prethodnih godina zbog manjeg broja porođaja, dok je udio rođenih od majki starijih od 35 godina u 2015. godini je iznosio 12,8% i nešto je niži u odnosu na 2014. godinu (14,3%). </w:t>
      </w:r>
    </w:p>
    <w:p w:rsidR="00B37E7E" w:rsidRDefault="00B37E7E" w:rsidP="000C0138">
      <w:pPr>
        <w:tabs>
          <w:tab w:val="left" w:pos="550"/>
        </w:tabs>
        <w:spacing w:before="120" w:line="276" w:lineRule="auto"/>
        <w:rPr>
          <w:rFonts w:ascii="Times New Roman" w:hAnsi="Times New Roman"/>
          <w:noProof/>
          <w:lang w:val="bs-Latn-BA"/>
        </w:rPr>
      </w:pPr>
    </w:p>
    <w:p w:rsidR="00A131AD" w:rsidRPr="00155F80" w:rsidRDefault="00A131AD" w:rsidP="00B37E7E">
      <w:pPr>
        <w:pStyle w:val="refererere"/>
        <w:rPr>
          <w:noProof/>
          <w:lang w:val="bs-Latn-BA" w:eastAsia="bs-Latn-BA"/>
        </w:rPr>
      </w:pPr>
      <w:bookmarkStart w:id="293" w:name="_Toc390770680"/>
      <w:r w:rsidRPr="00155F80">
        <w:rPr>
          <w:noProof/>
          <w:lang w:val="bs-Latn-BA" w:eastAsia="bs-Latn-BA"/>
        </w:rPr>
        <w:t>Grafikon 57: Broj rođenih prema dobi majke u Federaciji BiH</w:t>
      </w:r>
      <w:bookmarkEnd w:id="293"/>
      <w:r w:rsidRPr="00155F80">
        <w:rPr>
          <w:noProof/>
          <w:lang w:val="bs-Latn-BA" w:eastAsia="bs-Latn-BA"/>
        </w:rPr>
        <w:t>, 2010. i 2015. godina</w:t>
      </w:r>
    </w:p>
    <w:p w:rsidR="00A131AD" w:rsidRPr="00155F80" w:rsidRDefault="00A131AD" w:rsidP="000C0138">
      <w:pPr>
        <w:spacing w:after="160" w:line="276" w:lineRule="auto"/>
        <w:jc w:val="center"/>
        <w:rPr>
          <w:rFonts w:ascii="Times New Roman" w:eastAsiaTheme="minorHAnsi" w:hAnsi="Times New Roman"/>
          <w:lang w:val="bs-Latn-BA"/>
        </w:rPr>
      </w:pPr>
      <w:r w:rsidRPr="00155F80">
        <w:rPr>
          <w:rFonts w:ascii="Times New Roman" w:eastAsiaTheme="minorHAnsi" w:hAnsi="Times New Roman"/>
          <w:noProof/>
          <w:lang w:val="bs-Latn-BA" w:eastAsia="bs-Latn-BA"/>
        </w:rPr>
        <w:drawing>
          <wp:inline distT="0" distB="0" distL="0" distR="0" wp14:anchorId="4AEDF6CB" wp14:editId="2621B173">
            <wp:extent cx="5619750" cy="2101933"/>
            <wp:effectExtent l="0" t="0" r="0" b="12700"/>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A131AD" w:rsidRPr="00155F80" w:rsidRDefault="00E61F0C" w:rsidP="000C0138">
      <w:pPr>
        <w:tabs>
          <w:tab w:val="left" w:pos="550"/>
        </w:tabs>
        <w:spacing w:before="120" w:line="276" w:lineRule="auto"/>
        <w:rPr>
          <w:rFonts w:ascii="Times New Roman" w:hAnsi="Times New Roman"/>
          <w:noProof/>
          <w:lang w:val="bs-Latn-BA"/>
        </w:rPr>
      </w:pPr>
      <w:r>
        <w:rPr>
          <w:rFonts w:ascii="Times New Roman" w:hAnsi="Times New Roman"/>
          <w:noProof/>
          <w:lang w:val="bs-Latn-BA"/>
        </w:rPr>
        <w:t>M</w:t>
      </w:r>
      <w:r w:rsidRPr="00155F80">
        <w:rPr>
          <w:rFonts w:ascii="Times New Roman" w:hAnsi="Times New Roman"/>
          <w:noProof/>
          <w:lang w:val="bs-Latn-BA"/>
        </w:rPr>
        <w:t xml:space="preserve">aternalna smrtnost </w:t>
      </w:r>
      <w:r>
        <w:rPr>
          <w:rFonts w:ascii="Times New Roman" w:hAnsi="Times New Roman"/>
          <w:noProof/>
          <w:lang w:val="bs-Latn-BA"/>
        </w:rPr>
        <w:t xml:space="preserve">je </w:t>
      </w:r>
      <w:r w:rsidRPr="00155F80">
        <w:rPr>
          <w:rFonts w:ascii="Times New Roman" w:hAnsi="Times New Roman"/>
          <w:noProof/>
          <w:lang w:val="bs-Latn-BA"/>
        </w:rPr>
        <w:t xml:space="preserve">godinama na </w:t>
      </w:r>
      <w:r w:rsidR="004B2A12">
        <w:rPr>
          <w:rFonts w:ascii="Times New Roman" w:hAnsi="Times New Roman"/>
          <w:noProof/>
          <w:lang w:val="bs-Latn-BA"/>
        </w:rPr>
        <w:t>razini</w:t>
      </w:r>
      <w:r w:rsidRPr="00155F80">
        <w:rPr>
          <w:rFonts w:ascii="Times New Roman" w:hAnsi="Times New Roman"/>
          <w:noProof/>
          <w:lang w:val="bs-Latn-BA"/>
        </w:rPr>
        <w:t xml:space="preserve"> sporadičnih slučajeva. </w:t>
      </w:r>
      <w:r w:rsidR="00A131AD" w:rsidRPr="00155F80">
        <w:rPr>
          <w:rFonts w:ascii="Times New Roman" w:hAnsi="Times New Roman"/>
          <w:noProof/>
          <w:lang w:val="bs-Latn-BA"/>
        </w:rPr>
        <w:t xml:space="preserve">U 2015. godini skoro svi porodi (99,96%) su obavljeni  uz stručnu pomoć, </w:t>
      </w:r>
      <w:r>
        <w:rPr>
          <w:rFonts w:ascii="Times New Roman" w:hAnsi="Times New Roman"/>
          <w:noProof/>
          <w:lang w:val="bs-Latn-BA"/>
        </w:rPr>
        <w:t xml:space="preserve">te </w:t>
      </w:r>
      <w:r w:rsidR="00A131AD" w:rsidRPr="00155F80">
        <w:rPr>
          <w:rFonts w:ascii="Times New Roman" w:hAnsi="Times New Roman"/>
          <w:noProof/>
          <w:lang w:val="bs-Latn-BA"/>
        </w:rPr>
        <w:t>nisu registr</w:t>
      </w:r>
      <w:r w:rsidR="004B2A12">
        <w:rPr>
          <w:rFonts w:ascii="Times New Roman" w:hAnsi="Times New Roman"/>
          <w:noProof/>
          <w:lang w:val="bs-Latn-BA"/>
        </w:rPr>
        <w:t>irani</w:t>
      </w:r>
      <w:r w:rsidR="00A131AD" w:rsidRPr="00155F80">
        <w:rPr>
          <w:rFonts w:ascii="Times New Roman" w:hAnsi="Times New Roman"/>
          <w:noProof/>
          <w:lang w:val="bs-Latn-BA"/>
        </w:rPr>
        <w:t xml:space="preserve"> smrtni slučajevi vezani za trudnoću, porod i </w:t>
      </w:r>
      <w:r w:rsidR="004B2A12">
        <w:rPr>
          <w:rFonts w:ascii="Times New Roman" w:hAnsi="Times New Roman"/>
          <w:noProof/>
          <w:lang w:val="bs-Latn-BA"/>
        </w:rPr>
        <w:t>razdoblje</w:t>
      </w:r>
      <w:r w:rsidR="00A131AD" w:rsidRPr="00155F80">
        <w:rPr>
          <w:rFonts w:ascii="Times New Roman" w:hAnsi="Times New Roman"/>
          <w:noProof/>
          <w:lang w:val="bs-Latn-BA"/>
        </w:rPr>
        <w:t xml:space="preserve"> poslije poroda. Dobra antenatalna zaštita, koja podrazumijeva odgovarajući broj pregleda u trudnoći, doprinosi prevenciji nepovoljnih ishoda. </w:t>
      </w:r>
    </w:p>
    <w:p w:rsidR="00A131AD" w:rsidRDefault="00A131AD" w:rsidP="000C0138">
      <w:pPr>
        <w:tabs>
          <w:tab w:val="left" w:pos="550"/>
        </w:tabs>
        <w:spacing w:before="120" w:line="276" w:lineRule="auto"/>
        <w:rPr>
          <w:rFonts w:ascii="Times New Roman" w:hAnsi="Times New Roman"/>
          <w:noProof/>
          <w:lang w:val="bs-Latn-BA"/>
        </w:rPr>
      </w:pPr>
      <w:r w:rsidRPr="00155F80">
        <w:rPr>
          <w:rFonts w:ascii="Times New Roman" w:hAnsi="Times New Roman"/>
          <w:noProof/>
          <w:lang w:val="bs-Latn-BA"/>
        </w:rPr>
        <w:t xml:space="preserve">U 2015. godini je registrirano 19.108 porođaja i nastavljen je trend povećanja broja poroda carskim rezom, kojim je završeno 25% porođaja (4.788) što odstupa od 10-15% koliko preporučuje SZO. Stopa poroda carskim rezom je u porastu, ima vrijednost od 249,3/1.000 živorođenih i slična je prosjeku zemalja </w:t>
      </w:r>
      <w:r w:rsidR="00A726E5" w:rsidRPr="00155F80">
        <w:rPr>
          <w:rFonts w:ascii="Times New Roman" w:hAnsi="Times New Roman"/>
          <w:noProof/>
          <w:lang w:val="bs-Latn-BA"/>
        </w:rPr>
        <w:t>e</w:t>
      </w:r>
      <w:r w:rsidR="004B2A12">
        <w:rPr>
          <w:rFonts w:ascii="Times New Roman" w:hAnsi="Times New Roman"/>
          <w:noProof/>
          <w:lang w:val="bs-Latn-BA"/>
        </w:rPr>
        <w:t>u</w:t>
      </w:r>
      <w:r w:rsidR="00A726E5" w:rsidRPr="00155F80">
        <w:rPr>
          <w:rFonts w:ascii="Times New Roman" w:hAnsi="Times New Roman"/>
          <w:noProof/>
          <w:lang w:val="bs-Latn-BA"/>
        </w:rPr>
        <w:t>ropske regije (254,95</w:t>
      </w:r>
      <w:r w:rsidRPr="00155F80">
        <w:rPr>
          <w:rFonts w:ascii="Times New Roman" w:hAnsi="Times New Roman"/>
          <w:noProof/>
          <w:lang w:val="bs-Latn-BA"/>
        </w:rPr>
        <w:t xml:space="preserve">1.000 živorođenih). </w:t>
      </w:r>
    </w:p>
    <w:p w:rsidR="00A131AD" w:rsidRPr="00155F80" w:rsidRDefault="00A131AD" w:rsidP="000C0138">
      <w:pPr>
        <w:keepNext/>
        <w:keepLines/>
        <w:spacing w:before="40" w:line="276" w:lineRule="auto"/>
        <w:jc w:val="left"/>
        <w:outlineLvl w:val="3"/>
        <w:rPr>
          <w:rFonts w:ascii="Times New Roman" w:eastAsiaTheme="majorEastAsia" w:hAnsi="Times New Roman"/>
          <w:b/>
          <w:iCs/>
          <w:lang w:val="bs-Latn-BA"/>
        </w:rPr>
      </w:pPr>
      <w:r w:rsidRPr="00155F80">
        <w:rPr>
          <w:rFonts w:ascii="Times New Roman" w:eastAsiaTheme="majorEastAsia" w:hAnsi="Times New Roman"/>
          <w:b/>
          <w:iCs/>
          <w:lang w:val="bs-Latn-BA"/>
        </w:rPr>
        <w:lastRenderedPageBreak/>
        <w:t>Planiranje obitelji, kontracepcija i prekidi trudnoće</w:t>
      </w:r>
    </w:p>
    <w:p w:rsidR="00A131AD" w:rsidRPr="00155F80" w:rsidRDefault="00A131AD" w:rsidP="000C0138">
      <w:pPr>
        <w:tabs>
          <w:tab w:val="left" w:pos="550"/>
        </w:tabs>
        <w:spacing w:before="120" w:line="276" w:lineRule="auto"/>
        <w:rPr>
          <w:rFonts w:ascii="Times New Roman" w:hAnsi="Times New Roman"/>
          <w:noProof/>
          <w:lang w:val="bs-Latn-BA"/>
        </w:rPr>
      </w:pPr>
      <w:r w:rsidRPr="00155F80">
        <w:rPr>
          <w:rFonts w:ascii="Times New Roman" w:hAnsi="Times New Roman"/>
          <w:noProof/>
          <w:lang w:val="bs-Latn-BA"/>
        </w:rPr>
        <w:t>Reproduktivno zdravlje uključuje slobodno i svjesno odlučivanje o najpovoljnijem vremenu za roditeljstvo, za rađenje željenog broja djece, razmak između poroda, dostupnost informacija i sredstava za kontracepciju.</w:t>
      </w:r>
    </w:p>
    <w:p w:rsidR="00A131AD" w:rsidRPr="00155F80" w:rsidRDefault="00A131AD" w:rsidP="000C0138">
      <w:pPr>
        <w:tabs>
          <w:tab w:val="left" w:pos="550"/>
        </w:tabs>
        <w:spacing w:before="120" w:line="276" w:lineRule="auto"/>
        <w:rPr>
          <w:rFonts w:ascii="Times New Roman" w:hAnsi="Times New Roman"/>
          <w:noProof/>
          <w:lang w:val="bs-Latn-BA"/>
        </w:rPr>
      </w:pPr>
      <w:r w:rsidRPr="00155F80">
        <w:rPr>
          <w:rFonts w:ascii="Times New Roman" w:hAnsi="Times New Roman"/>
          <w:noProof/>
          <w:lang w:val="bs-Latn-BA"/>
        </w:rPr>
        <w:t>Prema poda</w:t>
      </w:r>
      <w:r w:rsidR="004B2A12">
        <w:rPr>
          <w:rFonts w:ascii="Times New Roman" w:hAnsi="Times New Roman"/>
          <w:noProof/>
          <w:lang w:val="bs-Latn-BA"/>
        </w:rPr>
        <w:t>t</w:t>
      </w:r>
      <w:r w:rsidRPr="00155F80">
        <w:rPr>
          <w:rFonts w:ascii="Times New Roman" w:hAnsi="Times New Roman"/>
          <w:noProof/>
          <w:lang w:val="bs-Latn-BA"/>
        </w:rPr>
        <w:t xml:space="preserve">cima službi za zdravstvenu zaštitu žena (PZZ), mali broj žena reproduktivne dobi je u 2015. godini posjetilo savjetovališta za planiranje obitelji, gdje je zabilježeno samo 6.831 posjeta tj. za 4,5% manje nego u 2014. godini (6.995) . </w:t>
      </w:r>
    </w:p>
    <w:p w:rsidR="00A131AD" w:rsidRPr="00155F80" w:rsidRDefault="00A131AD" w:rsidP="000C0138">
      <w:pPr>
        <w:tabs>
          <w:tab w:val="left" w:pos="550"/>
        </w:tabs>
        <w:spacing w:before="120" w:line="276" w:lineRule="auto"/>
        <w:rPr>
          <w:rFonts w:ascii="Times New Roman" w:hAnsi="Times New Roman"/>
          <w:noProof/>
          <w:lang w:val="bs-Latn-BA"/>
        </w:rPr>
      </w:pPr>
      <w:r w:rsidRPr="00155F80">
        <w:rPr>
          <w:rFonts w:ascii="Times New Roman" w:hAnsi="Times New Roman"/>
          <w:noProof/>
          <w:lang w:val="bs-Latn-BA"/>
        </w:rPr>
        <w:t>Prema poda</w:t>
      </w:r>
      <w:r w:rsidR="0075437E">
        <w:rPr>
          <w:rFonts w:ascii="Times New Roman" w:hAnsi="Times New Roman"/>
          <w:noProof/>
          <w:lang w:val="bs-Latn-BA"/>
        </w:rPr>
        <w:t>t</w:t>
      </w:r>
      <w:r w:rsidRPr="00155F80">
        <w:rPr>
          <w:rFonts w:ascii="Times New Roman" w:hAnsi="Times New Roman"/>
          <w:noProof/>
          <w:lang w:val="bs-Latn-BA"/>
        </w:rPr>
        <w:t>cima MICS4 istraživanja, kontracepciju (bilo koju metodu) koristi 43,3% žena koje su u braku ili u zajednici, pri čemu daju prednost tradicionalnim metodama (33,3%) u odnosu na 10% žena koje koriste moderne metode. Najčešća metoda kontracepcije je prekinuti snošaj</w:t>
      </w:r>
      <w:r w:rsidRPr="00155F80">
        <w:rPr>
          <w:rFonts w:ascii="Times New Roman" w:hAnsi="Times New Roman"/>
          <w:iCs/>
          <w:noProof/>
          <w:lang w:val="bs-Latn-BA"/>
        </w:rPr>
        <w:t xml:space="preserve">, </w:t>
      </w:r>
      <w:r w:rsidRPr="00155F80">
        <w:rPr>
          <w:rFonts w:ascii="Times New Roman" w:hAnsi="Times New Roman"/>
          <w:noProof/>
          <w:lang w:val="bs-Latn-BA"/>
        </w:rPr>
        <w:t>koju koristi 29,2% udatih žena, nakon čega slijedi muški kondom, (5,9%). Od ostalih metoda kontracepcije 2,2% žena koriste spiralu, 3,9% praktikuje periodičnu apstinenciju</w:t>
      </w:r>
      <w:r w:rsidRPr="00155F80">
        <w:rPr>
          <w:rFonts w:ascii="Times New Roman" w:hAnsi="Times New Roman"/>
          <w:iCs/>
          <w:noProof/>
          <w:lang w:val="bs-Latn-BA"/>
        </w:rPr>
        <w:t xml:space="preserve"> </w:t>
      </w:r>
      <w:r w:rsidRPr="00155F80">
        <w:rPr>
          <w:rFonts w:ascii="Times New Roman" w:hAnsi="Times New Roman"/>
          <w:noProof/>
          <w:lang w:val="bs-Latn-BA"/>
        </w:rPr>
        <w:t>i 1,6% koristi kontracepcijske pilule.</w:t>
      </w:r>
    </w:p>
    <w:p w:rsidR="00A131AD" w:rsidRPr="00155F80" w:rsidRDefault="00A131AD" w:rsidP="000C0138">
      <w:pPr>
        <w:tabs>
          <w:tab w:val="left" w:pos="550"/>
        </w:tabs>
        <w:spacing w:before="120" w:line="276" w:lineRule="auto"/>
        <w:rPr>
          <w:rFonts w:ascii="Times New Roman" w:hAnsi="Times New Roman"/>
          <w:noProof/>
          <w:lang w:val="bs-Latn-BA"/>
        </w:rPr>
      </w:pPr>
      <w:r w:rsidRPr="00155F80">
        <w:rPr>
          <w:rFonts w:ascii="Times New Roman" w:hAnsi="Times New Roman"/>
          <w:noProof/>
          <w:lang w:val="bs-Latn-BA"/>
        </w:rPr>
        <w:t>Ukupno 56,7% žena u dobi od 15 do 49 godina koje su u braku ili u zajednici ne koriste niti jednu metodu kontracepcije.</w:t>
      </w:r>
    </w:p>
    <w:p w:rsidR="00A131AD" w:rsidRDefault="00A131AD" w:rsidP="000C0138">
      <w:pPr>
        <w:tabs>
          <w:tab w:val="left" w:pos="550"/>
        </w:tabs>
        <w:spacing w:before="120" w:line="276" w:lineRule="auto"/>
        <w:rPr>
          <w:rFonts w:ascii="Times New Roman" w:hAnsi="Times New Roman"/>
          <w:noProof/>
          <w:lang w:val="bs-Latn-BA"/>
        </w:rPr>
      </w:pPr>
      <w:r w:rsidRPr="00155F80">
        <w:rPr>
          <w:rFonts w:ascii="Times New Roman" w:hAnsi="Times New Roman"/>
          <w:noProof/>
          <w:lang w:val="bs-Latn-BA"/>
        </w:rPr>
        <w:t xml:space="preserve">U </w:t>
      </w:r>
      <w:r w:rsidR="004B2A12">
        <w:rPr>
          <w:rFonts w:ascii="Times New Roman" w:hAnsi="Times New Roman"/>
          <w:noProof/>
          <w:lang w:val="bs-Latn-BA"/>
        </w:rPr>
        <w:t>razdoblju</w:t>
      </w:r>
      <w:r w:rsidRPr="00155F80">
        <w:rPr>
          <w:rFonts w:ascii="Times New Roman" w:hAnsi="Times New Roman"/>
          <w:noProof/>
          <w:lang w:val="bs-Latn-BA"/>
        </w:rPr>
        <w:t xml:space="preserve"> od 2010.-2015. godine u službama za zdravstvenu zaštitu žena je zabilježeno opadanje stope obol</w:t>
      </w:r>
      <w:r w:rsidR="004B2A12">
        <w:rPr>
          <w:rFonts w:ascii="Times New Roman" w:hAnsi="Times New Roman"/>
          <w:noProof/>
          <w:lang w:val="bs-Latn-BA"/>
        </w:rPr>
        <w:t>i</w:t>
      </w:r>
      <w:r w:rsidRPr="00155F80">
        <w:rPr>
          <w:rFonts w:ascii="Times New Roman" w:hAnsi="Times New Roman"/>
          <w:noProof/>
          <w:lang w:val="bs-Latn-BA"/>
        </w:rPr>
        <w:t>jevanja od 2010.-2013. godine, a potom porast posljednje dvije godine. Na ovo je vjerovatno  ut</w:t>
      </w:r>
      <w:r w:rsidR="004B2A12">
        <w:rPr>
          <w:rFonts w:ascii="Times New Roman" w:hAnsi="Times New Roman"/>
          <w:noProof/>
          <w:lang w:val="bs-Latn-BA"/>
        </w:rPr>
        <w:t>je</w:t>
      </w:r>
      <w:r w:rsidRPr="00155F80">
        <w:rPr>
          <w:rFonts w:ascii="Times New Roman" w:hAnsi="Times New Roman"/>
          <w:noProof/>
          <w:lang w:val="bs-Latn-BA"/>
        </w:rPr>
        <w:t>calo sve veće  korištenje privatnog sektora do 2013. godine.</w:t>
      </w:r>
    </w:p>
    <w:p w:rsidR="00E61F0C" w:rsidRPr="00155F80" w:rsidRDefault="00E61F0C" w:rsidP="000C0138">
      <w:pPr>
        <w:tabs>
          <w:tab w:val="left" w:pos="550"/>
        </w:tabs>
        <w:spacing w:before="120" w:line="276" w:lineRule="auto"/>
        <w:rPr>
          <w:rFonts w:ascii="Times New Roman" w:hAnsi="Times New Roman"/>
          <w:noProof/>
          <w:lang w:val="bs-Latn-BA"/>
        </w:rPr>
      </w:pPr>
    </w:p>
    <w:p w:rsidR="00A131AD" w:rsidRPr="00155F80" w:rsidRDefault="00A131AD" w:rsidP="00B37E7E">
      <w:pPr>
        <w:pStyle w:val="refererere"/>
      </w:pPr>
      <w:r w:rsidRPr="00155F80">
        <w:t>Grafikon 58: Stopa obol</w:t>
      </w:r>
      <w:r w:rsidR="004B2A12">
        <w:t>i</w:t>
      </w:r>
      <w:r w:rsidRPr="00155F80">
        <w:t xml:space="preserve">jevanja žena starosti 15+ godina u Federaciji BiH, za </w:t>
      </w:r>
      <w:r w:rsidR="004B2A12">
        <w:t>razdoblje</w:t>
      </w:r>
      <w:r w:rsidRPr="00155F80">
        <w:t xml:space="preserve"> 2010.-2015. godina, stopa na 10.000 stanovnika</w:t>
      </w:r>
    </w:p>
    <w:p w:rsidR="00A131AD" w:rsidRPr="00155F80" w:rsidRDefault="00A131AD" w:rsidP="000C0138">
      <w:pPr>
        <w:tabs>
          <w:tab w:val="left" w:pos="550"/>
        </w:tabs>
        <w:spacing w:before="120" w:line="276" w:lineRule="auto"/>
        <w:rPr>
          <w:rFonts w:ascii="Times New Roman" w:hAnsi="Times New Roman"/>
          <w:noProof/>
          <w:lang w:val="bs-Latn-BA"/>
        </w:rPr>
      </w:pPr>
      <w:r w:rsidRPr="00155F80">
        <w:rPr>
          <w:rFonts w:ascii="Times New Roman" w:hAnsi="Times New Roman"/>
          <w:noProof/>
          <w:lang w:val="bs-Latn-BA" w:eastAsia="bs-Latn-BA"/>
        </w:rPr>
        <w:drawing>
          <wp:inline distT="0" distB="0" distL="0" distR="0" wp14:anchorId="75A14B3C" wp14:editId="47D0416B">
            <wp:extent cx="5581650" cy="2517569"/>
            <wp:effectExtent l="0" t="0" r="0" b="16510"/>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A131AD" w:rsidRPr="00155F80" w:rsidRDefault="00A131AD" w:rsidP="000C0138">
      <w:pPr>
        <w:tabs>
          <w:tab w:val="left" w:pos="550"/>
        </w:tabs>
        <w:spacing w:before="120" w:line="276" w:lineRule="auto"/>
        <w:rPr>
          <w:rFonts w:ascii="Times New Roman" w:hAnsi="Times New Roman"/>
          <w:noProof/>
          <w:lang w:val="bs-Latn-BA"/>
        </w:rPr>
      </w:pPr>
    </w:p>
    <w:p w:rsidR="00A131AD" w:rsidRDefault="00A131AD" w:rsidP="007A7E4A">
      <w:pPr>
        <w:tabs>
          <w:tab w:val="left" w:pos="550"/>
        </w:tabs>
        <w:spacing w:before="120" w:line="276" w:lineRule="auto"/>
        <w:rPr>
          <w:rFonts w:ascii="Times New Roman" w:hAnsi="Times New Roman"/>
          <w:noProof/>
          <w:lang w:val="bs-Latn-BA"/>
        </w:rPr>
      </w:pPr>
      <w:r w:rsidRPr="00155F80">
        <w:rPr>
          <w:rFonts w:ascii="Times New Roman" w:hAnsi="Times New Roman"/>
          <w:noProof/>
          <w:lang w:val="bs-Latn-BA"/>
        </w:rPr>
        <w:t xml:space="preserve">Vodeća oboljenja žena dobi 15 i više godina, bez poremećaja menstruacije, su menopauza i drugi menopauzalni poremećaji i druge upale vagine i vulve s trendom porasta stope obolijevanja u </w:t>
      </w:r>
      <w:r w:rsidR="004B2A12">
        <w:rPr>
          <w:rFonts w:ascii="Times New Roman" w:hAnsi="Times New Roman"/>
          <w:noProof/>
          <w:lang w:val="bs-Latn-BA"/>
        </w:rPr>
        <w:t>razdoblju</w:t>
      </w:r>
      <w:r w:rsidRPr="00155F80">
        <w:rPr>
          <w:rFonts w:ascii="Times New Roman" w:hAnsi="Times New Roman"/>
          <w:noProof/>
          <w:lang w:val="bs-Latn-BA"/>
        </w:rPr>
        <w:t xml:space="preserve"> od 2010.-2015. godine, slijede kandidijaza s trendom opadanja stope obolijevanja, upala mokraćnog mjehura, te upala vrata materice koja bilježi trend porasta. </w:t>
      </w:r>
      <w:bookmarkStart w:id="294" w:name="_Toc390770682"/>
    </w:p>
    <w:p w:rsidR="007A7E4A" w:rsidRPr="00155F80" w:rsidRDefault="007A7E4A" w:rsidP="007A7E4A">
      <w:pPr>
        <w:tabs>
          <w:tab w:val="left" w:pos="550"/>
        </w:tabs>
        <w:spacing w:before="120" w:line="276" w:lineRule="auto"/>
        <w:rPr>
          <w:rFonts w:ascii="Times New Roman" w:hAnsi="Times New Roman"/>
          <w:iCs/>
          <w:noProof/>
          <w:lang w:val="bs-Latn-BA" w:eastAsia="bs-Latn-BA"/>
        </w:rPr>
      </w:pPr>
    </w:p>
    <w:p w:rsidR="00F8495E" w:rsidRDefault="00F8495E">
      <w:pPr>
        <w:spacing w:after="160" w:line="259" w:lineRule="auto"/>
        <w:jc w:val="left"/>
        <w:rPr>
          <w:rFonts w:ascii="Times New Roman" w:hAnsi="Times New Roman"/>
          <w:sz w:val="20"/>
          <w:szCs w:val="20"/>
        </w:rPr>
      </w:pPr>
      <w:r>
        <w:br w:type="page"/>
      </w:r>
    </w:p>
    <w:p w:rsidR="00A131AD" w:rsidRPr="00834139" w:rsidRDefault="00A131AD" w:rsidP="00B37E7E">
      <w:pPr>
        <w:pStyle w:val="refererere"/>
        <w:rPr>
          <w:noProof/>
          <w:lang w:val="bs-Latn-BA" w:eastAsia="bs-Latn-BA"/>
        </w:rPr>
      </w:pPr>
      <w:r w:rsidRPr="00834139">
        <w:lastRenderedPageBreak/>
        <w:t>Grafikon</w:t>
      </w:r>
      <w:r w:rsidRPr="00834139">
        <w:rPr>
          <w:noProof/>
          <w:lang w:val="bs-Latn-BA" w:eastAsia="bs-Latn-BA"/>
        </w:rPr>
        <w:t xml:space="preserve"> 59 : Vodeća oboljenja žena starosti 15 i više godina u Federaciji BiH, za </w:t>
      </w:r>
      <w:r w:rsidR="004B2A12">
        <w:rPr>
          <w:noProof/>
          <w:lang w:val="bs-Latn-BA" w:eastAsia="bs-Latn-BA"/>
        </w:rPr>
        <w:t>razdoblje</w:t>
      </w:r>
      <w:r w:rsidRPr="00834139">
        <w:rPr>
          <w:noProof/>
          <w:lang w:val="bs-Latn-BA" w:eastAsia="bs-Latn-BA"/>
        </w:rPr>
        <w:t xml:space="preserve"> 2010.-2015. godina, stopa na 10.000</w:t>
      </w:r>
      <w:bookmarkEnd w:id="294"/>
      <w:r w:rsidRPr="00834139">
        <w:rPr>
          <w:noProof/>
          <w:lang w:val="bs-Latn-BA" w:eastAsia="bs-Latn-BA"/>
        </w:rPr>
        <w:t xml:space="preserve"> stanovnika</w:t>
      </w:r>
    </w:p>
    <w:p w:rsidR="00A131AD" w:rsidRPr="00E61F0C" w:rsidRDefault="00A131AD" w:rsidP="00E61F0C">
      <w:pPr>
        <w:spacing w:after="160" w:line="276" w:lineRule="auto"/>
        <w:jc w:val="left"/>
        <w:rPr>
          <w:rFonts w:ascii="Times New Roman" w:eastAsiaTheme="minorHAnsi" w:hAnsi="Times New Roman"/>
          <w:lang w:val="bs-Latn-BA"/>
        </w:rPr>
      </w:pPr>
      <w:r w:rsidRPr="00155F80">
        <w:rPr>
          <w:rFonts w:ascii="Times New Roman" w:eastAsiaTheme="minorHAnsi" w:hAnsi="Times New Roman"/>
          <w:noProof/>
          <w:lang w:val="bs-Latn-BA" w:eastAsia="bs-Latn-BA"/>
        </w:rPr>
        <w:drawing>
          <wp:inline distT="0" distB="0" distL="0" distR="0" wp14:anchorId="1B6A9332" wp14:editId="629D992A">
            <wp:extent cx="5753100" cy="1971304"/>
            <wp:effectExtent l="0" t="0" r="0" b="10160"/>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A131AD" w:rsidRPr="00155F80" w:rsidRDefault="00A131AD" w:rsidP="000C0138">
      <w:pPr>
        <w:tabs>
          <w:tab w:val="left" w:pos="550"/>
        </w:tabs>
        <w:spacing w:before="120" w:line="276" w:lineRule="auto"/>
        <w:rPr>
          <w:rFonts w:ascii="Times New Roman" w:hAnsi="Times New Roman"/>
          <w:noProof/>
          <w:lang w:val="bs-Latn-BA"/>
        </w:rPr>
      </w:pPr>
      <w:r w:rsidRPr="00155F80">
        <w:rPr>
          <w:rFonts w:ascii="Times New Roman" w:hAnsi="Times New Roman"/>
          <w:noProof/>
          <w:lang w:val="bs-Latn-BA"/>
        </w:rPr>
        <w:t xml:space="preserve">U </w:t>
      </w:r>
      <w:r w:rsidR="004B2A12">
        <w:rPr>
          <w:rFonts w:ascii="Times New Roman" w:hAnsi="Times New Roman"/>
          <w:noProof/>
          <w:lang w:val="bs-Latn-BA"/>
        </w:rPr>
        <w:t>razdoblju</w:t>
      </w:r>
      <w:r w:rsidRPr="00155F80">
        <w:rPr>
          <w:rFonts w:ascii="Times New Roman" w:hAnsi="Times New Roman"/>
          <w:noProof/>
          <w:lang w:val="bs-Latn-BA"/>
        </w:rPr>
        <w:t xml:space="preserve"> od 2010.</w:t>
      </w:r>
      <w:r w:rsidR="00DC7D46" w:rsidRPr="00155F80">
        <w:rPr>
          <w:rFonts w:ascii="Times New Roman" w:hAnsi="Times New Roman"/>
          <w:noProof/>
          <w:lang w:val="bs-Latn-BA"/>
        </w:rPr>
        <w:t>-</w:t>
      </w:r>
      <w:r w:rsidRPr="00155F80">
        <w:rPr>
          <w:rFonts w:ascii="Times New Roman" w:hAnsi="Times New Roman"/>
          <w:noProof/>
          <w:lang w:val="bs-Latn-BA"/>
        </w:rPr>
        <w:t>2015. godine, u starosnoj grupi od 15 do 49 godina, vodeća oboljenja žena, bez poremećaja menstruacije, su upale vagine i vulve koje bilježe značajan porast stope obolijevanja, kandidijaza, upala grlića materice, te menopauza i drugi menopauzalni poremećaji. Anemija zbog nedostatka u 2015. godini nije među pet vodećih oboljenja žena ove starosti.</w:t>
      </w:r>
    </w:p>
    <w:p w:rsidR="00A131AD" w:rsidRPr="00155F80" w:rsidRDefault="00A131AD" w:rsidP="000C0138">
      <w:pPr>
        <w:pStyle w:val="NoSpacing"/>
        <w:spacing w:line="276" w:lineRule="auto"/>
        <w:rPr>
          <w:noProof/>
          <w:sz w:val="22"/>
          <w:szCs w:val="22"/>
          <w:lang w:val="bs-Latn-BA" w:eastAsia="bs-Latn-BA"/>
        </w:rPr>
      </w:pPr>
      <w:bookmarkStart w:id="295" w:name="_Toc390770683"/>
    </w:p>
    <w:p w:rsidR="00A131AD" w:rsidRPr="00155F80" w:rsidRDefault="00A131AD" w:rsidP="00B37E7E">
      <w:pPr>
        <w:pStyle w:val="refererere"/>
        <w:jc w:val="left"/>
        <w:rPr>
          <w:iCs/>
          <w:noProof/>
          <w:lang w:val="bs-Latn-BA" w:eastAsia="bs-Latn-BA"/>
        </w:rPr>
      </w:pPr>
      <w:r w:rsidRPr="00155F80">
        <w:rPr>
          <w:noProof/>
          <w:lang w:val="bs-Latn-BA" w:eastAsia="bs-Latn-BA"/>
        </w:rPr>
        <w:t xml:space="preserve">Grafikon 60:Vodeća oboljenja žena starosti 15-49 god. u Federaciji BiH, za </w:t>
      </w:r>
      <w:r w:rsidR="004B2A12">
        <w:rPr>
          <w:noProof/>
          <w:lang w:val="bs-Latn-BA" w:eastAsia="bs-Latn-BA"/>
        </w:rPr>
        <w:t>razdoblje</w:t>
      </w:r>
      <w:r w:rsidRPr="00155F80">
        <w:rPr>
          <w:noProof/>
          <w:lang w:val="bs-Latn-BA" w:eastAsia="bs-Latn-BA"/>
        </w:rPr>
        <w:t xml:space="preserve"> 2010.-2015. godina, stopa na 10.000</w:t>
      </w:r>
      <w:bookmarkEnd w:id="295"/>
      <w:r w:rsidRPr="00155F80">
        <w:rPr>
          <w:noProof/>
          <w:lang w:val="bs-Latn-BA" w:eastAsia="bs-Latn-BA"/>
        </w:rPr>
        <w:t xml:space="preserve"> stanovnika</w:t>
      </w:r>
      <w:r w:rsidRPr="00155F80">
        <w:rPr>
          <w:noProof/>
          <w:lang w:val="bs-Latn-BA" w:eastAsia="bs-Latn-BA"/>
        </w:rPr>
        <w:drawing>
          <wp:inline distT="0" distB="0" distL="0" distR="0" wp14:anchorId="5309BC58" wp14:editId="378B5EE0">
            <wp:extent cx="5772150" cy="1911927"/>
            <wp:effectExtent l="0" t="0" r="0" b="12700"/>
            <wp:docPr id="30" name="Chart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rsidR="00A131AD" w:rsidRPr="00155F80" w:rsidRDefault="00A131AD" w:rsidP="000C0138">
      <w:pPr>
        <w:spacing w:after="160" w:line="276" w:lineRule="auto"/>
        <w:jc w:val="center"/>
        <w:rPr>
          <w:rFonts w:ascii="Times New Roman" w:eastAsiaTheme="minorHAnsi" w:hAnsi="Times New Roman"/>
          <w:lang w:val="bs-Latn-BA"/>
        </w:rPr>
      </w:pPr>
    </w:p>
    <w:p w:rsidR="00B560D0" w:rsidRDefault="00A131AD" w:rsidP="00B560D0">
      <w:pPr>
        <w:tabs>
          <w:tab w:val="left" w:pos="550"/>
        </w:tabs>
        <w:spacing w:before="120" w:line="276" w:lineRule="auto"/>
        <w:rPr>
          <w:rFonts w:ascii="Times New Roman" w:hAnsi="Times New Roman"/>
          <w:noProof/>
          <w:lang w:val="bs-Latn-BA"/>
        </w:rPr>
      </w:pPr>
      <w:r w:rsidRPr="00155F80">
        <w:rPr>
          <w:rFonts w:ascii="Times New Roman" w:hAnsi="Times New Roman"/>
          <w:noProof/>
          <w:lang w:val="bs-Latn-BA"/>
        </w:rPr>
        <w:t>Među ženama starijim od 50 godina, vodeća oboljenja i stanja žena su menopauza i drugi menopauzalni poremećaji, upale vagine i vulve i upala grlića materice koji bilježe porast stope obolijevanja, dok kandidijaza ima lagani trend opadanja.</w:t>
      </w:r>
      <w:bookmarkStart w:id="296" w:name="_Toc390770684"/>
    </w:p>
    <w:p w:rsidR="00A131AD" w:rsidRPr="00155F80" w:rsidRDefault="00A131AD" w:rsidP="00B560D0">
      <w:pPr>
        <w:tabs>
          <w:tab w:val="left" w:pos="550"/>
        </w:tabs>
        <w:spacing w:before="120" w:line="276" w:lineRule="auto"/>
        <w:jc w:val="left"/>
        <w:rPr>
          <w:noProof/>
          <w:lang w:val="bs-Latn-BA" w:eastAsia="bs-Latn-BA"/>
        </w:rPr>
      </w:pPr>
      <w:r w:rsidRPr="00155F80">
        <w:rPr>
          <w:noProof/>
          <w:lang w:val="bs-Latn-BA" w:eastAsia="bs-Latn-BA"/>
        </w:rPr>
        <w:t xml:space="preserve">Grafikon 61: Vodeća oboljenja žena starosti 50 i više god. u Federaciji BiH, za </w:t>
      </w:r>
      <w:r w:rsidR="004B2A12">
        <w:rPr>
          <w:noProof/>
          <w:lang w:val="bs-Latn-BA" w:eastAsia="bs-Latn-BA"/>
        </w:rPr>
        <w:t>razdoblje</w:t>
      </w:r>
      <w:r w:rsidRPr="00155F80">
        <w:rPr>
          <w:noProof/>
          <w:lang w:val="bs-Latn-BA" w:eastAsia="bs-Latn-BA"/>
        </w:rPr>
        <w:t xml:space="preserve"> 2010.-2015. godina, stopa na 10.000</w:t>
      </w:r>
      <w:bookmarkEnd w:id="296"/>
      <w:r w:rsidRPr="00155F80">
        <w:rPr>
          <w:noProof/>
          <w:lang w:val="bs-Latn-BA" w:eastAsia="bs-Latn-BA"/>
        </w:rPr>
        <w:t xml:space="preserve"> stanovnika</w:t>
      </w:r>
      <w:r w:rsidRPr="00155F80">
        <w:rPr>
          <w:noProof/>
          <w:lang w:val="bs-Latn-BA" w:eastAsia="bs-Latn-BA"/>
        </w:rPr>
        <w:drawing>
          <wp:inline distT="0" distB="0" distL="0" distR="0" wp14:anchorId="78C38838" wp14:editId="004DCC2D">
            <wp:extent cx="5676900" cy="1876301"/>
            <wp:effectExtent l="0" t="0" r="0" b="10160"/>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rsidR="00A131AD" w:rsidRDefault="00A131AD" w:rsidP="000C0138">
      <w:pPr>
        <w:tabs>
          <w:tab w:val="left" w:pos="550"/>
        </w:tabs>
        <w:spacing w:before="120" w:line="276" w:lineRule="auto"/>
        <w:rPr>
          <w:rFonts w:ascii="Times New Roman" w:hAnsi="Times New Roman"/>
          <w:noProof/>
          <w:lang w:val="bs-Latn-BA"/>
        </w:rPr>
      </w:pPr>
      <w:r w:rsidRPr="00155F80">
        <w:rPr>
          <w:rFonts w:ascii="Times New Roman" w:hAnsi="Times New Roman"/>
          <w:noProof/>
          <w:lang w:val="bs-Latn-BA"/>
        </w:rPr>
        <w:lastRenderedPageBreak/>
        <w:t>U službama za zdravstvenu zaštitu žena u Federaciji BiH u 2015. godini je registr</w:t>
      </w:r>
      <w:r w:rsidR="00927FC7">
        <w:rPr>
          <w:rFonts w:ascii="Times New Roman" w:hAnsi="Times New Roman"/>
          <w:noProof/>
          <w:lang w:val="bs-Latn-BA"/>
        </w:rPr>
        <w:t>iran</w:t>
      </w:r>
      <w:r w:rsidRPr="00155F80">
        <w:rPr>
          <w:rFonts w:ascii="Times New Roman" w:hAnsi="Times New Roman"/>
          <w:noProof/>
          <w:lang w:val="bs-Latn-BA"/>
        </w:rPr>
        <w:t xml:space="preserve">o 460 </w:t>
      </w:r>
      <w:r w:rsidR="00C651BA">
        <w:rPr>
          <w:rFonts w:ascii="Times New Roman" w:hAnsi="Times New Roman"/>
          <w:noProof/>
          <w:lang w:val="bs-Latn-BA"/>
        </w:rPr>
        <w:t>pobačaja</w:t>
      </w:r>
      <w:r w:rsidRPr="00155F80">
        <w:rPr>
          <w:rFonts w:ascii="Times New Roman" w:hAnsi="Times New Roman"/>
          <w:noProof/>
          <w:lang w:val="bs-Latn-BA"/>
        </w:rPr>
        <w:t xml:space="preserve">  što se smatra podcijenjenim podatkom. Upor</w:t>
      </w:r>
      <w:r w:rsidR="00927FC7">
        <w:rPr>
          <w:rFonts w:ascii="Times New Roman" w:hAnsi="Times New Roman"/>
          <w:noProof/>
          <w:lang w:val="bs-Latn-BA"/>
        </w:rPr>
        <w:t>a</w:t>
      </w:r>
      <w:r w:rsidRPr="00155F80">
        <w:rPr>
          <w:rFonts w:ascii="Times New Roman" w:hAnsi="Times New Roman"/>
          <w:noProof/>
          <w:lang w:val="bs-Latn-BA"/>
        </w:rPr>
        <w:t>bljivi poda</w:t>
      </w:r>
      <w:r w:rsidR="00927FC7">
        <w:rPr>
          <w:rFonts w:ascii="Times New Roman" w:hAnsi="Times New Roman"/>
          <w:noProof/>
          <w:lang w:val="bs-Latn-BA"/>
        </w:rPr>
        <w:t>t</w:t>
      </w:r>
      <w:r w:rsidRPr="00155F80">
        <w:rPr>
          <w:rFonts w:ascii="Times New Roman" w:hAnsi="Times New Roman"/>
          <w:noProof/>
          <w:lang w:val="bs-Latn-BA"/>
        </w:rPr>
        <w:t xml:space="preserve">ci o </w:t>
      </w:r>
      <w:r w:rsidR="00927FC7">
        <w:rPr>
          <w:rFonts w:ascii="Times New Roman" w:hAnsi="Times New Roman"/>
          <w:noProof/>
          <w:lang w:val="bs-Latn-BA"/>
        </w:rPr>
        <w:t>pobačajima</w:t>
      </w:r>
      <w:r w:rsidRPr="00155F80">
        <w:rPr>
          <w:rFonts w:ascii="Times New Roman" w:hAnsi="Times New Roman"/>
          <w:noProof/>
          <w:lang w:val="bs-Latn-BA"/>
        </w:rPr>
        <w:t xml:space="preserve"> nisu dobiveni niti kroz posljednje MICS4 istraživanje. </w:t>
      </w:r>
    </w:p>
    <w:p w:rsidR="0059581E" w:rsidRPr="00155F80" w:rsidRDefault="0059581E" w:rsidP="000C0138">
      <w:pPr>
        <w:tabs>
          <w:tab w:val="left" w:pos="550"/>
        </w:tabs>
        <w:spacing w:before="120" w:line="276" w:lineRule="auto"/>
        <w:rPr>
          <w:rFonts w:ascii="Times New Roman" w:hAnsi="Times New Roman"/>
          <w:noProof/>
          <w:lang w:val="bs-Latn-BA"/>
        </w:rPr>
      </w:pPr>
    </w:p>
    <w:p w:rsidR="00A131AD" w:rsidRPr="00155F80" w:rsidRDefault="00A06016" w:rsidP="00A06016">
      <w:pPr>
        <w:pStyle w:val="Poglavlje3"/>
        <w:rPr>
          <w:lang w:val="bs-Latn-BA"/>
        </w:rPr>
      </w:pPr>
      <w:bookmarkStart w:id="297" w:name="_Toc424298833"/>
      <w:bookmarkStart w:id="298" w:name="_Toc456095921"/>
      <w:r>
        <w:rPr>
          <w:lang w:val="bs-Latn-BA"/>
        </w:rPr>
        <w:t>3.2.6</w:t>
      </w:r>
      <w:r w:rsidR="000E1376" w:rsidRPr="00155F80">
        <w:rPr>
          <w:lang w:val="bs-Latn-BA"/>
        </w:rPr>
        <w:t xml:space="preserve"> </w:t>
      </w:r>
      <w:r w:rsidR="00A131AD" w:rsidRPr="00155F80">
        <w:rPr>
          <w:lang w:val="bs-Latn-BA"/>
        </w:rPr>
        <w:t xml:space="preserve"> Zdravlje usta i zuba</w:t>
      </w:r>
      <w:bookmarkEnd w:id="297"/>
      <w:bookmarkEnd w:id="298"/>
    </w:p>
    <w:p w:rsidR="00A131AD" w:rsidRPr="00155F80" w:rsidRDefault="00A131AD" w:rsidP="000C0138">
      <w:pPr>
        <w:pStyle w:val="Tekst0"/>
        <w:spacing w:line="276" w:lineRule="auto"/>
        <w:rPr>
          <w:sz w:val="22"/>
          <w:szCs w:val="22"/>
        </w:rPr>
      </w:pPr>
      <w:r w:rsidRPr="00155F80">
        <w:rPr>
          <w:sz w:val="22"/>
          <w:szCs w:val="22"/>
        </w:rPr>
        <w:t>Poda</w:t>
      </w:r>
      <w:r w:rsidR="00E73346">
        <w:rPr>
          <w:sz w:val="22"/>
          <w:szCs w:val="22"/>
        </w:rPr>
        <w:t>t</w:t>
      </w:r>
      <w:r w:rsidRPr="00155F80">
        <w:rPr>
          <w:sz w:val="22"/>
          <w:szCs w:val="22"/>
        </w:rPr>
        <w:t>ci redov</w:t>
      </w:r>
      <w:r w:rsidR="00E73346">
        <w:rPr>
          <w:sz w:val="22"/>
          <w:szCs w:val="22"/>
        </w:rPr>
        <w:t>it</w:t>
      </w:r>
      <w:r w:rsidRPr="00155F80">
        <w:rPr>
          <w:sz w:val="22"/>
          <w:szCs w:val="22"/>
        </w:rPr>
        <w:t>e zdravstvene statistike i istraživanja već dugi niz godina ukazuju na loše stanje oralnog zdravlja. Stoga je Federalno m</w:t>
      </w:r>
      <w:r w:rsidR="00E61F0C">
        <w:rPr>
          <w:sz w:val="22"/>
          <w:szCs w:val="22"/>
        </w:rPr>
        <w:t>inistarstvo zdravstva u s</w:t>
      </w:r>
      <w:r w:rsidR="00E73346">
        <w:rPr>
          <w:sz w:val="22"/>
          <w:szCs w:val="22"/>
        </w:rPr>
        <w:t>u</w:t>
      </w:r>
      <w:r w:rsidR="00E61F0C">
        <w:rPr>
          <w:sz w:val="22"/>
          <w:szCs w:val="22"/>
        </w:rPr>
        <w:t>radnj</w:t>
      </w:r>
      <w:r w:rsidRPr="00155F80">
        <w:rPr>
          <w:sz w:val="22"/>
          <w:szCs w:val="22"/>
        </w:rPr>
        <w:t xml:space="preserve">i sa Zavodom za javno zdravstvo Federacije BiH i Zavodom zdravstvenog osiguranja i reosiguranja Federacije BiH  2005. godine pokrenulo program “Edukacija djece prvih razreda osnovne škole o higijeni zuba i usta u Federaciji BiH“. Ovaj program je do 2011. godine bio uvršten u vertikalne prioritetne programe od interesa za Federaciju BiH, do kada je na području svih kantona Federacije BiH implementirano pet ciklusa edukacije u okviru kojih je educirano preko 90% djece </w:t>
      </w:r>
      <w:r w:rsidR="00E61F0C">
        <w:rPr>
          <w:sz w:val="22"/>
          <w:szCs w:val="22"/>
        </w:rPr>
        <w:t>u prvim razredima</w:t>
      </w:r>
      <w:r w:rsidRPr="00155F80">
        <w:rPr>
          <w:sz w:val="22"/>
          <w:szCs w:val="22"/>
        </w:rPr>
        <w:t xml:space="preserve"> osnovne škole.  </w:t>
      </w:r>
    </w:p>
    <w:p w:rsidR="009A5B2B" w:rsidRPr="00155F80" w:rsidRDefault="00A131AD" w:rsidP="007A7E4A">
      <w:pPr>
        <w:pStyle w:val="Tekst0"/>
        <w:spacing w:line="276" w:lineRule="auto"/>
        <w:rPr>
          <w:b/>
          <w:lang w:val="bs-Latn-BA"/>
        </w:rPr>
      </w:pPr>
      <w:r w:rsidRPr="00155F80">
        <w:rPr>
          <w:sz w:val="22"/>
          <w:szCs w:val="22"/>
        </w:rPr>
        <w:t>Uspješno ostvareni ciljevi ovog programa koordiniranog s federaln</w:t>
      </w:r>
      <w:r w:rsidR="00E73346">
        <w:rPr>
          <w:sz w:val="22"/>
          <w:szCs w:val="22"/>
        </w:rPr>
        <w:t>e</w:t>
      </w:r>
      <w:r w:rsidRPr="00155F80">
        <w:rPr>
          <w:sz w:val="22"/>
          <w:szCs w:val="22"/>
        </w:rPr>
        <w:t xml:space="preserve"> </w:t>
      </w:r>
      <w:r w:rsidR="00E73346">
        <w:rPr>
          <w:sz w:val="22"/>
          <w:szCs w:val="22"/>
        </w:rPr>
        <w:t xml:space="preserve">razine </w:t>
      </w:r>
      <w:r w:rsidRPr="00155F80">
        <w:rPr>
          <w:sz w:val="22"/>
          <w:szCs w:val="22"/>
        </w:rPr>
        <w:t xml:space="preserve">su omogućili njegovu daljnju koordinaciju i realizaciju na </w:t>
      </w:r>
      <w:r w:rsidR="00E73346">
        <w:rPr>
          <w:sz w:val="22"/>
          <w:szCs w:val="22"/>
        </w:rPr>
        <w:t>razini</w:t>
      </w:r>
      <w:r w:rsidRPr="00155F80">
        <w:rPr>
          <w:sz w:val="22"/>
          <w:szCs w:val="22"/>
        </w:rPr>
        <w:t xml:space="preserve"> kantona uz izdvajanje minimalnih finan</w:t>
      </w:r>
      <w:r w:rsidR="00E73346">
        <w:rPr>
          <w:sz w:val="22"/>
          <w:szCs w:val="22"/>
        </w:rPr>
        <w:t>c</w:t>
      </w:r>
      <w:r w:rsidRPr="00155F80">
        <w:rPr>
          <w:sz w:val="22"/>
          <w:szCs w:val="22"/>
        </w:rPr>
        <w:t xml:space="preserve">ijskih sredstava iz </w:t>
      </w:r>
      <w:r w:rsidR="00E73346">
        <w:rPr>
          <w:sz w:val="22"/>
          <w:szCs w:val="22"/>
        </w:rPr>
        <w:t>proračuna</w:t>
      </w:r>
      <w:r w:rsidRPr="00155F80">
        <w:rPr>
          <w:sz w:val="22"/>
          <w:szCs w:val="22"/>
        </w:rPr>
        <w:t xml:space="preserve"> kantona.</w:t>
      </w:r>
    </w:p>
    <w:p w:rsidR="00A131AD" w:rsidRPr="00155F80" w:rsidRDefault="00A131AD" w:rsidP="000C0138">
      <w:pPr>
        <w:spacing w:line="276" w:lineRule="auto"/>
        <w:rPr>
          <w:rFonts w:ascii="Times New Roman" w:hAnsi="Times New Roman"/>
          <w:b/>
          <w:lang w:val="bs-Latn-BA"/>
        </w:rPr>
      </w:pPr>
    </w:p>
    <w:p w:rsidR="00A131AD" w:rsidRPr="00155F80" w:rsidRDefault="00A131AD" w:rsidP="000C0138">
      <w:pPr>
        <w:spacing w:line="276" w:lineRule="auto"/>
        <w:rPr>
          <w:rFonts w:ascii="Times New Roman" w:hAnsi="Times New Roman"/>
          <w:b/>
          <w:lang w:val="bs-Latn-BA"/>
        </w:rPr>
      </w:pPr>
      <w:r w:rsidRPr="00155F80">
        <w:rPr>
          <w:rFonts w:ascii="Times New Roman" w:hAnsi="Times New Roman"/>
          <w:b/>
          <w:lang w:val="bs-Latn-BA"/>
        </w:rPr>
        <w:t xml:space="preserve">Morbiditet (ukupno stanovništvo) </w:t>
      </w:r>
    </w:p>
    <w:p w:rsidR="003361B4" w:rsidRDefault="00A131AD" w:rsidP="00B560D0">
      <w:pPr>
        <w:pStyle w:val="Tekst0"/>
        <w:spacing w:line="276" w:lineRule="auto"/>
      </w:pPr>
      <w:r w:rsidRPr="00155F80">
        <w:rPr>
          <w:sz w:val="22"/>
          <w:szCs w:val="22"/>
        </w:rPr>
        <w:t>Prema poda</w:t>
      </w:r>
      <w:r w:rsidR="00E73346">
        <w:rPr>
          <w:sz w:val="22"/>
          <w:szCs w:val="22"/>
        </w:rPr>
        <w:t>t</w:t>
      </w:r>
      <w:r w:rsidRPr="00155F80">
        <w:rPr>
          <w:sz w:val="22"/>
          <w:szCs w:val="22"/>
        </w:rPr>
        <w:t>cima redovite zdravstvene statistik</w:t>
      </w:r>
      <w:r w:rsidR="00E73346">
        <w:rPr>
          <w:sz w:val="22"/>
          <w:szCs w:val="22"/>
        </w:rPr>
        <w:t>e</w:t>
      </w:r>
      <w:r w:rsidRPr="00155F80">
        <w:rPr>
          <w:sz w:val="22"/>
          <w:szCs w:val="22"/>
        </w:rPr>
        <w:t xml:space="preserve">, koji se odnose na javni sektor stomatološke zaštite, stopa ukupnog morbiditeta u 2015. godini u Federaciji BiH  je iznosila 3.194/10.000 stanovnika. </w:t>
      </w:r>
      <w:bookmarkStart w:id="299" w:name="_Toc390770685"/>
    </w:p>
    <w:p w:rsidR="003361B4" w:rsidRPr="00155F80" w:rsidRDefault="003361B4" w:rsidP="000C0138">
      <w:pPr>
        <w:pStyle w:val="Tekst0"/>
        <w:spacing w:line="276" w:lineRule="auto"/>
        <w:rPr>
          <w:sz w:val="22"/>
          <w:szCs w:val="22"/>
        </w:rPr>
      </w:pPr>
    </w:p>
    <w:p w:rsidR="00271AC7" w:rsidRDefault="00A131AD" w:rsidP="00B37E7E">
      <w:pPr>
        <w:pStyle w:val="refererere"/>
      </w:pPr>
      <w:r w:rsidRPr="00155F80">
        <w:t xml:space="preserve">Grafikon 62: Ukupni  morbiditet u stomatološkoj zaštiti u Federaciji BiH, za </w:t>
      </w:r>
      <w:r w:rsidR="00E73346">
        <w:t>razdoblje</w:t>
      </w:r>
      <w:r w:rsidRPr="00155F80">
        <w:t xml:space="preserve"> 2010.-2015. godina, stopa na 10.000</w:t>
      </w:r>
      <w:bookmarkEnd w:id="299"/>
      <w:r w:rsidRPr="00155F80">
        <w:t xml:space="preserve"> stanovnika</w:t>
      </w:r>
    </w:p>
    <w:p w:rsidR="00A131AD" w:rsidRPr="00155F80" w:rsidRDefault="00A131AD" w:rsidP="000C0138">
      <w:pPr>
        <w:spacing w:line="276" w:lineRule="auto"/>
        <w:jc w:val="center"/>
        <w:rPr>
          <w:rFonts w:ascii="Times New Roman" w:hAnsi="Times New Roman"/>
          <w:iCs/>
          <w:lang w:val="bs-Latn-BA" w:eastAsia="bs-Latn-BA"/>
        </w:rPr>
      </w:pPr>
      <w:r w:rsidRPr="00155F80">
        <w:rPr>
          <w:rFonts w:ascii="Times New Roman" w:hAnsi="Times New Roman"/>
          <w:iCs/>
          <w:noProof/>
          <w:lang w:val="bs-Latn-BA" w:eastAsia="bs-Latn-BA"/>
        </w:rPr>
        <w:drawing>
          <wp:inline distT="0" distB="0" distL="0" distR="0" wp14:anchorId="439E8954" wp14:editId="34073116">
            <wp:extent cx="5773420" cy="1852550"/>
            <wp:effectExtent l="0" t="0" r="17780" b="14605"/>
            <wp:docPr id="46" name="Chart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A131AD" w:rsidRPr="00155F80" w:rsidRDefault="00A131AD" w:rsidP="000C0138">
      <w:pPr>
        <w:pStyle w:val="Tekst0"/>
        <w:spacing w:line="276" w:lineRule="auto"/>
        <w:rPr>
          <w:sz w:val="22"/>
          <w:szCs w:val="22"/>
        </w:rPr>
      </w:pPr>
    </w:p>
    <w:p w:rsidR="00A131AD" w:rsidRPr="00155F80" w:rsidRDefault="00A131AD" w:rsidP="000C0138">
      <w:pPr>
        <w:pStyle w:val="Tekst0"/>
        <w:spacing w:line="276" w:lineRule="auto"/>
        <w:rPr>
          <w:sz w:val="22"/>
          <w:szCs w:val="22"/>
        </w:rPr>
      </w:pPr>
      <w:r w:rsidRPr="00155F80">
        <w:rPr>
          <w:sz w:val="22"/>
          <w:szCs w:val="22"/>
        </w:rPr>
        <w:t>Kao i pre</w:t>
      </w:r>
      <w:r w:rsidR="00E73346">
        <w:rPr>
          <w:sz w:val="22"/>
          <w:szCs w:val="22"/>
        </w:rPr>
        <w:t>t</w:t>
      </w:r>
      <w:r w:rsidRPr="00155F80">
        <w:rPr>
          <w:sz w:val="22"/>
          <w:szCs w:val="22"/>
        </w:rPr>
        <w:t>hodnih godina, vodeća oboljenja za ukupno stanovništvo u Federaciji BiH su bili zubni karijes i oboljenja zubne pulpe i periapikalnog tkiva, koja su zajedno činila preko dvije trećine morbiditeta u stomatološkoj zaštiti (</w:t>
      </w:r>
      <w:r w:rsidRPr="00155F80">
        <w:rPr>
          <w:sz w:val="22"/>
          <w:szCs w:val="22"/>
          <w:lang w:eastAsia="bs-Latn-BA"/>
        </w:rPr>
        <w:t>70,4</w:t>
      </w:r>
      <w:r w:rsidRPr="00155F80">
        <w:rPr>
          <w:sz w:val="22"/>
          <w:szCs w:val="22"/>
        </w:rPr>
        <w:t xml:space="preserve">%). </w:t>
      </w:r>
    </w:p>
    <w:p w:rsidR="00A131AD" w:rsidRDefault="00A131AD" w:rsidP="000C0138">
      <w:pPr>
        <w:pStyle w:val="Tekst0"/>
        <w:spacing w:line="276" w:lineRule="auto"/>
        <w:rPr>
          <w:sz w:val="22"/>
          <w:szCs w:val="22"/>
        </w:rPr>
      </w:pPr>
      <w:r w:rsidRPr="00155F80">
        <w:rPr>
          <w:sz w:val="22"/>
          <w:szCs w:val="22"/>
        </w:rPr>
        <w:t>Na trećem mjestu vodećih oboljenja su bili gingivitisi i periodontalna oboljenja (8,1%) iza kojih su slijedile dentofacijalne anomalije uključujući malokluzije (6,5) i druga oboljenja čvrstog tkiva zuba (4,4%).</w:t>
      </w:r>
    </w:p>
    <w:p w:rsidR="00B560D0" w:rsidRDefault="00B560D0" w:rsidP="000C0138">
      <w:pPr>
        <w:pStyle w:val="Tekst0"/>
        <w:spacing w:line="276" w:lineRule="auto"/>
        <w:rPr>
          <w:sz w:val="22"/>
          <w:szCs w:val="22"/>
        </w:rPr>
      </w:pPr>
    </w:p>
    <w:p w:rsidR="00B560D0" w:rsidRDefault="00B560D0" w:rsidP="000C0138">
      <w:pPr>
        <w:pStyle w:val="Tekst0"/>
        <w:spacing w:line="276" w:lineRule="auto"/>
        <w:rPr>
          <w:sz w:val="22"/>
          <w:szCs w:val="22"/>
        </w:rPr>
      </w:pPr>
    </w:p>
    <w:p w:rsidR="00B560D0" w:rsidRDefault="00B560D0" w:rsidP="000C0138">
      <w:pPr>
        <w:pStyle w:val="Tekst0"/>
        <w:spacing w:line="276" w:lineRule="auto"/>
        <w:rPr>
          <w:sz w:val="22"/>
          <w:szCs w:val="22"/>
        </w:rPr>
      </w:pPr>
    </w:p>
    <w:p w:rsidR="007A7E4A" w:rsidRDefault="007A7E4A" w:rsidP="000C0138">
      <w:pPr>
        <w:pStyle w:val="Tekst0"/>
        <w:spacing w:line="276" w:lineRule="auto"/>
        <w:rPr>
          <w:sz w:val="22"/>
          <w:szCs w:val="22"/>
        </w:rPr>
      </w:pPr>
    </w:p>
    <w:p w:rsidR="00A131AD" w:rsidRPr="00155F80" w:rsidRDefault="00A131AD" w:rsidP="00B37E7E">
      <w:pPr>
        <w:pStyle w:val="refererere"/>
      </w:pPr>
      <w:bookmarkStart w:id="300" w:name="_Toc390770686"/>
      <w:r w:rsidRPr="00155F80">
        <w:lastRenderedPageBreak/>
        <w:t xml:space="preserve">Grafikon 63: Vodeća oboljenja u stomatološkoj zaštiti u Federaciji BiH, za </w:t>
      </w:r>
      <w:r w:rsidR="00E73346">
        <w:t xml:space="preserve">razdoblje </w:t>
      </w:r>
      <w:r w:rsidRPr="00155F80">
        <w:t>2010.-2015. godina, indeks strukture</w:t>
      </w:r>
      <w:bookmarkEnd w:id="300"/>
    </w:p>
    <w:p w:rsidR="00A131AD" w:rsidRPr="00155F80" w:rsidRDefault="00A131AD" w:rsidP="000C0138">
      <w:pPr>
        <w:spacing w:after="200" w:line="276" w:lineRule="auto"/>
        <w:jc w:val="center"/>
        <w:rPr>
          <w:rFonts w:ascii="Times New Roman" w:hAnsi="Times New Roman"/>
          <w:iCs/>
          <w:lang w:val="bs-Latn-BA" w:eastAsia="bs-Latn-BA"/>
        </w:rPr>
      </w:pPr>
      <w:r w:rsidRPr="00155F80">
        <w:rPr>
          <w:rFonts w:ascii="Times New Roman" w:hAnsi="Times New Roman"/>
          <w:iCs/>
          <w:noProof/>
          <w:lang w:val="bs-Latn-BA" w:eastAsia="bs-Latn-BA"/>
        </w:rPr>
        <w:drawing>
          <wp:inline distT="0" distB="0" distL="0" distR="0" wp14:anchorId="12F2EB7E" wp14:editId="0C40F3BA">
            <wp:extent cx="5854065" cy="2422566"/>
            <wp:effectExtent l="0" t="0" r="13335" b="15875"/>
            <wp:docPr id="47"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3230A0" w:rsidRPr="00155F80" w:rsidRDefault="003230A0" w:rsidP="000C0138">
      <w:pPr>
        <w:spacing w:line="276" w:lineRule="auto"/>
        <w:rPr>
          <w:rFonts w:ascii="Times New Roman" w:hAnsi="Times New Roman"/>
          <w:b/>
          <w:lang w:val="bs-Latn-BA"/>
        </w:rPr>
      </w:pPr>
    </w:p>
    <w:p w:rsidR="00A131AD" w:rsidRPr="00155F80" w:rsidRDefault="00A131AD" w:rsidP="000C0138">
      <w:pPr>
        <w:spacing w:line="276" w:lineRule="auto"/>
        <w:rPr>
          <w:rFonts w:ascii="Times New Roman" w:hAnsi="Times New Roman"/>
          <w:b/>
          <w:lang w:val="bs-Latn-BA"/>
        </w:rPr>
      </w:pPr>
      <w:r w:rsidRPr="00155F80">
        <w:rPr>
          <w:rFonts w:ascii="Times New Roman" w:hAnsi="Times New Roman"/>
          <w:b/>
          <w:lang w:val="bs-Latn-BA"/>
        </w:rPr>
        <w:t xml:space="preserve">Morbiditet po dobnim </w:t>
      </w:r>
      <w:r w:rsidR="003230A0" w:rsidRPr="00155F80">
        <w:rPr>
          <w:rFonts w:ascii="Times New Roman" w:hAnsi="Times New Roman"/>
          <w:b/>
          <w:lang w:val="bs-Latn-BA"/>
        </w:rPr>
        <w:t>grupama</w:t>
      </w:r>
    </w:p>
    <w:p w:rsidR="003361B4" w:rsidRDefault="00A131AD" w:rsidP="00B560D0">
      <w:pPr>
        <w:pStyle w:val="Tekst0"/>
        <w:spacing w:line="276" w:lineRule="auto"/>
        <w:rPr>
          <w:lang w:val="bs-Latn-BA"/>
        </w:rPr>
      </w:pPr>
      <w:r w:rsidRPr="00155F80">
        <w:rPr>
          <w:sz w:val="22"/>
          <w:szCs w:val="22"/>
        </w:rPr>
        <w:t>U</w:t>
      </w:r>
      <w:r w:rsidR="00E73346">
        <w:rPr>
          <w:sz w:val="22"/>
          <w:szCs w:val="22"/>
        </w:rPr>
        <w:t>dio</w:t>
      </w:r>
      <w:r w:rsidRPr="00155F80">
        <w:rPr>
          <w:sz w:val="22"/>
          <w:szCs w:val="22"/>
        </w:rPr>
        <w:t xml:space="preserve"> vodećih oboljenja zuba i usta u morbiditetu i njihov rang se nešto razlikuje p</w:t>
      </w:r>
      <w:r w:rsidR="00E73346">
        <w:rPr>
          <w:sz w:val="22"/>
          <w:szCs w:val="22"/>
        </w:rPr>
        <w:t>r</w:t>
      </w:r>
      <w:r w:rsidRPr="00155F80">
        <w:rPr>
          <w:sz w:val="22"/>
          <w:szCs w:val="22"/>
        </w:rPr>
        <w:t>omatrano po dobnim skupinama.</w:t>
      </w:r>
    </w:p>
    <w:p w:rsidR="00A131AD" w:rsidRPr="00155F80" w:rsidRDefault="00A131AD" w:rsidP="000C0138">
      <w:pPr>
        <w:spacing w:line="276" w:lineRule="auto"/>
        <w:rPr>
          <w:rFonts w:ascii="Times New Roman" w:hAnsi="Times New Roman"/>
          <w:lang w:val="bs-Latn-BA"/>
        </w:rPr>
      </w:pPr>
    </w:p>
    <w:p w:rsidR="00A131AD" w:rsidRPr="00155F80" w:rsidRDefault="00A131AD" w:rsidP="000C0138">
      <w:pPr>
        <w:spacing w:line="276" w:lineRule="auto"/>
        <w:rPr>
          <w:rFonts w:ascii="Times New Roman" w:hAnsi="Times New Roman"/>
          <w:b/>
          <w:lang w:val="bs-Latn-BA"/>
        </w:rPr>
      </w:pPr>
      <w:r w:rsidRPr="00155F80">
        <w:rPr>
          <w:rFonts w:ascii="Times New Roman" w:hAnsi="Times New Roman"/>
          <w:b/>
          <w:lang w:val="bs-Latn-BA"/>
        </w:rPr>
        <w:t xml:space="preserve">Djeca (0-6 godina) </w:t>
      </w:r>
    </w:p>
    <w:p w:rsidR="00A131AD" w:rsidRPr="00155F80" w:rsidRDefault="00A131AD" w:rsidP="000C0138">
      <w:pPr>
        <w:pStyle w:val="Tekst0"/>
        <w:spacing w:line="276" w:lineRule="auto"/>
        <w:rPr>
          <w:sz w:val="22"/>
          <w:szCs w:val="22"/>
        </w:rPr>
      </w:pPr>
      <w:r w:rsidRPr="00155F80">
        <w:rPr>
          <w:sz w:val="22"/>
          <w:szCs w:val="22"/>
        </w:rPr>
        <w:t>Oboljenja zuba i usta djece uzrasta 0-6 godina su u ukupnom stomatološkom morbiditetu u 2015. godini imala u</w:t>
      </w:r>
      <w:r w:rsidR="00E73346">
        <w:rPr>
          <w:sz w:val="22"/>
          <w:szCs w:val="22"/>
        </w:rPr>
        <w:t>dio</w:t>
      </w:r>
      <w:r w:rsidRPr="00155F80">
        <w:rPr>
          <w:sz w:val="22"/>
          <w:szCs w:val="22"/>
        </w:rPr>
        <w:t xml:space="preserve"> od 4,8% . </w:t>
      </w:r>
    </w:p>
    <w:p w:rsidR="00A131AD" w:rsidRPr="00155F80" w:rsidRDefault="00A131AD" w:rsidP="000C0138">
      <w:pPr>
        <w:pStyle w:val="Tekst0"/>
        <w:spacing w:line="276" w:lineRule="auto"/>
        <w:rPr>
          <w:sz w:val="22"/>
          <w:szCs w:val="22"/>
        </w:rPr>
      </w:pPr>
      <w:r w:rsidRPr="00155F80">
        <w:rPr>
          <w:sz w:val="22"/>
          <w:szCs w:val="22"/>
        </w:rPr>
        <w:t>Kao i prethodnih godina, vodeća oboljenja su bili zubni karijes (50,5%) i oboljenja zubne pulpe i periapikalnog tkiva  (26,5%), iza kojih su slijedili d</w:t>
      </w:r>
      <w:r w:rsidRPr="00155F80">
        <w:rPr>
          <w:snapToGrid w:val="0"/>
          <w:sz w:val="22"/>
          <w:szCs w:val="22"/>
          <w:lang w:eastAsia="bs-Latn-BA"/>
        </w:rPr>
        <w:t>ruga oboljenja čvrstog tkiva zuba, gingivitisi i periodontalna  oboljenja,</w:t>
      </w:r>
      <w:r w:rsidRPr="00155F80">
        <w:rPr>
          <w:sz w:val="22"/>
          <w:szCs w:val="22"/>
        </w:rPr>
        <w:t xml:space="preserve"> te </w:t>
      </w:r>
      <w:r w:rsidRPr="00155F80">
        <w:rPr>
          <w:snapToGrid w:val="0"/>
          <w:sz w:val="22"/>
          <w:szCs w:val="22"/>
          <w:lang w:eastAsia="bs-Latn-BA"/>
        </w:rPr>
        <w:t>poremećaji razvoja i rasta zuba.</w:t>
      </w:r>
      <w:r w:rsidRPr="00155F80">
        <w:rPr>
          <w:sz w:val="22"/>
          <w:szCs w:val="22"/>
        </w:rPr>
        <w:t xml:space="preserve"> </w:t>
      </w:r>
    </w:p>
    <w:p w:rsidR="00A131AD" w:rsidRPr="00155F80" w:rsidRDefault="00A131AD" w:rsidP="003066C2">
      <w:pPr>
        <w:pStyle w:val="grafikon"/>
      </w:pPr>
      <w:bookmarkStart w:id="301" w:name="_Toc390770687"/>
      <w:r w:rsidRPr="00155F80">
        <w:t>U odnosu na 2010. godinu, u p</w:t>
      </w:r>
      <w:r w:rsidR="006136C2">
        <w:t>r</w:t>
      </w:r>
      <w:r w:rsidRPr="00155F80">
        <w:t xml:space="preserve">omatranom </w:t>
      </w:r>
      <w:r w:rsidR="006136C2">
        <w:t>razdoblju</w:t>
      </w:r>
      <w:r w:rsidRPr="00155F80">
        <w:t xml:space="preserve"> je evidentiran lagani porast u</w:t>
      </w:r>
      <w:r w:rsidR="006136C2">
        <w:t>djela</w:t>
      </w:r>
      <w:r w:rsidRPr="00155F80">
        <w:t xml:space="preserve"> svih vodećih oboljenja u ukupnom morbiditetu djece ov</w:t>
      </w:r>
      <w:r w:rsidR="006136C2">
        <w:t>e</w:t>
      </w:r>
      <w:r w:rsidRPr="00155F80">
        <w:t xml:space="preserve"> </w:t>
      </w:r>
      <w:r w:rsidR="006136C2">
        <w:t>dobi</w:t>
      </w:r>
      <w:r w:rsidRPr="00155F80">
        <w:t xml:space="preserve">. </w:t>
      </w:r>
    </w:p>
    <w:p w:rsidR="00A131AD" w:rsidRPr="00155F80" w:rsidRDefault="00A131AD" w:rsidP="000C0138">
      <w:pPr>
        <w:pStyle w:val="NoSpacing"/>
        <w:spacing w:line="276" w:lineRule="auto"/>
        <w:rPr>
          <w:sz w:val="22"/>
          <w:szCs w:val="22"/>
        </w:rPr>
      </w:pPr>
    </w:p>
    <w:p w:rsidR="00A131AD" w:rsidRPr="00155F80" w:rsidRDefault="00A131AD" w:rsidP="00C63C62">
      <w:pPr>
        <w:pStyle w:val="refererere"/>
        <w:jc w:val="left"/>
      </w:pPr>
      <w:r w:rsidRPr="00155F80">
        <w:t xml:space="preserve">Grafikon 64: Vodeća oboljenja u stomatološkoj zaštiti </w:t>
      </w:r>
      <w:r w:rsidR="00A4460F">
        <w:t xml:space="preserve">kod </w:t>
      </w:r>
      <w:r w:rsidRPr="00155F80">
        <w:t xml:space="preserve">djece (0-6) u Federaciji BiH, za </w:t>
      </w:r>
      <w:r w:rsidR="006136C2">
        <w:t>razdoblje</w:t>
      </w:r>
      <w:r w:rsidRPr="00155F80">
        <w:t xml:space="preserve"> 2010.-2015. godina, indeks strukture</w:t>
      </w:r>
      <w:bookmarkEnd w:id="301"/>
      <w:r w:rsidRPr="00155F80">
        <w:rPr>
          <w:noProof/>
          <w:lang w:val="bs-Latn-BA" w:eastAsia="bs-Latn-BA"/>
        </w:rPr>
        <w:drawing>
          <wp:inline distT="0" distB="0" distL="0" distR="0" wp14:anchorId="32D2EDD4" wp14:editId="60FAADE3">
            <wp:extent cx="5782945" cy="2171700"/>
            <wp:effectExtent l="0" t="0" r="8255" b="0"/>
            <wp:docPr id="48"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rsidR="00B37E7E" w:rsidRDefault="00B37E7E" w:rsidP="000C0138">
      <w:pPr>
        <w:spacing w:line="276" w:lineRule="auto"/>
        <w:rPr>
          <w:rFonts w:ascii="Times New Roman" w:hAnsi="Times New Roman"/>
          <w:b/>
          <w:lang w:val="bs-Latn-BA"/>
        </w:rPr>
      </w:pPr>
    </w:p>
    <w:p w:rsidR="00B560D0" w:rsidRDefault="00B560D0" w:rsidP="000C0138">
      <w:pPr>
        <w:spacing w:line="276" w:lineRule="auto"/>
        <w:rPr>
          <w:rFonts w:ascii="Times New Roman" w:hAnsi="Times New Roman"/>
          <w:b/>
          <w:lang w:val="bs-Latn-BA"/>
        </w:rPr>
      </w:pPr>
    </w:p>
    <w:p w:rsidR="00A131AD" w:rsidRPr="00155F80" w:rsidRDefault="00A131AD" w:rsidP="000C0138">
      <w:pPr>
        <w:spacing w:line="276" w:lineRule="auto"/>
        <w:rPr>
          <w:rFonts w:ascii="Times New Roman" w:hAnsi="Times New Roman"/>
          <w:b/>
          <w:lang w:val="bs-Latn-BA"/>
        </w:rPr>
      </w:pPr>
      <w:r w:rsidRPr="00155F80">
        <w:rPr>
          <w:rFonts w:ascii="Times New Roman" w:hAnsi="Times New Roman"/>
          <w:b/>
          <w:lang w:val="bs-Latn-BA"/>
        </w:rPr>
        <w:lastRenderedPageBreak/>
        <w:t>Djeca i mladi (7 do 18 godina)</w:t>
      </w:r>
    </w:p>
    <w:p w:rsidR="00A131AD" w:rsidRPr="00155F80" w:rsidRDefault="00A131AD" w:rsidP="000C0138">
      <w:pPr>
        <w:pStyle w:val="Tekst0"/>
        <w:spacing w:line="276" w:lineRule="auto"/>
        <w:rPr>
          <w:color w:val="000000"/>
          <w:sz w:val="22"/>
          <w:szCs w:val="22"/>
          <w:lang w:eastAsia="bs-Latn-BA"/>
        </w:rPr>
      </w:pPr>
      <w:r w:rsidRPr="00155F80">
        <w:rPr>
          <w:sz w:val="22"/>
          <w:szCs w:val="22"/>
        </w:rPr>
        <w:t>Poda</w:t>
      </w:r>
      <w:r w:rsidR="0075437E">
        <w:rPr>
          <w:sz w:val="22"/>
          <w:szCs w:val="22"/>
        </w:rPr>
        <w:t>t</w:t>
      </w:r>
      <w:r w:rsidRPr="00155F80">
        <w:rPr>
          <w:sz w:val="22"/>
          <w:szCs w:val="22"/>
        </w:rPr>
        <w:t>ci pokazuju da su oboljenja djece i mladih u 2015. godini činila dvije petine (</w:t>
      </w:r>
      <w:r w:rsidRPr="00155F80">
        <w:rPr>
          <w:color w:val="000000"/>
          <w:sz w:val="22"/>
          <w:szCs w:val="22"/>
          <w:lang w:eastAsia="bs-Latn-BA"/>
        </w:rPr>
        <w:t xml:space="preserve">38,9%) </w:t>
      </w:r>
      <w:r w:rsidRPr="00155F80">
        <w:rPr>
          <w:sz w:val="22"/>
          <w:szCs w:val="22"/>
        </w:rPr>
        <w:t xml:space="preserve">ukupnog stomatološkog morbiditeta. </w:t>
      </w:r>
    </w:p>
    <w:p w:rsidR="003361B4" w:rsidRPr="003361B4" w:rsidRDefault="00A131AD" w:rsidP="00C63C62">
      <w:pPr>
        <w:pStyle w:val="Tekst0"/>
        <w:spacing w:after="240" w:line="276" w:lineRule="auto"/>
        <w:rPr>
          <w:sz w:val="22"/>
          <w:szCs w:val="22"/>
        </w:rPr>
      </w:pPr>
      <w:r w:rsidRPr="00155F80">
        <w:rPr>
          <w:sz w:val="22"/>
          <w:szCs w:val="22"/>
        </w:rPr>
        <w:t>Vodeća oboljenja ove dobne skupine su bili zubni karijes (43,2%), oboljenja zubne pulpe i periapikalnog tkiva (21,3%) i dentofacijalne anomalije (16,3%), iza kojih su slijedili  gingivitisi i periodontalna oboljenja, te druga oboljenja čvrstog tkiva zuba.</w:t>
      </w:r>
      <w:bookmarkStart w:id="302" w:name="_Toc390770688"/>
    </w:p>
    <w:p w:rsidR="00A131AD" w:rsidRPr="00155F80" w:rsidRDefault="00A131AD" w:rsidP="00B37E7E">
      <w:pPr>
        <w:pStyle w:val="refererere"/>
      </w:pPr>
      <w:r w:rsidRPr="00155F80">
        <w:t>Grafikon 65: Vodeća oboljenja u stomatološkoj zaštiti</w:t>
      </w:r>
      <w:r w:rsidR="00A4460F">
        <w:t xml:space="preserve"> kod</w:t>
      </w:r>
      <w:r w:rsidRPr="00155F80">
        <w:t xml:space="preserve"> djece i mladih (7-18) u Federaciji BiH, za period 2010. -2015. godina, indeks strukture</w:t>
      </w:r>
      <w:bookmarkEnd w:id="302"/>
    </w:p>
    <w:p w:rsidR="00A131AD" w:rsidRPr="00155F80" w:rsidRDefault="00A131AD" w:rsidP="000C0138">
      <w:pPr>
        <w:spacing w:line="276" w:lineRule="auto"/>
        <w:jc w:val="center"/>
        <w:rPr>
          <w:rFonts w:ascii="Times New Roman" w:hAnsi="Times New Roman"/>
        </w:rPr>
      </w:pPr>
      <w:r w:rsidRPr="00155F80">
        <w:rPr>
          <w:rFonts w:ascii="Times New Roman" w:hAnsi="Times New Roman"/>
          <w:noProof/>
          <w:lang w:val="bs-Latn-BA" w:eastAsia="bs-Latn-BA"/>
        </w:rPr>
        <w:drawing>
          <wp:inline distT="0" distB="0" distL="0" distR="0" wp14:anchorId="0BEDCF6F" wp14:editId="3D3B935E">
            <wp:extent cx="5818505" cy="1971304"/>
            <wp:effectExtent l="0" t="0" r="10795" b="10160"/>
            <wp:docPr id="49"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rsidR="00A131AD" w:rsidRPr="00155F80" w:rsidRDefault="00A131AD" w:rsidP="000C0138">
      <w:pPr>
        <w:pStyle w:val="Tekst0"/>
        <w:spacing w:line="276" w:lineRule="auto"/>
        <w:rPr>
          <w:sz w:val="22"/>
          <w:szCs w:val="22"/>
        </w:rPr>
      </w:pPr>
      <w:r w:rsidRPr="00155F80">
        <w:rPr>
          <w:sz w:val="22"/>
          <w:szCs w:val="22"/>
        </w:rPr>
        <w:t>Najbolji pokazatelj oralnog zdravlja je KEP indeks</w:t>
      </w:r>
      <w:r w:rsidR="00E61F0C">
        <w:rPr>
          <w:sz w:val="22"/>
          <w:szCs w:val="22"/>
        </w:rPr>
        <w:t xml:space="preserve"> </w:t>
      </w:r>
      <w:r w:rsidR="00E61F0C" w:rsidRPr="00155F80">
        <w:rPr>
          <w:sz w:val="22"/>
          <w:szCs w:val="22"/>
        </w:rPr>
        <w:t xml:space="preserve">(broj karioznih, izvađenih i plombiranih zuba)  </w:t>
      </w:r>
      <w:r w:rsidRPr="00155F80">
        <w:rPr>
          <w:sz w:val="22"/>
          <w:szCs w:val="22"/>
        </w:rPr>
        <w:t xml:space="preserve">12-godišnjaka, koji prema  SZO ne bi trebao biti veći od 1,5. </w:t>
      </w:r>
    </w:p>
    <w:p w:rsidR="00A131AD" w:rsidRDefault="00A131AD" w:rsidP="00C63C62">
      <w:pPr>
        <w:pStyle w:val="Tekst0"/>
        <w:spacing w:before="0" w:line="276" w:lineRule="auto"/>
        <w:rPr>
          <w:sz w:val="22"/>
          <w:szCs w:val="22"/>
        </w:rPr>
      </w:pPr>
      <w:r w:rsidRPr="00155F80">
        <w:rPr>
          <w:sz w:val="22"/>
          <w:szCs w:val="22"/>
        </w:rPr>
        <w:t xml:space="preserve">Rezultati posljednjeg istraživanja oralnog zdravlja djece u FBiH, rađenog 2001. godine, su ukazali na visoki KEP indeks kod djece starosti 12 godina (5,36), te je 45% ove djece imalo neku ortodontsku anomaliju. </w:t>
      </w:r>
    </w:p>
    <w:p w:rsidR="00A131AD" w:rsidRPr="00155F80" w:rsidRDefault="00A131AD" w:rsidP="000C0138">
      <w:pPr>
        <w:spacing w:line="276" w:lineRule="auto"/>
        <w:rPr>
          <w:rFonts w:ascii="Times New Roman" w:hAnsi="Times New Roman"/>
          <w:b/>
          <w:lang w:val="bs-Latn-BA"/>
        </w:rPr>
      </w:pPr>
    </w:p>
    <w:p w:rsidR="00A131AD" w:rsidRPr="00155F80" w:rsidRDefault="00A131AD" w:rsidP="000C0138">
      <w:pPr>
        <w:spacing w:line="276" w:lineRule="auto"/>
        <w:rPr>
          <w:rFonts w:ascii="Times New Roman" w:hAnsi="Times New Roman"/>
          <w:b/>
          <w:lang w:val="bs-Latn-BA"/>
        </w:rPr>
      </w:pPr>
      <w:r w:rsidRPr="00155F80">
        <w:rPr>
          <w:rFonts w:ascii="Times New Roman" w:hAnsi="Times New Roman"/>
          <w:b/>
          <w:lang w:val="bs-Latn-BA"/>
        </w:rPr>
        <w:t xml:space="preserve">Odrasli (19 i više godina) </w:t>
      </w:r>
    </w:p>
    <w:p w:rsidR="00A131AD" w:rsidRPr="00155F80" w:rsidRDefault="00A131AD" w:rsidP="000C0138">
      <w:pPr>
        <w:pStyle w:val="Tekst0"/>
        <w:spacing w:line="276" w:lineRule="auto"/>
        <w:rPr>
          <w:sz w:val="22"/>
          <w:szCs w:val="22"/>
        </w:rPr>
      </w:pPr>
      <w:r w:rsidRPr="00155F80">
        <w:rPr>
          <w:sz w:val="22"/>
          <w:szCs w:val="22"/>
        </w:rPr>
        <w:t>Oboljenja zuba i usta odraslog stanovništva su u 2015. godini činila preko polovine ukupnog stomatološkog morbiditeta (</w:t>
      </w:r>
      <w:r w:rsidRPr="00155F80">
        <w:rPr>
          <w:color w:val="000000"/>
          <w:sz w:val="22"/>
          <w:szCs w:val="22"/>
          <w:lang w:eastAsia="bs-Latn-BA"/>
        </w:rPr>
        <w:t>56,3%).</w:t>
      </w:r>
      <w:r w:rsidRPr="00155F80">
        <w:rPr>
          <w:sz w:val="22"/>
          <w:szCs w:val="22"/>
        </w:rPr>
        <w:t xml:space="preserve">Na prvom mjestu vodećih oboljenja ove dobne skupine je od 2011. godine ponovno zubni karijes, koji je u 2015. godini u morbiditetu odraslih imao udio od 40,2%, iza čega su slijedila oboljenja zubne pulpe i periapikalnog tkiva (33,9%). </w:t>
      </w:r>
    </w:p>
    <w:p w:rsidR="003819E7" w:rsidRDefault="00A131AD" w:rsidP="00C63C62">
      <w:pPr>
        <w:pStyle w:val="Tekst0"/>
        <w:spacing w:after="240" w:line="276" w:lineRule="auto"/>
        <w:rPr>
          <w:sz w:val="22"/>
          <w:szCs w:val="22"/>
        </w:rPr>
      </w:pPr>
      <w:r w:rsidRPr="00155F80">
        <w:rPr>
          <w:sz w:val="22"/>
          <w:szCs w:val="22"/>
        </w:rPr>
        <w:t>Na trećem mjestu vodećih oboljenja su bili gingivitisi i periodontalna oboljenja, zatim drugi poremećaji zuba i potpornih struktura i druga</w:t>
      </w:r>
      <w:bookmarkStart w:id="303" w:name="_Toc390770689"/>
      <w:r w:rsidR="003361B4">
        <w:rPr>
          <w:sz w:val="22"/>
          <w:szCs w:val="22"/>
        </w:rPr>
        <w:t xml:space="preserve"> oboljenja čvrstog tkiva zuba. </w:t>
      </w:r>
    </w:p>
    <w:p w:rsidR="00A131AD" w:rsidRPr="00155F80" w:rsidRDefault="00A131AD" w:rsidP="00B37E7E">
      <w:pPr>
        <w:pStyle w:val="refererere"/>
      </w:pPr>
      <w:r w:rsidRPr="00155F80">
        <w:t xml:space="preserve">Grafikon 66: Vodeća oboljenja u stomatološkoj zaštiti </w:t>
      </w:r>
      <w:r w:rsidR="00A4460F">
        <w:t>kod odraslih</w:t>
      </w:r>
      <w:r w:rsidRPr="00155F80">
        <w:t xml:space="preserve"> (19 i više godina) u Federaciji BiH, </w:t>
      </w:r>
      <w:bookmarkEnd w:id="303"/>
      <w:r w:rsidR="006136C2">
        <w:t>u razdoblju</w:t>
      </w:r>
      <w:r w:rsidRPr="00155F80">
        <w:t xml:space="preserve"> 2010.-2015. godina, indeks strukture</w:t>
      </w:r>
    </w:p>
    <w:p w:rsidR="00A131AD" w:rsidRPr="00155F80" w:rsidRDefault="00A131AD" w:rsidP="000C0138">
      <w:pPr>
        <w:spacing w:line="276" w:lineRule="auto"/>
        <w:rPr>
          <w:rFonts w:ascii="Times New Roman" w:hAnsi="Times New Roman"/>
          <w:lang w:val="bs-Latn-BA"/>
        </w:rPr>
      </w:pPr>
      <w:r w:rsidRPr="00155F80">
        <w:rPr>
          <w:rFonts w:ascii="Times New Roman" w:hAnsi="Times New Roman"/>
          <w:noProof/>
          <w:lang w:val="bs-Latn-BA" w:eastAsia="bs-Latn-BA"/>
        </w:rPr>
        <w:drawing>
          <wp:inline distT="0" distB="0" distL="0" distR="0" wp14:anchorId="31913FE9" wp14:editId="2C4DA16A">
            <wp:extent cx="5687695" cy="1900052"/>
            <wp:effectExtent l="0" t="0" r="8255" b="5080"/>
            <wp:docPr id="50"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rsidR="003230A0" w:rsidRPr="00155F80" w:rsidRDefault="006136C2" w:rsidP="000C0138">
      <w:pPr>
        <w:pStyle w:val="Poglavlje1"/>
        <w:spacing w:line="276" w:lineRule="auto"/>
      </w:pPr>
      <w:bookmarkStart w:id="304" w:name="_Toc456095922"/>
      <w:r>
        <w:lastRenderedPageBreak/>
        <w:t>ČIMBENICI</w:t>
      </w:r>
      <w:r w:rsidR="00A131AD" w:rsidRPr="00155F80">
        <w:t xml:space="preserve"> RIZIKA PO ZDRAVLJE</w:t>
      </w:r>
      <w:bookmarkEnd w:id="304"/>
    </w:p>
    <w:p w:rsidR="00301140" w:rsidRPr="00B37E7E" w:rsidRDefault="000E1376" w:rsidP="000C0138">
      <w:pPr>
        <w:pStyle w:val="Poglavlje2"/>
        <w:spacing w:line="276" w:lineRule="auto"/>
        <w:rPr>
          <w:rFonts w:eastAsiaTheme="minorHAnsi"/>
        </w:rPr>
      </w:pPr>
      <w:bookmarkStart w:id="305" w:name="_Toc456095923"/>
      <w:r w:rsidRPr="00B37E7E">
        <w:rPr>
          <w:rFonts w:eastAsiaTheme="minorHAnsi"/>
        </w:rPr>
        <w:t xml:space="preserve">4.1 </w:t>
      </w:r>
      <w:r w:rsidR="00993848" w:rsidRPr="00B37E7E">
        <w:rPr>
          <w:rFonts w:eastAsiaTheme="minorHAnsi"/>
        </w:rPr>
        <w:t>Ž</w:t>
      </w:r>
      <w:r w:rsidR="00301140" w:rsidRPr="00B37E7E">
        <w:rPr>
          <w:rFonts w:eastAsiaTheme="minorHAnsi"/>
        </w:rPr>
        <w:t>IVOTNI STIL I NAVIKE</w:t>
      </w:r>
      <w:bookmarkEnd w:id="305"/>
    </w:p>
    <w:p w:rsidR="00A131AD" w:rsidRPr="00155F80" w:rsidRDefault="00301140" w:rsidP="0050445F">
      <w:pPr>
        <w:pStyle w:val="Poglavlje3"/>
        <w:rPr>
          <w:rFonts w:eastAsiaTheme="minorHAnsi"/>
        </w:rPr>
      </w:pPr>
      <w:bookmarkStart w:id="306" w:name="_Toc456095924"/>
      <w:r>
        <w:rPr>
          <w:rFonts w:eastAsiaTheme="minorHAnsi"/>
        </w:rPr>
        <w:t xml:space="preserve">4.1.1 </w:t>
      </w:r>
      <w:r w:rsidR="006136C2">
        <w:rPr>
          <w:rFonts w:eastAsiaTheme="minorHAnsi"/>
        </w:rPr>
        <w:t>Pre</w:t>
      </w:r>
      <w:r w:rsidR="00A131AD" w:rsidRPr="00155F80">
        <w:rPr>
          <w:rFonts w:eastAsiaTheme="minorHAnsi"/>
        </w:rPr>
        <w:t xml:space="preserve">hrana i </w:t>
      </w:r>
      <w:r w:rsidR="00751A8F">
        <w:rPr>
          <w:rFonts w:eastAsiaTheme="minorHAnsi"/>
        </w:rPr>
        <w:t>tjelesna</w:t>
      </w:r>
      <w:r w:rsidR="00A131AD" w:rsidRPr="00155F80">
        <w:rPr>
          <w:rFonts w:eastAsiaTheme="minorHAnsi"/>
        </w:rPr>
        <w:t xml:space="preserve"> aktivnost</w:t>
      </w:r>
      <w:bookmarkEnd w:id="306"/>
    </w:p>
    <w:p w:rsidR="00A131AD" w:rsidRPr="00155F80" w:rsidRDefault="00A131AD" w:rsidP="000C0138">
      <w:pPr>
        <w:autoSpaceDE w:val="0"/>
        <w:autoSpaceDN w:val="0"/>
        <w:adjustRightInd w:val="0"/>
        <w:spacing w:line="276" w:lineRule="auto"/>
        <w:rPr>
          <w:rFonts w:ascii="Times New Roman" w:eastAsiaTheme="minorHAnsi" w:hAnsi="Times New Roman"/>
        </w:rPr>
      </w:pPr>
    </w:p>
    <w:p w:rsidR="00A131AD" w:rsidRPr="00155F80" w:rsidRDefault="00A131AD" w:rsidP="000C0138">
      <w:pPr>
        <w:autoSpaceDE w:val="0"/>
        <w:autoSpaceDN w:val="0"/>
        <w:adjustRightInd w:val="0"/>
        <w:spacing w:line="276" w:lineRule="auto"/>
        <w:rPr>
          <w:rFonts w:ascii="Times New Roman" w:eastAsiaTheme="minorHAnsi" w:hAnsi="Times New Roman"/>
        </w:rPr>
      </w:pPr>
      <w:r w:rsidRPr="00155F80">
        <w:rPr>
          <w:rFonts w:ascii="Times New Roman" w:eastAsiaTheme="minorHAnsi" w:hAnsi="Times New Roman"/>
        </w:rPr>
        <w:t>Osim još uv</w:t>
      </w:r>
      <w:r w:rsidR="008F2DCD" w:rsidRPr="00155F80">
        <w:rPr>
          <w:rFonts w:ascii="Times New Roman" w:eastAsiaTheme="minorHAnsi" w:hAnsi="Times New Roman"/>
        </w:rPr>
        <w:t>i</w:t>
      </w:r>
      <w:r w:rsidRPr="00155F80">
        <w:rPr>
          <w:rFonts w:ascii="Times New Roman" w:eastAsiaTheme="minorHAnsi" w:hAnsi="Times New Roman"/>
        </w:rPr>
        <w:t xml:space="preserve">jek prisutnog problema nedostatne </w:t>
      </w:r>
      <w:r w:rsidR="006136C2">
        <w:rPr>
          <w:rFonts w:ascii="Times New Roman" w:eastAsiaTheme="minorHAnsi" w:hAnsi="Times New Roman"/>
        </w:rPr>
        <w:t>pre</w:t>
      </w:r>
      <w:r w:rsidRPr="00155F80">
        <w:rPr>
          <w:rFonts w:ascii="Times New Roman" w:eastAsiaTheme="minorHAnsi" w:hAnsi="Times New Roman"/>
        </w:rPr>
        <w:t xml:space="preserve">hrane, zbog porasta </w:t>
      </w:r>
      <w:r w:rsidR="006136C2">
        <w:rPr>
          <w:rFonts w:ascii="Times New Roman" w:eastAsiaTheme="minorHAnsi" w:hAnsi="Times New Roman"/>
        </w:rPr>
        <w:t>pretilosti</w:t>
      </w:r>
      <w:r w:rsidRPr="00155F80">
        <w:rPr>
          <w:rFonts w:ascii="Times New Roman" w:eastAsiaTheme="minorHAnsi" w:hAnsi="Times New Roman"/>
        </w:rPr>
        <w:t xml:space="preserve"> širom svijeta, </w:t>
      </w:r>
      <w:r w:rsidR="006136C2">
        <w:rPr>
          <w:rFonts w:ascii="Times New Roman" w:eastAsiaTheme="minorHAnsi" w:hAnsi="Times New Roman"/>
        </w:rPr>
        <w:t>pre</w:t>
      </w:r>
      <w:r w:rsidRPr="00155F80">
        <w:rPr>
          <w:rFonts w:ascii="Times New Roman" w:eastAsiaTheme="minorHAnsi" w:hAnsi="Times New Roman"/>
        </w:rPr>
        <w:t xml:space="preserve">hrani i </w:t>
      </w:r>
      <w:r w:rsidR="006136C2">
        <w:rPr>
          <w:rFonts w:ascii="Times New Roman" w:eastAsiaTheme="minorHAnsi" w:hAnsi="Times New Roman"/>
        </w:rPr>
        <w:t>tjelesnoj</w:t>
      </w:r>
      <w:r w:rsidRPr="00155F80">
        <w:rPr>
          <w:rFonts w:ascii="Times New Roman" w:eastAsiaTheme="minorHAnsi" w:hAnsi="Times New Roman"/>
        </w:rPr>
        <w:t xml:space="preserve"> aktivnosti se poklanja posebna pažnja. </w:t>
      </w:r>
    </w:p>
    <w:p w:rsidR="00A131AD" w:rsidRPr="00155F80" w:rsidRDefault="00A131AD" w:rsidP="000C0138">
      <w:pPr>
        <w:autoSpaceDE w:val="0"/>
        <w:autoSpaceDN w:val="0"/>
        <w:adjustRightInd w:val="0"/>
        <w:spacing w:line="276" w:lineRule="auto"/>
        <w:rPr>
          <w:rFonts w:ascii="Times New Roman" w:eastAsiaTheme="minorHAnsi" w:hAnsi="Times New Roman"/>
        </w:rPr>
      </w:pPr>
    </w:p>
    <w:p w:rsidR="00A131AD" w:rsidRPr="00155F80" w:rsidRDefault="00A131AD" w:rsidP="000C0138">
      <w:pPr>
        <w:autoSpaceDE w:val="0"/>
        <w:autoSpaceDN w:val="0"/>
        <w:adjustRightInd w:val="0"/>
        <w:spacing w:line="276" w:lineRule="auto"/>
        <w:rPr>
          <w:rFonts w:ascii="Times New Roman" w:eastAsiaTheme="minorHAnsi" w:hAnsi="Times New Roman"/>
        </w:rPr>
      </w:pPr>
      <w:r w:rsidRPr="00155F80">
        <w:rPr>
          <w:rFonts w:ascii="Times New Roman" w:eastAsiaTheme="minorHAnsi" w:hAnsi="Times New Roman"/>
        </w:rPr>
        <w:t xml:space="preserve">Među vodeće </w:t>
      </w:r>
      <w:r w:rsidR="006136C2">
        <w:rPr>
          <w:rFonts w:ascii="Times New Roman" w:eastAsiaTheme="minorHAnsi" w:hAnsi="Times New Roman"/>
        </w:rPr>
        <w:t>čimbenike</w:t>
      </w:r>
      <w:r w:rsidRPr="00155F80">
        <w:rPr>
          <w:rFonts w:ascii="Times New Roman" w:eastAsiaTheme="minorHAnsi" w:hAnsi="Times New Roman"/>
        </w:rPr>
        <w:t xml:space="preserve"> rizika koji doprinose godinama života sa invaliditetom,  koji se prate kroz svjetsku Studiju o globalnom teretu bolesti, u 2013 godini je uključeno čak sedamnaest </w:t>
      </w:r>
      <w:r w:rsidR="006136C2">
        <w:rPr>
          <w:rFonts w:ascii="Times New Roman" w:eastAsiaTheme="minorHAnsi" w:hAnsi="Times New Roman"/>
        </w:rPr>
        <w:t>čimbenika</w:t>
      </w:r>
      <w:r w:rsidRPr="00155F80">
        <w:rPr>
          <w:rFonts w:ascii="Times New Roman" w:eastAsiaTheme="minorHAnsi" w:hAnsi="Times New Roman"/>
        </w:rPr>
        <w:t xml:space="preserve"> direktno vezanih za </w:t>
      </w:r>
      <w:r w:rsidR="006136C2">
        <w:rPr>
          <w:rFonts w:ascii="Times New Roman" w:eastAsiaTheme="minorHAnsi" w:hAnsi="Times New Roman"/>
        </w:rPr>
        <w:t>pre</w:t>
      </w:r>
      <w:r w:rsidRPr="00155F80">
        <w:rPr>
          <w:rFonts w:ascii="Times New Roman" w:eastAsiaTheme="minorHAnsi" w:hAnsi="Times New Roman"/>
        </w:rPr>
        <w:t>hranu: indeks tjelesne mase, visok unos natrija, nizak unos voća, nizak unos povrća, nizak unos žitarica, nizak unos vlakana, nizak unos koštunjavog voća  i sjemenki, nizak unos omega 3 masnih kiselina, visok unos crvenog mesa, visok unos mesnih prerađevina, visok unos trans masti,  nizak unos polinezasićenih masnih kiselina, nizak unos mlijeka, visok unos zašećerenih pića, nedostatak željeza, nedostatak vitamina A, nedostatak cinka, suboptimalno dojenje.</w:t>
      </w:r>
    </w:p>
    <w:p w:rsidR="00A131AD" w:rsidRPr="00155F80" w:rsidRDefault="00A131AD" w:rsidP="000C0138">
      <w:pPr>
        <w:pStyle w:val="EndnoteText"/>
        <w:spacing w:line="276" w:lineRule="auto"/>
        <w:jc w:val="both"/>
        <w:rPr>
          <w:sz w:val="22"/>
          <w:szCs w:val="22"/>
          <w:lang w:val="bs-Latn-BA"/>
        </w:rPr>
      </w:pPr>
    </w:p>
    <w:p w:rsidR="00A131AD" w:rsidRPr="00155F80" w:rsidRDefault="00A131AD" w:rsidP="000C0138">
      <w:pPr>
        <w:pStyle w:val="EndnoteText"/>
        <w:spacing w:line="276" w:lineRule="auto"/>
        <w:jc w:val="both"/>
        <w:rPr>
          <w:sz w:val="22"/>
          <w:szCs w:val="22"/>
          <w:lang w:val="bs-Latn-BA"/>
        </w:rPr>
      </w:pPr>
      <w:r w:rsidRPr="00155F80">
        <w:rPr>
          <w:sz w:val="22"/>
          <w:szCs w:val="22"/>
          <w:lang w:val="bs-Latn-BA"/>
        </w:rPr>
        <w:t xml:space="preserve">Kada je u pitanju Bosna  i Hercegovina, iz donjeg grafikona je vidljivo da je visok indeks tjelesne mase na prvom mjestu među </w:t>
      </w:r>
      <w:r w:rsidR="006136C2">
        <w:rPr>
          <w:sz w:val="22"/>
          <w:szCs w:val="22"/>
          <w:lang w:val="bs-Latn-BA"/>
        </w:rPr>
        <w:t>rizičnim čimbenicima</w:t>
      </w:r>
      <w:r w:rsidRPr="00155F80">
        <w:rPr>
          <w:sz w:val="22"/>
          <w:szCs w:val="22"/>
          <w:lang w:val="bs-Latn-BA"/>
        </w:rPr>
        <w:t xml:space="preserve"> koji doprinose ukupnom teretu oboljenja  za kardiovaskularne bolesti, a slijede ga visok unos natrija, te nizak unos voća. Također je vidljivo i da visok indeks tjelesne mase odnosno prekomjerna težina i </w:t>
      </w:r>
      <w:r w:rsidR="006136C2">
        <w:rPr>
          <w:sz w:val="22"/>
          <w:szCs w:val="22"/>
          <w:lang w:val="bs-Latn-BA"/>
        </w:rPr>
        <w:t>pretilost</w:t>
      </w:r>
      <w:r w:rsidRPr="00155F80">
        <w:rPr>
          <w:sz w:val="22"/>
          <w:szCs w:val="22"/>
          <w:lang w:val="bs-Latn-BA"/>
        </w:rPr>
        <w:t xml:space="preserve">, pored kardiovaskularnih bolesti, značajno doprinosi teretu obolijevanja od diabetesa i ostalih nezaraznih oboljenja. </w:t>
      </w:r>
    </w:p>
    <w:p w:rsidR="00A131AD" w:rsidRPr="00155F80" w:rsidRDefault="00A131AD" w:rsidP="000C0138">
      <w:pPr>
        <w:pStyle w:val="EndnoteText"/>
        <w:spacing w:line="276" w:lineRule="auto"/>
        <w:jc w:val="both"/>
        <w:rPr>
          <w:b/>
          <w:bCs/>
          <w:sz w:val="22"/>
          <w:szCs w:val="22"/>
          <w:lang w:val="hr-HR"/>
        </w:rPr>
      </w:pPr>
    </w:p>
    <w:p w:rsidR="00A131AD" w:rsidRPr="00155F80" w:rsidRDefault="00A131AD" w:rsidP="00B37E7E">
      <w:pPr>
        <w:pStyle w:val="refererere"/>
        <w:rPr>
          <w:lang w:val="hr-HR"/>
        </w:rPr>
      </w:pPr>
      <w:r w:rsidRPr="00155F80">
        <w:rPr>
          <w:lang w:val="hr-HR"/>
        </w:rPr>
        <w:t xml:space="preserve">Grafikon 67: Vodeći </w:t>
      </w:r>
      <w:r w:rsidR="000C6E15">
        <w:rPr>
          <w:lang w:val="hr-HR"/>
        </w:rPr>
        <w:t>rizični čimbenici</w:t>
      </w:r>
      <w:r w:rsidRPr="00155F80">
        <w:rPr>
          <w:lang w:val="hr-HR"/>
        </w:rPr>
        <w:t xml:space="preserve"> i njihov doprinos godinama života sa invaliditetom (DALYs), Bosna i Hercegovina 2013</w:t>
      </w:r>
      <w:r w:rsidR="000C6E15">
        <w:rPr>
          <w:lang w:val="hr-HR"/>
        </w:rPr>
        <w:t>.</w:t>
      </w:r>
      <w:r w:rsidRPr="00155F80">
        <w:rPr>
          <w:lang w:val="hr-HR"/>
        </w:rPr>
        <w:t xml:space="preserve"> god. </w:t>
      </w:r>
    </w:p>
    <w:p w:rsidR="00A131AD" w:rsidRPr="00155F80" w:rsidRDefault="00A131AD" w:rsidP="000C0138">
      <w:pPr>
        <w:spacing w:line="276" w:lineRule="auto"/>
        <w:rPr>
          <w:rFonts w:ascii="Times New Roman" w:hAnsi="Times New Roman"/>
          <w:b/>
          <w:bCs/>
          <w:lang w:val="hr-HR"/>
        </w:rPr>
      </w:pPr>
      <w:r w:rsidRPr="00155F80">
        <w:rPr>
          <w:rFonts w:ascii="Times New Roman" w:hAnsi="Times New Roman"/>
          <w:b/>
          <w:bCs/>
          <w:noProof/>
          <w:lang w:val="bs-Latn-BA" w:eastAsia="bs-Latn-BA"/>
        </w:rPr>
        <w:drawing>
          <wp:inline distT="0" distB="0" distL="0" distR="0" wp14:anchorId="39363C32" wp14:editId="70B01816">
            <wp:extent cx="6219825" cy="3981450"/>
            <wp:effectExtent l="19050" t="0" r="9525" b="0"/>
            <wp:docPr id="96" name="Picture 1" descr="E:\Zdravst\2015\dalyys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Zdravst\2015\dalyys2016.jpg"/>
                    <pic:cNvPicPr>
                      <a:picLocks noChangeAspect="1" noChangeArrowheads="1"/>
                    </pic:cNvPicPr>
                  </pic:nvPicPr>
                  <pic:blipFill>
                    <a:blip r:embed="rId79" cstate="print"/>
                    <a:srcRect/>
                    <a:stretch>
                      <a:fillRect/>
                    </a:stretch>
                  </pic:blipFill>
                  <pic:spPr bwMode="auto">
                    <a:xfrm>
                      <a:off x="0" y="0"/>
                      <a:ext cx="6219825" cy="3981450"/>
                    </a:xfrm>
                    <a:prstGeom prst="rect">
                      <a:avLst/>
                    </a:prstGeom>
                    <a:noFill/>
                    <a:ln w="9525">
                      <a:noFill/>
                      <a:miter lim="800000"/>
                      <a:headEnd/>
                      <a:tailEnd/>
                    </a:ln>
                  </pic:spPr>
                </pic:pic>
              </a:graphicData>
            </a:graphic>
          </wp:inline>
        </w:drawing>
      </w:r>
    </w:p>
    <w:p w:rsidR="00A131AD" w:rsidRPr="00155F80" w:rsidRDefault="00A131AD" w:rsidP="000C0138">
      <w:pPr>
        <w:spacing w:line="276" w:lineRule="auto"/>
        <w:rPr>
          <w:rFonts w:ascii="Times New Roman" w:hAnsi="Times New Roman"/>
          <w:bCs/>
          <w:lang w:val="hr-HR"/>
        </w:rPr>
      </w:pPr>
      <w:r w:rsidRPr="00155F80">
        <w:rPr>
          <w:rFonts w:ascii="Times New Roman" w:hAnsi="Times New Roman"/>
          <w:bCs/>
          <w:lang w:val="hr-HR"/>
        </w:rPr>
        <w:t xml:space="preserve">Izvor Institute for Health Metrics and Evaluation: Global Burden of Disease Study 2013, </w:t>
      </w:r>
      <w:hyperlink r:id="rId80" w:history="1">
        <w:r w:rsidRPr="00155F80">
          <w:rPr>
            <w:rStyle w:val="Hyperlink"/>
            <w:rFonts w:ascii="Times New Roman" w:eastAsiaTheme="majorEastAsia" w:hAnsi="Times New Roman"/>
            <w:bCs/>
            <w:lang w:val="hr-HR"/>
          </w:rPr>
          <w:t>http://ihmeuw.org./3s0j</w:t>
        </w:r>
      </w:hyperlink>
      <w:r w:rsidRPr="00155F80">
        <w:rPr>
          <w:rFonts w:ascii="Times New Roman" w:hAnsi="Times New Roman"/>
          <w:bCs/>
          <w:lang w:val="hr-HR"/>
        </w:rPr>
        <w:t xml:space="preserve">      </w:t>
      </w:r>
    </w:p>
    <w:p w:rsidR="00A131AD" w:rsidRPr="00155F80" w:rsidRDefault="00A131AD" w:rsidP="000C0138">
      <w:pPr>
        <w:pStyle w:val="EndnoteText"/>
        <w:spacing w:line="276" w:lineRule="auto"/>
        <w:jc w:val="both"/>
        <w:rPr>
          <w:sz w:val="22"/>
          <w:szCs w:val="22"/>
          <w:lang w:val="bs-Latn-BA"/>
        </w:rPr>
      </w:pPr>
    </w:p>
    <w:p w:rsidR="00A131AD" w:rsidRPr="00155F80" w:rsidRDefault="00A131AD" w:rsidP="000C0138">
      <w:pPr>
        <w:pStyle w:val="EndnoteText"/>
        <w:spacing w:line="276" w:lineRule="auto"/>
        <w:jc w:val="both"/>
        <w:rPr>
          <w:sz w:val="22"/>
          <w:szCs w:val="22"/>
          <w:lang w:val="bs-Latn-BA"/>
        </w:rPr>
      </w:pPr>
      <w:r w:rsidRPr="00155F80">
        <w:rPr>
          <w:sz w:val="22"/>
          <w:szCs w:val="22"/>
          <w:lang w:val="bs-Latn-BA"/>
        </w:rPr>
        <w:lastRenderedPageBreak/>
        <w:t xml:space="preserve">Međutim, dosadašnje intervencije nisu </w:t>
      </w:r>
      <w:r w:rsidR="00EE5188">
        <w:rPr>
          <w:sz w:val="22"/>
          <w:szCs w:val="22"/>
          <w:lang w:val="bs-Latn-BA"/>
        </w:rPr>
        <w:t>prouzro</w:t>
      </w:r>
      <w:r w:rsidR="001F3EA2">
        <w:rPr>
          <w:sz w:val="22"/>
          <w:szCs w:val="22"/>
          <w:lang w:val="bs-Latn-BA"/>
        </w:rPr>
        <w:t>čile</w:t>
      </w:r>
      <w:r w:rsidRPr="00155F80">
        <w:rPr>
          <w:sz w:val="22"/>
          <w:szCs w:val="22"/>
          <w:lang w:val="bs-Latn-BA"/>
        </w:rPr>
        <w:t xml:space="preserve"> </w:t>
      </w:r>
      <w:r w:rsidR="000C6E15">
        <w:rPr>
          <w:sz w:val="22"/>
          <w:szCs w:val="22"/>
          <w:lang w:val="bs-Latn-BA"/>
        </w:rPr>
        <w:t>važn</w:t>
      </w:r>
      <w:r w:rsidR="00EE5188">
        <w:rPr>
          <w:sz w:val="22"/>
          <w:szCs w:val="22"/>
          <w:lang w:val="bs-Latn-BA"/>
        </w:rPr>
        <w:t>e</w:t>
      </w:r>
      <w:r w:rsidRPr="00155F80">
        <w:rPr>
          <w:sz w:val="22"/>
          <w:szCs w:val="22"/>
          <w:lang w:val="bs-Latn-BA"/>
        </w:rPr>
        <w:t xml:space="preserve"> promjen</w:t>
      </w:r>
      <w:r w:rsidR="00EE5188">
        <w:rPr>
          <w:sz w:val="22"/>
          <w:szCs w:val="22"/>
          <w:lang w:val="bs-Latn-BA"/>
        </w:rPr>
        <w:t>e</w:t>
      </w:r>
      <w:r w:rsidRPr="00155F80">
        <w:rPr>
          <w:sz w:val="22"/>
          <w:szCs w:val="22"/>
          <w:lang w:val="bs-Latn-BA"/>
        </w:rPr>
        <w:t xml:space="preserve"> u s</w:t>
      </w:r>
      <w:r w:rsidR="00EE5188">
        <w:rPr>
          <w:sz w:val="22"/>
          <w:szCs w:val="22"/>
          <w:lang w:val="bs-Latn-BA"/>
        </w:rPr>
        <w:t>tanju uhranjenosti populacije F</w:t>
      </w:r>
      <w:r w:rsidRPr="00155F80">
        <w:rPr>
          <w:sz w:val="22"/>
          <w:szCs w:val="22"/>
          <w:lang w:val="bs-Latn-BA"/>
        </w:rPr>
        <w:t xml:space="preserve">BiH – prekomjerna težina i </w:t>
      </w:r>
      <w:r w:rsidR="000C6E15">
        <w:rPr>
          <w:sz w:val="22"/>
          <w:szCs w:val="22"/>
          <w:lang w:val="bs-Latn-BA"/>
        </w:rPr>
        <w:t>pretilost</w:t>
      </w:r>
      <w:r w:rsidRPr="00155F80">
        <w:rPr>
          <w:sz w:val="22"/>
          <w:szCs w:val="22"/>
          <w:lang w:val="bs-Latn-BA"/>
        </w:rPr>
        <w:t xml:space="preserve"> su prisutne u sličnim procentima kao prije deset godina, kada su rađena prva populaci</w:t>
      </w:r>
      <w:r w:rsidR="000C6E15">
        <w:rPr>
          <w:sz w:val="22"/>
          <w:szCs w:val="22"/>
          <w:lang w:val="bs-Latn-BA"/>
        </w:rPr>
        <w:t>jska</w:t>
      </w:r>
      <w:r w:rsidRPr="00155F80">
        <w:rPr>
          <w:sz w:val="22"/>
          <w:szCs w:val="22"/>
          <w:lang w:val="bs-Latn-BA"/>
        </w:rPr>
        <w:t xml:space="preserve"> mjerenja. Za razliku od 2002</w:t>
      </w:r>
      <w:r w:rsidR="00CB1772">
        <w:rPr>
          <w:sz w:val="22"/>
          <w:szCs w:val="22"/>
          <w:lang w:val="bs-Latn-BA"/>
        </w:rPr>
        <w:t>.</w:t>
      </w:r>
      <w:r w:rsidRPr="00155F80">
        <w:rPr>
          <w:sz w:val="22"/>
          <w:szCs w:val="22"/>
          <w:lang w:val="bs-Latn-BA"/>
        </w:rPr>
        <w:t xml:space="preserve"> godine kada je prekomjerno uhranjeno bilo 41,0% populacije, u 2012</w:t>
      </w:r>
      <w:r w:rsidR="00CB1772">
        <w:rPr>
          <w:sz w:val="22"/>
          <w:szCs w:val="22"/>
          <w:lang w:val="bs-Latn-BA"/>
        </w:rPr>
        <w:t>. godini</w:t>
      </w:r>
      <w:r w:rsidRPr="00155F80">
        <w:rPr>
          <w:sz w:val="22"/>
          <w:szCs w:val="22"/>
          <w:lang w:val="bs-Latn-BA"/>
        </w:rPr>
        <w:t xml:space="preserve"> je nađeno nešto manje prekomjerno uhranjenih - 37,5%, ali se procenat </w:t>
      </w:r>
      <w:r w:rsidR="000C6E15">
        <w:rPr>
          <w:sz w:val="22"/>
          <w:szCs w:val="22"/>
          <w:lang w:val="bs-Latn-BA"/>
        </w:rPr>
        <w:t>pretilih</w:t>
      </w:r>
      <w:r w:rsidRPr="00155F80">
        <w:rPr>
          <w:sz w:val="22"/>
          <w:szCs w:val="22"/>
          <w:lang w:val="bs-Latn-BA"/>
        </w:rPr>
        <w:t xml:space="preserve"> (ITM&gt;30) u odnosu na 2002</w:t>
      </w:r>
      <w:r w:rsidR="00CB1772">
        <w:rPr>
          <w:sz w:val="22"/>
          <w:szCs w:val="22"/>
          <w:lang w:val="bs-Latn-BA"/>
        </w:rPr>
        <w:t>.</w:t>
      </w:r>
      <w:r w:rsidRPr="00155F80">
        <w:rPr>
          <w:sz w:val="22"/>
          <w:szCs w:val="22"/>
          <w:lang w:val="bs-Latn-BA"/>
        </w:rPr>
        <w:t xml:space="preserve"> godinu kada je iznosio 21,5% u 2012</w:t>
      </w:r>
      <w:r w:rsidR="00CB1772">
        <w:rPr>
          <w:sz w:val="22"/>
          <w:szCs w:val="22"/>
          <w:lang w:val="bs-Latn-BA"/>
        </w:rPr>
        <w:t>.</w:t>
      </w:r>
      <w:r w:rsidRPr="00155F80">
        <w:rPr>
          <w:sz w:val="22"/>
          <w:szCs w:val="22"/>
          <w:lang w:val="bs-Latn-BA"/>
        </w:rPr>
        <w:t xml:space="preserve"> godini povećao na 22,5%.  </w:t>
      </w:r>
    </w:p>
    <w:p w:rsidR="00A131AD" w:rsidRPr="00155F80" w:rsidRDefault="00A131AD" w:rsidP="000C0138">
      <w:pPr>
        <w:pStyle w:val="EndnoteText"/>
        <w:spacing w:line="276" w:lineRule="auto"/>
        <w:jc w:val="both"/>
        <w:rPr>
          <w:sz w:val="22"/>
          <w:szCs w:val="22"/>
          <w:lang w:val="bs-Latn-BA"/>
        </w:rPr>
      </w:pPr>
    </w:p>
    <w:p w:rsidR="00A131AD" w:rsidRPr="00155F80" w:rsidRDefault="00A131AD" w:rsidP="00B37E7E">
      <w:pPr>
        <w:pStyle w:val="refererere"/>
        <w:rPr>
          <w:lang w:val="bs-Latn-BA"/>
        </w:rPr>
      </w:pPr>
      <w:r w:rsidRPr="00155F80">
        <w:rPr>
          <w:lang w:val="es-ES"/>
        </w:rPr>
        <w:t>Grafikon</w:t>
      </w:r>
      <w:r w:rsidRPr="00155F80">
        <w:rPr>
          <w:lang w:val="hr-HR"/>
        </w:rPr>
        <w:t xml:space="preserve"> 68: </w:t>
      </w:r>
      <w:r w:rsidRPr="00155F80">
        <w:rPr>
          <w:noProof/>
          <w:lang w:val="hr-HR" w:eastAsia="de-DE"/>
        </w:rPr>
        <w:t>Prikaz stanja uhranjenosti  populacije odraslih na području Federacije BiH, 2002. i  2012. godina</w:t>
      </w:r>
      <w:r w:rsidRPr="00155F80">
        <w:rPr>
          <w:noProof/>
          <w:lang w:val="bs-Latn-BA" w:eastAsia="bs-Latn-BA"/>
        </w:rPr>
        <w:drawing>
          <wp:inline distT="0" distB="0" distL="0" distR="0" wp14:anchorId="2E990099" wp14:editId="3EB8CA1E">
            <wp:extent cx="5943600" cy="2256312"/>
            <wp:effectExtent l="0" t="0" r="0" b="10795"/>
            <wp:docPr id="97"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rsidR="00A131AD" w:rsidRPr="00155F80" w:rsidRDefault="00A131AD" w:rsidP="000C0138">
      <w:pPr>
        <w:autoSpaceDE w:val="0"/>
        <w:autoSpaceDN w:val="0"/>
        <w:adjustRightInd w:val="0"/>
        <w:spacing w:line="276" w:lineRule="auto"/>
        <w:rPr>
          <w:rFonts w:ascii="Times New Roman" w:hAnsi="Times New Roman"/>
          <w:lang w:val="bs-Latn-BA"/>
        </w:rPr>
      </w:pPr>
    </w:p>
    <w:p w:rsidR="00834139" w:rsidRDefault="00A131AD" w:rsidP="00834139">
      <w:pPr>
        <w:autoSpaceDE w:val="0"/>
        <w:autoSpaceDN w:val="0"/>
        <w:adjustRightInd w:val="0"/>
        <w:spacing w:line="276" w:lineRule="auto"/>
        <w:rPr>
          <w:rFonts w:ascii="Times New Roman" w:eastAsiaTheme="minorHAnsi" w:hAnsi="Times New Roman"/>
        </w:rPr>
      </w:pPr>
      <w:r w:rsidRPr="00155F80">
        <w:rPr>
          <w:rFonts w:ascii="Times New Roman" w:hAnsi="Times New Roman"/>
          <w:lang w:val="bs-Latn-BA"/>
        </w:rPr>
        <w:t>Ovo se može povezat</w:t>
      </w:r>
      <w:r w:rsidR="00E61F0C">
        <w:rPr>
          <w:rFonts w:ascii="Times New Roman" w:hAnsi="Times New Roman"/>
          <w:lang w:val="bs-Latn-BA"/>
        </w:rPr>
        <w:t>i sa nalazima Studije</w:t>
      </w:r>
      <w:r w:rsidRPr="00155F80">
        <w:rPr>
          <w:rFonts w:ascii="Times New Roman" w:hAnsi="Times New Roman"/>
          <w:lang w:val="bs-Latn-BA"/>
        </w:rPr>
        <w:t xml:space="preserve"> o stanju zdravlja odraslog stanovništva vezanim za rizično ponašanje. Studija je pokazala da tek svaki sedmi ispitanik izjavljuje da zbog svog ponašanja i navika može da </w:t>
      </w:r>
      <w:r w:rsidRPr="00155F80">
        <w:rPr>
          <w:rFonts w:ascii="Times New Roman" w:eastAsiaTheme="minorHAnsi" w:hAnsi="Times New Roman"/>
        </w:rPr>
        <w:t xml:space="preserve">oboli od bolesti srca i krvnih sudova </w:t>
      </w:r>
      <w:r w:rsidRPr="00155F80">
        <w:rPr>
          <w:rFonts w:ascii="Times New Roman" w:hAnsi="Times New Roman"/>
          <w:lang w:val="bs-Latn-BA"/>
        </w:rPr>
        <w:t>(14,8%)</w:t>
      </w:r>
      <w:r w:rsidRPr="00155F80">
        <w:rPr>
          <w:rFonts w:ascii="Times New Roman" w:eastAsiaTheme="minorHAnsi" w:hAnsi="Times New Roman"/>
        </w:rPr>
        <w:t xml:space="preserve">, a potom od povišenog krvnog </w:t>
      </w:r>
      <w:r w:rsidR="000C6E15">
        <w:rPr>
          <w:rFonts w:ascii="Times New Roman" w:eastAsiaTheme="minorHAnsi" w:hAnsi="Times New Roman"/>
        </w:rPr>
        <w:t>tlaka</w:t>
      </w:r>
      <w:r w:rsidRPr="00155F80">
        <w:rPr>
          <w:rFonts w:ascii="Times New Roman" w:eastAsiaTheme="minorHAnsi" w:hAnsi="Times New Roman"/>
        </w:rPr>
        <w:t xml:space="preserve"> (13,4%) i </w:t>
      </w:r>
      <w:r w:rsidR="000C6E15">
        <w:rPr>
          <w:rFonts w:ascii="Times New Roman" w:eastAsiaTheme="minorHAnsi" w:hAnsi="Times New Roman"/>
        </w:rPr>
        <w:t>pretilosti</w:t>
      </w:r>
      <w:r w:rsidRPr="00155F80">
        <w:rPr>
          <w:rFonts w:ascii="Times New Roman" w:eastAsiaTheme="minorHAnsi" w:hAnsi="Times New Roman"/>
        </w:rPr>
        <w:t xml:space="preserve"> (13,2%).  Pri tome, žene smatraju da svojim ponašanjem najviše rizikuju da obole od bolesti srca i krvnih sudova, </w:t>
      </w:r>
      <w:r w:rsidR="000C6E15">
        <w:rPr>
          <w:rFonts w:ascii="Times New Roman" w:eastAsiaTheme="minorHAnsi" w:hAnsi="Times New Roman"/>
        </w:rPr>
        <w:t>pretilosti</w:t>
      </w:r>
      <w:r w:rsidRPr="00155F80">
        <w:rPr>
          <w:rFonts w:ascii="Times New Roman" w:eastAsiaTheme="minorHAnsi" w:hAnsi="Times New Roman"/>
        </w:rPr>
        <w:t xml:space="preserve"> i povišenog pritiska, a muškarci smatraju da svojim ponašanjem najviše rizikuju  da obole od bolesti srca i krvnih sudova, povišenog krvnog </w:t>
      </w:r>
      <w:r w:rsidR="000C6E15">
        <w:rPr>
          <w:rFonts w:ascii="Times New Roman" w:eastAsiaTheme="minorHAnsi" w:hAnsi="Times New Roman"/>
        </w:rPr>
        <w:t>tlaka</w:t>
      </w:r>
      <w:r w:rsidRPr="00155F80">
        <w:rPr>
          <w:rFonts w:ascii="Times New Roman" w:eastAsiaTheme="minorHAnsi" w:hAnsi="Times New Roman"/>
        </w:rPr>
        <w:t>,</w:t>
      </w:r>
      <w:r w:rsidR="00E61F0C">
        <w:rPr>
          <w:rFonts w:ascii="Times New Roman" w:eastAsiaTheme="minorHAnsi" w:hAnsi="Times New Roman"/>
        </w:rPr>
        <w:t xml:space="preserve"> </w:t>
      </w:r>
      <w:r w:rsidRPr="00155F80">
        <w:rPr>
          <w:rFonts w:ascii="Times New Roman" w:eastAsiaTheme="minorHAnsi" w:hAnsi="Times New Roman"/>
        </w:rPr>
        <w:t xml:space="preserve">a potom od </w:t>
      </w:r>
      <w:r w:rsidR="000C6E15">
        <w:rPr>
          <w:rFonts w:ascii="Times New Roman" w:eastAsiaTheme="minorHAnsi" w:hAnsi="Times New Roman"/>
        </w:rPr>
        <w:t>pretilosti</w:t>
      </w:r>
      <w:r w:rsidRPr="00155F80">
        <w:rPr>
          <w:rFonts w:ascii="Times New Roman" w:eastAsiaTheme="minorHAnsi" w:hAnsi="Times New Roman"/>
        </w:rPr>
        <w:t xml:space="preserve">. </w:t>
      </w:r>
      <w:bookmarkStart w:id="307" w:name="_Toc384042058"/>
    </w:p>
    <w:p w:rsidR="00834139" w:rsidRDefault="00834139" w:rsidP="00834139">
      <w:pPr>
        <w:rPr>
          <w:rFonts w:ascii="Times New Roman" w:eastAsiaTheme="minorHAnsi" w:hAnsi="Times New Roman"/>
        </w:rPr>
      </w:pPr>
    </w:p>
    <w:p w:rsidR="00834139" w:rsidRDefault="00834139" w:rsidP="00B37E7E">
      <w:pPr>
        <w:pStyle w:val="refererere"/>
        <w:rPr>
          <w:rFonts w:eastAsiaTheme="minorHAnsi"/>
        </w:rPr>
      </w:pPr>
      <w:r w:rsidRPr="00155F80">
        <w:t>Grafikon 69: Svijest o riziku od obol</w:t>
      </w:r>
      <w:r w:rsidR="000C6E15">
        <w:t>i</w:t>
      </w:r>
      <w:r w:rsidRPr="00155F80">
        <w:t>jevanja od određenih bolesti usl</w:t>
      </w:r>
      <w:r w:rsidR="000C6E15">
        <w:t>i</w:t>
      </w:r>
      <w:r w:rsidRPr="00155F80">
        <w:t>jed svog ponašanja i navika u Federaciji BiH, populacija odraslih, distribucija po spolu</w:t>
      </w:r>
    </w:p>
    <w:p w:rsidR="00834139" w:rsidRPr="00834139" w:rsidRDefault="00834139" w:rsidP="00834139">
      <w:pPr>
        <w:rPr>
          <w:rFonts w:ascii="Times New Roman" w:eastAsiaTheme="minorHAnsi" w:hAnsi="Times New Roman"/>
        </w:rPr>
      </w:pPr>
      <w:r w:rsidRPr="00155F80">
        <w:rPr>
          <w:rFonts w:ascii="Times New Roman" w:hAnsi="Times New Roman"/>
          <w:noProof/>
          <w:lang w:val="bs-Latn-BA" w:eastAsia="bs-Latn-BA"/>
        </w:rPr>
        <w:drawing>
          <wp:inline distT="0" distB="0" distL="0" distR="0" wp14:anchorId="522EC740" wp14:editId="679EC0BC">
            <wp:extent cx="5925787" cy="2256155"/>
            <wp:effectExtent l="0" t="0" r="18415" b="10795"/>
            <wp:docPr id="89"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bookmarkEnd w:id="307"/>
    <w:p w:rsidR="00E61F0C" w:rsidRDefault="00E61F0C" w:rsidP="000C0138">
      <w:pPr>
        <w:spacing w:line="276" w:lineRule="auto"/>
        <w:rPr>
          <w:rFonts w:ascii="Times New Roman" w:hAnsi="Times New Roman"/>
          <w:lang w:val="hr-HR"/>
        </w:rPr>
      </w:pPr>
    </w:p>
    <w:p w:rsidR="00A131AD" w:rsidRPr="00155F80" w:rsidRDefault="00A131AD" w:rsidP="000C0138">
      <w:pPr>
        <w:spacing w:line="276" w:lineRule="auto"/>
        <w:rPr>
          <w:rFonts w:ascii="Times New Roman" w:hAnsi="Times New Roman"/>
          <w:lang w:val="hr-HR"/>
        </w:rPr>
      </w:pPr>
      <w:r w:rsidRPr="00155F80">
        <w:rPr>
          <w:rFonts w:ascii="Times New Roman" w:hAnsi="Times New Roman"/>
          <w:lang w:val="hr-HR"/>
        </w:rPr>
        <w:t>U isto vrijeme, prehrambene navike u populaciji odraslih u Federaciji Bosne i Hercegovine pokazuju nezadovoljavajuć</w:t>
      </w:r>
      <w:r w:rsidR="00E61F0C">
        <w:rPr>
          <w:rFonts w:ascii="Times New Roman" w:hAnsi="Times New Roman"/>
          <w:lang w:val="hr-HR"/>
        </w:rPr>
        <w:t>e obrasce i nose sa sobom rizik-</w:t>
      </w:r>
      <w:r w:rsidRPr="00155F80">
        <w:rPr>
          <w:rFonts w:ascii="Times New Roman" w:hAnsi="Times New Roman"/>
          <w:lang w:val="hr-HR"/>
        </w:rPr>
        <w:t xml:space="preserve">samo 27,9% odraslih u Federaciji BiH svakodnevno konzumira povrće, i to više muškarci (26,4%) nego žene (23,3%), dok voće svakodnevno konzumira nešto više od trećine odraslih odnosno 35,5%, više žene (38%) nego muškarci (33,1%).  </w:t>
      </w:r>
    </w:p>
    <w:p w:rsidR="00A131AD" w:rsidRPr="00155F80" w:rsidRDefault="00A131AD" w:rsidP="000C0138">
      <w:pPr>
        <w:spacing w:line="276" w:lineRule="auto"/>
        <w:rPr>
          <w:rFonts w:ascii="Times New Roman" w:hAnsi="Times New Roman"/>
          <w:lang w:val="hr-HR"/>
        </w:rPr>
      </w:pPr>
      <w:r w:rsidRPr="00155F80">
        <w:rPr>
          <w:rFonts w:ascii="Times New Roman" w:eastAsiaTheme="minorHAnsi" w:hAnsi="Times New Roman"/>
        </w:rPr>
        <w:lastRenderedPageBreak/>
        <w:t xml:space="preserve">Visok unos soli je jedan od glavnih kontributora u razvoju bolesti srca i krvnih sudova, te drugih </w:t>
      </w:r>
      <w:r w:rsidR="000C6E15">
        <w:rPr>
          <w:rFonts w:ascii="Times New Roman" w:eastAsiaTheme="minorHAnsi" w:hAnsi="Times New Roman"/>
        </w:rPr>
        <w:t>k</w:t>
      </w:r>
      <w:r w:rsidRPr="00155F80">
        <w:rPr>
          <w:rFonts w:ascii="Times New Roman" w:eastAsiaTheme="minorHAnsi" w:hAnsi="Times New Roman"/>
        </w:rPr>
        <w:t xml:space="preserve">roničnih nezaraznih oboljenja, a zbog njihove </w:t>
      </w:r>
      <w:r w:rsidR="000C6E15">
        <w:rPr>
          <w:rFonts w:ascii="Times New Roman" w:eastAsiaTheme="minorHAnsi" w:hAnsi="Times New Roman"/>
        </w:rPr>
        <w:t>učinkovitosti</w:t>
      </w:r>
      <w:r w:rsidRPr="00155F80">
        <w:rPr>
          <w:rFonts w:ascii="Times New Roman" w:eastAsiaTheme="minorHAnsi" w:hAnsi="Times New Roman"/>
        </w:rPr>
        <w:t>, populaci</w:t>
      </w:r>
      <w:r w:rsidR="000C6E15">
        <w:rPr>
          <w:rFonts w:ascii="Times New Roman" w:eastAsiaTheme="minorHAnsi" w:hAnsi="Times New Roman"/>
        </w:rPr>
        <w:t>jskim</w:t>
      </w:r>
      <w:r w:rsidRPr="00155F80">
        <w:rPr>
          <w:rFonts w:ascii="Times New Roman" w:eastAsiaTheme="minorHAnsi" w:hAnsi="Times New Roman"/>
        </w:rPr>
        <w:t xml:space="preserve"> intervencijama za smanjenje unosa soli se poklanja sve veća pažnja. Poda</w:t>
      </w:r>
      <w:r w:rsidR="000C6E15">
        <w:rPr>
          <w:rFonts w:ascii="Times New Roman" w:eastAsiaTheme="minorHAnsi" w:hAnsi="Times New Roman"/>
        </w:rPr>
        <w:t>t</w:t>
      </w:r>
      <w:r w:rsidRPr="00155F80">
        <w:rPr>
          <w:rFonts w:ascii="Times New Roman" w:eastAsiaTheme="minorHAnsi" w:hAnsi="Times New Roman"/>
        </w:rPr>
        <w:t>ci o sadržaju soli u glavnim namirnicama, te o prosječnom dnevnom unosu soli nisu na raspolaganju</w:t>
      </w:r>
      <w:r w:rsidRPr="0004685B">
        <w:rPr>
          <w:rFonts w:ascii="Times New Roman" w:eastAsiaTheme="minorHAnsi" w:hAnsi="Times New Roman"/>
        </w:rPr>
        <w:t>. Međutim, raspoloživi poda</w:t>
      </w:r>
      <w:r w:rsidR="000C6E15">
        <w:rPr>
          <w:rFonts w:ascii="Times New Roman" w:eastAsiaTheme="minorHAnsi" w:hAnsi="Times New Roman"/>
        </w:rPr>
        <w:t>t</w:t>
      </w:r>
      <w:r w:rsidRPr="0004685B">
        <w:rPr>
          <w:rFonts w:ascii="Times New Roman" w:eastAsiaTheme="minorHAnsi" w:hAnsi="Times New Roman"/>
        </w:rPr>
        <w:t xml:space="preserve">ci o prehramebnim </w:t>
      </w:r>
      <w:r w:rsidR="0004685B" w:rsidRPr="0004685B">
        <w:rPr>
          <w:rFonts w:ascii="Times New Roman" w:eastAsiaTheme="minorHAnsi" w:hAnsi="Times New Roman"/>
        </w:rPr>
        <w:t>navikama su pokazali da čak 59,5</w:t>
      </w:r>
      <w:r w:rsidRPr="0004685B">
        <w:rPr>
          <w:rFonts w:ascii="Times New Roman" w:eastAsiaTheme="minorHAnsi" w:hAnsi="Times New Roman"/>
        </w:rPr>
        <w:t>% odraslih dosoljava hranu, a njih 7,2%  uvijek dosoljava hranu  prije probanja, posebno u starosnoj grupi 18-24 godine.</w:t>
      </w:r>
      <w:r w:rsidRPr="00155F80">
        <w:rPr>
          <w:rFonts w:ascii="Times New Roman" w:eastAsiaTheme="minorHAnsi" w:hAnsi="Times New Roman"/>
        </w:rPr>
        <w:t xml:space="preserve"> </w:t>
      </w:r>
    </w:p>
    <w:p w:rsidR="00A131AD" w:rsidRPr="00155F80" w:rsidRDefault="00A131AD" w:rsidP="000C0138">
      <w:pPr>
        <w:spacing w:line="276" w:lineRule="auto"/>
        <w:rPr>
          <w:rFonts w:ascii="Times New Roman" w:hAnsi="Times New Roman"/>
          <w:lang w:val="hr-HR"/>
        </w:rPr>
      </w:pPr>
    </w:p>
    <w:p w:rsidR="00A131AD" w:rsidRPr="00155F80" w:rsidRDefault="00A131AD" w:rsidP="00B37E7E">
      <w:pPr>
        <w:pStyle w:val="refererere"/>
      </w:pPr>
      <w:r w:rsidRPr="00155F80">
        <w:t xml:space="preserve">Grafikon 70: Navika dosoljavanja hrane u populaciji odraslih u Federaciji BiH </w:t>
      </w:r>
    </w:p>
    <w:p w:rsidR="00A131AD" w:rsidRDefault="0004685B" w:rsidP="000C0138">
      <w:pPr>
        <w:spacing w:line="276" w:lineRule="auto"/>
        <w:rPr>
          <w:rFonts w:ascii="Times New Roman" w:hAnsi="Times New Roman"/>
          <w:lang w:val="hr-HR"/>
        </w:rPr>
      </w:pPr>
      <w:r>
        <w:rPr>
          <w:noProof/>
          <w:lang w:val="bs-Latn-BA" w:eastAsia="bs-Latn-BA"/>
        </w:rPr>
        <w:drawing>
          <wp:inline distT="0" distB="0" distL="0" distR="0" wp14:anchorId="5054C802" wp14:editId="5F89DB27">
            <wp:extent cx="5760720" cy="1981200"/>
            <wp:effectExtent l="0" t="0" r="11430" b="0"/>
            <wp:docPr id="31" name="Chart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rsidR="0004685B" w:rsidRPr="00155F80" w:rsidRDefault="0004685B" w:rsidP="000C0138">
      <w:pPr>
        <w:spacing w:line="276" w:lineRule="auto"/>
        <w:rPr>
          <w:rFonts w:ascii="Times New Roman" w:hAnsi="Times New Roman"/>
          <w:lang w:val="hr-HR"/>
        </w:rPr>
      </w:pPr>
    </w:p>
    <w:p w:rsidR="00A131AD" w:rsidRPr="00155F80" w:rsidRDefault="00A131AD" w:rsidP="000C0138">
      <w:pPr>
        <w:pStyle w:val="EndnoteText"/>
        <w:spacing w:line="276" w:lineRule="auto"/>
        <w:jc w:val="both"/>
        <w:rPr>
          <w:sz w:val="22"/>
          <w:szCs w:val="22"/>
          <w:lang w:val="bs-Latn-BA"/>
        </w:rPr>
      </w:pPr>
      <w:r w:rsidRPr="00155F80">
        <w:rPr>
          <w:sz w:val="22"/>
          <w:szCs w:val="22"/>
          <w:lang w:val="bs-Latn-BA"/>
        </w:rPr>
        <w:t xml:space="preserve">S obzirom na prikazane podatke vezane za </w:t>
      </w:r>
      <w:r w:rsidR="000C6E15">
        <w:rPr>
          <w:sz w:val="22"/>
          <w:szCs w:val="22"/>
          <w:lang w:val="bs-Latn-BA"/>
        </w:rPr>
        <w:t>pretilost</w:t>
      </w:r>
      <w:r w:rsidRPr="00155F80">
        <w:rPr>
          <w:sz w:val="22"/>
          <w:szCs w:val="22"/>
          <w:lang w:val="bs-Latn-BA"/>
        </w:rPr>
        <w:t xml:space="preserve">, te prisutne prehrambene obrasce i ponašanje, kao i činjenicu da u populaciji odraslih podhranjenost ne predstavlja problem, imajući u vidu da oboljenja srca i krvnih sudova čine  glavne uzroke obolijevanja i smrtnosti u nas, neophodno je provoditi sveobuhvatne intersektorske intervencije i programe za integrirano upravljanje vodećim ponašajnim rizicima. </w:t>
      </w:r>
    </w:p>
    <w:p w:rsidR="00A131AD" w:rsidRPr="00155F80" w:rsidRDefault="00A131AD" w:rsidP="000C0138">
      <w:pPr>
        <w:spacing w:line="276" w:lineRule="auto"/>
        <w:rPr>
          <w:rFonts w:ascii="Times New Roman" w:hAnsi="Times New Roman"/>
          <w:lang w:val="hr-HR"/>
        </w:rPr>
      </w:pPr>
    </w:p>
    <w:p w:rsidR="00A131AD" w:rsidRDefault="00751A8F" w:rsidP="000C0138">
      <w:pPr>
        <w:autoSpaceDE w:val="0"/>
        <w:autoSpaceDN w:val="0"/>
        <w:adjustRightInd w:val="0"/>
        <w:spacing w:line="276" w:lineRule="auto"/>
        <w:rPr>
          <w:rFonts w:ascii="Times New Roman" w:hAnsi="Times New Roman"/>
          <w:noProof/>
          <w:lang w:val="hr-HR" w:eastAsia="de-DE"/>
        </w:rPr>
      </w:pPr>
      <w:r>
        <w:rPr>
          <w:rFonts w:ascii="Times New Roman" w:hAnsi="Times New Roman"/>
          <w:lang w:val="hr-HR"/>
        </w:rPr>
        <w:t>Tjelesna</w:t>
      </w:r>
      <w:r w:rsidR="00A131AD" w:rsidRPr="00155F80">
        <w:rPr>
          <w:rFonts w:ascii="Times New Roman" w:hAnsi="Times New Roman"/>
          <w:lang w:val="hr-HR"/>
        </w:rPr>
        <w:t xml:space="preserve"> neaktivnost također predstavlja prominentan rizi</w:t>
      </w:r>
      <w:r w:rsidR="000C6E15">
        <w:rPr>
          <w:rFonts w:ascii="Times New Roman" w:hAnsi="Times New Roman"/>
          <w:lang w:val="hr-HR"/>
        </w:rPr>
        <w:t>čni čimbenik</w:t>
      </w:r>
      <w:r w:rsidR="00A131AD" w:rsidRPr="00155F80">
        <w:rPr>
          <w:rFonts w:ascii="Times New Roman" w:hAnsi="Times New Roman"/>
          <w:lang w:val="hr-HR"/>
        </w:rPr>
        <w:t xml:space="preserve"> u populaciji odraslih. Da se ona zanemaruje, govore poda</w:t>
      </w:r>
      <w:r w:rsidR="000C6E15">
        <w:rPr>
          <w:rFonts w:ascii="Times New Roman" w:hAnsi="Times New Roman"/>
          <w:lang w:val="hr-HR"/>
        </w:rPr>
        <w:t>t</w:t>
      </w:r>
      <w:r w:rsidR="00A131AD" w:rsidRPr="00155F80">
        <w:rPr>
          <w:rFonts w:ascii="Times New Roman" w:hAnsi="Times New Roman"/>
          <w:lang w:val="hr-HR"/>
        </w:rPr>
        <w:t xml:space="preserve">ci pomenute Studije o stanju zdravlja odraslog stanovništva u Federaciji Bosne i Hercegovine - samo 24,6% </w:t>
      </w:r>
      <w:r w:rsidR="000C6E15">
        <w:rPr>
          <w:rFonts w:ascii="Times New Roman" w:hAnsi="Times New Roman"/>
          <w:lang w:val="hr-HR"/>
        </w:rPr>
        <w:t>tjelesno</w:t>
      </w:r>
      <w:r w:rsidR="00A131AD" w:rsidRPr="00155F80">
        <w:rPr>
          <w:rFonts w:ascii="Times New Roman" w:hAnsi="Times New Roman"/>
          <w:lang w:val="hr-HR"/>
        </w:rPr>
        <w:t xml:space="preserve"> aktivno (</w:t>
      </w:r>
      <w:r w:rsidR="000C6E15">
        <w:rPr>
          <w:rFonts w:ascii="Times New Roman" w:hAnsi="Times New Roman"/>
          <w:lang w:val="hr-HR"/>
        </w:rPr>
        <w:t>tjelesna</w:t>
      </w:r>
      <w:r w:rsidR="00A131AD" w:rsidRPr="00155F80">
        <w:rPr>
          <w:rFonts w:ascii="Times New Roman" w:hAnsi="Times New Roman"/>
          <w:lang w:val="hr-HR"/>
        </w:rPr>
        <w:t xml:space="preserve"> vježba u trajanju od 30 minuta koja dovodi do znojenja ili zadihanosti više od 2-3 puta </w:t>
      </w:r>
      <w:r w:rsidR="00C861DA">
        <w:rPr>
          <w:rFonts w:ascii="Times New Roman" w:hAnsi="Times New Roman"/>
          <w:lang w:val="hr-HR"/>
        </w:rPr>
        <w:t>tjedno</w:t>
      </w:r>
      <w:r w:rsidR="00A131AD" w:rsidRPr="00155F80">
        <w:rPr>
          <w:rFonts w:ascii="Times New Roman" w:hAnsi="Times New Roman"/>
          <w:lang w:val="hr-HR"/>
        </w:rPr>
        <w:t>), pri čemu je</w:t>
      </w:r>
      <w:r w:rsidR="00E61F0C">
        <w:rPr>
          <w:rFonts w:ascii="Times New Roman" w:hAnsi="Times New Roman"/>
          <w:noProof/>
          <w:lang w:val="hr-HR" w:eastAsia="de-DE"/>
        </w:rPr>
        <w:t xml:space="preserve"> najviše </w:t>
      </w:r>
      <w:r w:rsidR="000C6E15">
        <w:rPr>
          <w:rFonts w:ascii="Times New Roman" w:hAnsi="Times New Roman"/>
          <w:noProof/>
          <w:lang w:val="hr-HR" w:eastAsia="de-DE"/>
        </w:rPr>
        <w:t>tjelesno</w:t>
      </w:r>
      <w:r w:rsidR="00E61F0C">
        <w:rPr>
          <w:rFonts w:ascii="Times New Roman" w:hAnsi="Times New Roman"/>
          <w:noProof/>
          <w:lang w:val="hr-HR" w:eastAsia="de-DE"/>
        </w:rPr>
        <w:t xml:space="preserve"> aktivnih</w:t>
      </w:r>
      <w:r w:rsidR="00A131AD" w:rsidRPr="00155F80">
        <w:rPr>
          <w:rFonts w:ascii="Times New Roman" w:hAnsi="Times New Roman"/>
          <w:noProof/>
          <w:lang w:val="hr-HR" w:eastAsia="de-DE"/>
        </w:rPr>
        <w:t xml:space="preserve"> u starosnoj grupi 18-24 godine (34,4%). </w:t>
      </w:r>
      <w:r w:rsidR="00A131AD" w:rsidRPr="00155F80">
        <w:rPr>
          <w:rFonts w:ascii="Times New Roman" w:eastAsiaTheme="minorHAnsi" w:hAnsi="Times New Roman"/>
        </w:rPr>
        <w:t xml:space="preserve">Procenat </w:t>
      </w:r>
      <w:r w:rsidR="000C6E15">
        <w:rPr>
          <w:rFonts w:ascii="Times New Roman" w:eastAsiaTheme="minorHAnsi" w:hAnsi="Times New Roman"/>
        </w:rPr>
        <w:t>tjelesno</w:t>
      </w:r>
      <w:r w:rsidR="00A131AD" w:rsidRPr="00155F80">
        <w:rPr>
          <w:rFonts w:ascii="Times New Roman" w:eastAsiaTheme="minorHAnsi" w:hAnsi="Times New Roman"/>
        </w:rPr>
        <w:t xml:space="preserve"> aktivnih u populaciji odraslih značajno opada  sa starošću i najmanji je u starosnoj grupi  65 i više godina (8,3%). </w:t>
      </w:r>
      <w:r w:rsidR="00A131AD" w:rsidRPr="00155F80">
        <w:rPr>
          <w:rFonts w:ascii="Times New Roman" w:hAnsi="Times New Roman"/>
          <w:noProof/>
          <w:lang w:val="hr-HR" w:eastAsia="de-DE"/>
        </w:rPr>
        <w:t xml:space="preserve">Više je </w:t>
      </w:r>
      <w:r w:rsidR="000C6E15">
        <w:rPr>
          <w:rFonts w:ascii="Times New Roman" w:hAnsi="Times New Roman"/>
          <w:noProof/>
          <w:lang w:val="hr-HR" w:eastAsia="de-DE"/>
        </w:rPr>
        <w:t>tjelesno</w:t>
      </w:r>
      <w:r w:rsidR="00A131AD" w:rsidRPr="00155F80">
        <w:rPr>
          <w:rFonts w:ascii="Times New Roman" w:hAnsi="Times New Roman"/>
          <w:noProof/>
          <w:lang w:val="hr-HR" w:eastAsia="de-DE"/>
        </w:rPr>
        <w:t xml:space="preserve"> aktivnih muškaraca (28,7%) nego žena (20,3%).</w:t>
      </w:r>
    </w:p>
    <w:p w:rsidR="000E1376" w:rsidRPr="00155F80" w:rsidRDefault="000E1376" w:rsidP="000C0138">
      <w:pPr>
        <w:autoSpaceDE w:val="0"/>
        <w:autoSpaceDN w:val="0"/>
        <w:adjustRightInd w:val="0"/>
        <w:spacing w:line="276" w:lineRule="auto"/>
        <w:rPr>
          <w:rFonts w:ascii="Times New Roman" w:hAnsi="Times New Roman"/>
          <w:b/>
        </w:rPr>
      </w:pPr>
    </w:p>
    <w:p w:rsidR="00A131AD" w:rsidRPr="00155F80" w:rsidRDefault="00A131AD" w:rsidP="00B37E7E">
      <w:pPr>
        <w:pStyle w:val="refererere"/>
      </w:pPr>
      <w:r w:rsidRPr="00155F80">
        <w:t xml:space="preserve">Grafikon 71: </w:t>
      </w:r>
      <w:r w:rsidR="000C6E15">
        <w:t>Tjelesno</w:t>
      </w:r>
      <w:r w:rsidRPr="00155F80">
        <w:t xml:space="preserve"> aktivna, populacija odraslih u Federaciji BiH, distribucija po dobi, 2012. godina</w:t>
      </w:r>
    </w:p>
    <w:p w:rsidR="00A131AD" w:rsidRPr="00155F80" w:rsidRDefault="00A131AD" w:rsidP="000C0138">
      <w:pPr>
        <w:pBdr>
          <w:top w:val="single" w:sz="4" w:space="1" w:color="auto"/>
          <w:left w:val="single" w:sz="4" w:space="4" w:color="auto"/>
          <w:bottom w:val="single" w:sz="4" w:space="1" w:color="auto"/>
          <w:right w:val="single" w:sz="4" w:space="4" w:color="auto"/>
        </w:pBdr>
        <w:spacing w:line="276" w:lineRule="auto"/>
        <w:jc w:val="center"/>
        <w:rPr>
          <w:rFonts w:ascii="Times New Roman" w:hAnsi="Times New Roman"/>
          <w:b/>
        </w:rPr>
      </w:pPr>
      <w:r w:rsidRPr="00155F80">
        <w:rPr>
          <w:rFonts w:ascii="Times New Roman" w:hAnsi="Times New Roman"/>
          <w:b/>
          <w:noProof/>
          <w:lang w:val="bs-Latn-BA" w:eastAsia="bs-Latn-BA"/>
        </w:rPr>
        <w:drawing>
          <wp:inline distT="0" distB="0" distL="0" distR="0" wp14:anchorId="46A94C9F" wp14:editId="67ED475A">
            <wp:extent cx="5260340" cy="1514475"/>
            <wp:effectExtent l="0" t="0" r="0" b="0"/>
            <wp:docPr id="100"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rsidR="00A131AD" w:rsidRPr="00155F80" w:rsidRDefault="00A131AD" w:rsidP="000C0138">
      <w:pPr>
        <w:spacing w:line="276" w:lineRule="auto"/>
        <w:rPr>
          <w:rFonts w:ascii="Times New Roman" w:hAnsi="Times New Roman"/>
          <w:b/>
        </w:rPr>
      </w:pPr>
    </w:p>
    <w:p w:rsidR="00A131AD" w:rsidRPr="00155F80" w:rsidRDefault="00A131AD" w:rsidP="000C0138">
      <w:pPr>
        <w:spacing w:line="276" w:lineRule="auto"/>
        <w:rPr>
          <w:rFonts w:ascii="Times New Roman" w:hAnsi="Times New Roman"/>
          <w:lang w:val="hr-HR"/>
        </w:rPr>
      </w:pPr>
    </w:p>
    <w:p w:rsidR="00A131AD" w:rsidRPr="00155F80" w:rsidRDefault="00A131AD" w:rsidP="000C0138">
      <w:pPr>
        <w:spacing w:line="276" w:lineRule="auto"/>
        <w:rPr>
          <w:rFonts w:ascii="Times New Roman" w:hAnsi="Times New Roman"/>
          <w:noProof/>
          <w:lang w:val="hr-HR" w:eastAsia="de-DE"/>
        </w:rPr>
      </w:pPr>
      <w:r w:rsidRPr="00155F80">
        <w:rPr>
          <w:rFonts w:ascii="Times New Roman" w:hAnsi="Times New Roman"/>
          <w:lang w:val="hr-HR"/>
        </w:rPr>
        <w:t xml:space="preserve">Ovome treba dodati da čak </w:t>
      </w:r>
      <w:r w:rsidRPr="00155F80">
        <w:rPr>
          <w:rFonts w:ascii="Times New Roman" w:hAnsi="Times New Roman"/>
          <w:noProof/>
          <w:lang w:val="hr-HR" w:eastAsia="de-DE"/>
        </w:rPr>
        <w:t>38,3% odraslih u Federaciji BiH nije uop</w:t>
      </w:r>
      <w:r w:rsidR="000C6E15">
        <w:rPr>
          <w:rFonts w:ascii="Times New Roman" w:hAnsi="Times New Roman"/>
          <w:noProof/>
          <w:lang w:val="hr-HR" w:eastAsia="de-DE"/>
        </w:rPr>
        <w:t>ć</w:t>
      </w:r>
      <w:r w:rsidRPr="00155F80">
        <w:rPr>
          <w:rFonts w:ascii="Times New Roman" w:hAnsi="Times New Roman"/>
          <w:noProof/>
          <w:lang w:val="hr-HR" w:eastAsia="de-DE"/>
        </w:rPr>
        <w:t xml:space="preserve">e </w:t>
      </w:r>
      <w:r w:rsidR="000C6E15">
        <w:rPr>
          <w:rFonts w:ascii="Times New Roman" w:hAnsi="Times New Roman"/>
          <w:noProof/>
          <w:lang w:val="hr-HR" w:eastAsia="de-DE"/>
        </w:rPr>
        <w:t>tjelesno</w:t>
      </w:r>
      <w:r w:rsidRPr="00155F80">
        <w:rPr>
          <w:rFonts w:ascii="Times New Roman" w:hAnsi="Times New Roman"/>
          <w:noProof/>
          <w:lang w:val="hr-HR" w:eastAsia="de-DE"/>
        </w:rPr>
        <w:t xml:space="preserve"> aktivno, uz 4,3% </w:t>
      </w:r>
      <w:r w:rsidR="000C6E15">
        <w:rPr>
          <w:rFonts w:ascii="Times New Roman" w:hAnsi="Times New Roman"/>
          <w:noProof/>
          <w:lang w:val="hr-HR" w:eastAsia="de-DE"/>
        </w:rPr>
        <w:t>tjelesno</w:t>
      </w:r>
      <w:r w:rsidRPr="00155F80">
        <w:rPr>
          <w:rFonts w:ascii="Times New Roman" w:hAnsi="Times New Roman"/>
          <w:noProof/>
          <w:lang w:val="hr-HR" w:eastAsia="de-DE"/>
        </w:rPr>
        <w:t xml:space="preserve"> neaktivnih zbog bolesti/invalidnosti. </w:t>
      </w:r>
    </w:p>
    <w:p w:rsidR="00A131AD" w:rsidRPr="00155F80" w:rsidRDefault="00A131AD" w:rsidP="000C0138">
      <w:pPr>
        <w:spacing w:line="276" w:lineRule="auto"/>
        <w:rPr>
          <w:rFonts w:ascii="Times New Roman" w:hAnsi="Times New Roman"/>
          <w:lang w:val="hr-HR"/>
        </w:rPr>
      </w:pPr>
      <w:r w:rsidRPr="00155F80">
        <w:rPr>
          <w:rFonts w:ascii="Times New Roman" w:hAnsi="Times New Roman"/>
          <w:lang w:val="hr-HR"/>
        </w:rPr>
        <w:lastRenderedPageBreak/>
        <w:t xml:space="preserve">Ovo veoma nezadovoljavajuće stanje ukazuje na potrebu iniciranja intersektorskih aktivnosti i primjenu mjera kojima bi se unaprijedila </w:t>
      </w:r>
      <w:r w:rsidR="000C6E15">
        <w:rPr>
          <w:rFonts w:ascii="Times New Roman" w:hAnsi="Times New Roman"/>
          <w:lang w:val="hr-HR"/>
        </w:rPr>
        <w:t>tjelesna</w:t>
      </w:r>
      <w:r w:rsidRPr="00155F80">
        <w:rPr>
          <w:rFonts w:ascii="Times New Roman" w:hAnsi="Times New Roman"/>
          <w:lang w:val="hr-HR"/>
        </w:rPr>
        <w:t xml:space="preserve"> aktivnost u populaciji odraslih.  </w:t>
      </w:r>
    </w:p>
    <w:p w:rsidR="00A131AD" w:rsidRPr="00155F80" w:rsidRDefault="00A131AD" w:rsidP="000C0138">
      <w:pPr>
        <w:spacing w:line="276" w:lineRule="auto"/>
        <w:rPr>
          <w:rFonts w:ascii="Times New Roman" w:hAnsi="Times New Roman"/>
          <w:lang w:val="hr-HR"/>
        </w:rPr>
      </w:pPr>
    </w:p>
    <w:p w:rsidR="00A131AD" w:rsidRPr="00155F80" w:rsidRDefault="00A131AD" w:rsidP="000C0138">
      <w:pPr>
        <w:spacing w:line="276" w:lineRule="auto"/>
        <w:rPr>
          <w:rFonts w:ascii="Times New Roman" w:hAnsi="Times New Roman"/>
          <w:b/>
        </w:rPr>
      </w:pPr>
      <w:r w:rsidRPr="00155F80">
        <w:rPr>
          <w:rFonts w:ascii="Times New Roman" w:hAnsi="Times New Roman"/>
          <w:b/>
        </w:rPr>
        <w:t xml:space="preserve">Djeca </w:t>
      </w:r>
    </w:p>
    <w:p w:rsidR="00A131AD" w:rsidRPr="00155F80" w:rsidRDefault="00A131AD" w:rsidP="000C0138">
      <w:pPr>
        <w:spacing w:line="276" w:lineRule="auto"/>
        <w:rPr>
          <w:rFonts w:ascii="Times New Roman" w:hAnsi="Times New Roman"/>
        </w:rPr>
      </w:pPr>
    </w:p>
    <w:p w:rsidR="00A131AD" w:rsidRDefault="000C6E15" w:rsidP="00C63C62">
      <w:pPr>
        <w:pStyle w:val="BodyText"/>
        <w:spacing w:after="0" w:line="276" w:lineRule="auto"/>
        <w:rPr>
          <w:rFonts w:ascii="Times New Roman" w:hAnsi="Times New Roman"/>
        </w:rPr>
      </w:pPr>
      <w:r>
        <w:rPr>
          <w:rFonts w:ascii="Times New Roman" w:hAnsi="Times New Roman"/>
        </w:rPr>
        <w:t>Pre</w:t>
      </w:r>
      <w:r w:rsidR="00A131AD" w:rsidRPr="00155F80">
        <w:rPr>
          <w:rFonts w:ascii="Times New Roman" w:hAnsi="Times New Roman"/>
        </w:rPr>
        <w:t>hrana kao jedna od glavnih determinanti zdravlja ima posebnu važnost u najranijoj dobi, kako za rast i razvoj te  zdravlje u dječjoj dobi, tako i za zdravs</w:t>
      </w:r>
      <w:r w:rsidR="001935FA" w:rsidRPr="00155F80">
        <w:rPr>
          <w:rFonts w:ascii="Times New Roman" w:hAnsi="Times New Roman"/>
        </w:rPr>
        <w:t xml:space="preserve">tvene ishode u odrasloj dobi. </w:t>
      </w:r>
      <w:r w:rsidR="00A131AD" w:rsidRPr="00155F80">
        <w:rPr>
          <w:rFonts w:ascii="Times New Roman" w:hAnsi="Times New Roman"/>
        </w:rPr>
        <w:t>Smanjenje svih formi malnutricije među djecom uzrasta 0-5</w:t>
      </w:r>
      <w:r w:rsidR="00E61F0C">
        <w:rPr>
          <w:rFonts w:ascii="Times New Roman" w:hAnsi="Times New Roman"/>
        </w:rPr>
        <w:t xml:space="preserve"> </w:t>
      </w:r>
      <w:r w:rsidR="00A131AD" w:rsidRPr="00155F80">
        <w:rPr>
          <w:rFonts w:ascii="Times New Roman" w:hAnsi="Times New Roman"/>
        </w:rPr>
        <w:t>godina do 2030</w:t>
      </w:r>
      <w:r w:rsidR="00CB1772">
        <w:rPr>
          <w:rFonts w:ascii="Times New Roman" w:hAnsi="Times New Roman"/>
        </w:rPr>
        <w:t>.</w:t>
      </w:r>
      <w:r w:rsidR="00A131AD" w:rsidRPr="00155F80">
        <w:rPr>
          <w:rFonts w:ascii="Times New Roman" w:hAnsi="Times New Roman"/>
        </w:rPr>
        <w:t xml:space="preserve"> godine jedan od Milenijumskih ciljeva održivog razvoja. </w:t>
      </w:r>
    </w:p>
    <w:p w:rsidR="00C63C62" w:rsidRPr="00155F80" w:rsidRDefault="00C63C62" w:rsidP="00C63C62">
      <w:pPr>
        <w:pStyle w:val="BodyText"/>
        <w:spacing w:after="0" w:line="276" w:lineRule="auto"/>
        <w:rPr>
          <w:rFonts w:ascii="Times New Roman" w:hAnsi="Times New Roman"/>
        </w:rPr>
      </w:pPr>
    </w:p>
    <w:p w:rsidR="00A131AD" w:rsidRPr="00155F80" w:rsidRDefault="00A131AD" w:rsidP="000C0138">
      <w:pPr>
        <w:spacing w:line="276" w:lineRule="auto"/>
        <w:rPr>
          <w:rFonts w:ascii="Times New Roman" w:hAnsi="Times New Roman"/>
        </w:rPr>
      </w:pPr>
      <w:r w:rsidRPr="00155F80">
        <w:rPr>
          <w:rFonts w:ascii="Times New Roman" w:hAnsi="Times New Roman"/>
        </w:rPr>
        <w:t>Iako je na području Federacije Bosne i Hercegovine pothranjenost bila vodeća forma malnutricije dugi niz godina, u pos</w:t>
      </w:r>
      <w:r w:rsidR="001935FA" w:rsidRPr="00155F80">
        <w:rPr>
          <w:rFonts w:ascii="Times New Roman" w:hAnsi="Times New Roman"/>
        </w:rPr>
        <w:t>ljednjih dvadest godina, u popu</w:t>
      </w:r>
      <w:r w:rsidRPr="00155F80">
        <w:rPr>
          <w:rFonts w:ascii="Times New Roman" w:hAnsi="Times New Roman"/>
        </w:rPr>
        <w:t>l</w:t>
      </w:r>
      <w:r w:rsidR="001935FA" w:rsidRPr="00155F80">
        <w:rPr>
          <w:rFonts w:ascii="Times New Roman" w:hAnsi="Times New Roman"/>
        </w:rPr>
        <w:t>a</w:t>
      </w:r>
      <w:r w:rsidRPr="00155F80">
        <w:rPr>
          <w:rFonts w:ascii="Times New Roman" w:hAnsi="Times New Roman"/>
        </w:rPr>
        <w:t xml:space="preserve">ciji  dojenčadi i male djece, sve forme pothranjenosti se bilježe se u veoma malim procentima.  </w:t>
      </w:r>
    </w:p>
    <w:p w:rsidR="00A131AD" w:rsidRPr="00155F80" w:rsidRDefault="00A131AD" w:rsidP="000C0138">
      <w:pPr>
        <w:spacing w:line="276" w:lineRule="auto"/>
        <w:rPr>
          <w:rFonts w:ascii="Times New Roman" w:hAnsi="Times New Roman"/>
        </w:rPr>
      </w:pPr>
      <w:r w:rsidRPr="00155F80">
        <w:rPr>
          <w:rFonts w:ascii="Times New Roman" w:hAnsi="Times New Roman"/>
        </w:rPr>
        <w:t>Poda</w:t>
      </w:r>
      <w:r w:rsidR="000C6E15">
        <w:rPr>
          <w:rFonts w:ascii="Times New Roman" w:hAnsi="Times New Roman"/>
        </w:rPr>
        <w:t>t</w:t>
      </w:r>
      <w:r w:rsidRPr="00155F80">
        <w:rPr>
          <w:rFonts w:ascii="Times New Roman" w:hAnsi="Times New Roman"/>
        </w:rPr>
        <w:t>ci dobiveni MICS istraživanjem iz 2012</w:t>
      </w:r>
      <w:r w:rsidR="00CB1772">
        <w:rPr>
          <w:rFonts w:ascii="Times New Roman" w:hAnsi="Times New Roman"/>
        </w:rPr>
        <w:t>.</w:t>
      </w:r>
      <w:r w:rsidRPr="00155F80">
        <w:rPr>
          <w:rFonts w:ascii="Times New Roman" w:hAnsi="Times New Roman"/>
        </w:rPr>
        <w:t xml:space="preserve"> godine pokazali su da je pothranj</w:t>
      </w:r>
      <w:r w:rsidR="00E61F0C">
        <w:rPr>
          <w:rFonts w:ascii="Times New Roman" w:hAnsi="Times New Roman"/>
        </w:rPr>
        <w:t>eno bilo 2% djece, od čega je 1,</w:t>
      </w:r>
      <w:r w:rsidRPr="00155F80">
        <w:rPr>
          <w:rFonts w:ascii="Times New Roman" w:hAnsi="Times New Roman"/>
        </w:rPr>
        <w:t xml:space="preserve">2%  ozbiljno pothranjeno (težina/dob &gt;3SD). Posebno </w:t>
      </w:r>
      <w:r w:rsidR="000C6E15">
        <w:rPr>
          <w:rFonts w:ascii="Times New Roman" w:hAnsi="Times New Roman"/>
        </w:rPr>
        <w:t>vulnerabilnom</w:t>
      </w:r>
      <w:r w:rsidRPr="00155F80">
        <w:rPr>
          <w:rFonts w:ascii="Times New Roman" w:hAnsi="Times New Roman"/>
        </w:rPr>
        <w:t xml:space="preserve"> se pokazala populacija Romske djece, pothranjenih je bilo 8,8%, od čega je 2,4% bilo ozbiljno pothranjeno.</w:t>
      </w:r>
    </w:p>
    <w:p w:rsidR="00A131AD" w:rsidRPr="00155F80" w:rsidRDefault="00A131AD" w:rsidP="000C0138">
      <w:pPr>
        <w:spacing w:line="276" w:lineRule="auto"/>
        <w:rPr>
          <w:rFonts w:ascii="Times New Roman" w:hAnsi="Times New Roman"/>
        </w:rPr>
      </w:pPr>
      <w:r w:rsidRPr="00155F80">
        <w:rPr>
          <w:rFonts w:ascii="Times New Roman" w:hAnsi="Times New Roman"/>
        </w:rPr>
        <w:t xml:space="preserve"> </w:t>
      </w:r>
    </w:p>
    <w:p w:rsidR="00A131AD" w:rsidRPr="00155F80" w:rsidRDefault="00A131AD" w:rsidP="000C0138">
      <w:pPr>
        <w:spacing w:line="276" w:lineRule="auto"/>
        <w:rPr>
          <w:rFonts w:ascii="Times New Roman" w:hAnsi="Times New Roman"/>
        </w:rPr>
      </w:pPr>
      <w:r w:rsidRPr="00155F80">
        <w:rPr>
          <w:rFonts w:ascii="Times New Roman" w:hAnsi="Times New Roman"/>
        </w:rPr>
        <w:t>Nadal</w:t>
      </w:r>
      <w:r w:rsidR="00E61F0C">
        <w:rPr>
          <w:rFonts w:ascii="Times New Roman" w:hAnsi="Times New Roman"/>
        </w:rPr>
        <w:t>je se pokazalo da je 9,</w:t>
      </w:r>
      <w:r w:rsidR="001935FA" w:rsidRPr="00155F80">
        <w:rPr>
          <w:rFonts w:ascii="Times New Roman" w:hAnsi="Times New Roman"/>
        </w:rPr>
        <w:t>9% djece</w:t>
      </w:r>
      <w:r w:rsidR="00E61F0C">
        <w:rPr>
          <w:rFonts w:ascii="Times New Roman" w:hAnsi="Times New Roman"/>
        </w:rPr>
        <w:t xml:space="preserve"> zaostalo u rastu, od čega je 4,</w:t>
      </w:r>
      <w:r w:rsidRPr="00155F80">
        <w:rPr>
          <w:rFonts w:ascii="Times New Roman" w:hAnsi="Times New Roman"/>
        </w:rPr>
        <w:t>6% ozb</w:t>
      </w:r>
      <w:r w:rsidR="001935FA" w:rsidRPr="00155F80">
        <w:rPr>
          <w:rFonts w:ascii="Times New Roman" w:hAnsi="Times New Roman"/>
        </w:rPr>
        <w:t>i</w:t>
      </w:r>
      <w:r w:rsidRPr="00155F80">
        <w:rPr>
          <w:rFonts w:ascii="Times New Roman" w:hAnsi="Times New Roman"/>
        </w:rPr>
        <w:t xml:space="preserve">ljno zaostalo u rastu (visina/dob &gt;3SD), Među Romskom djecom njih 21,1% je zaostalo u rastu, od čega 8% ozbljno.  </w:t>
      </w:r>
    </w:p>
    <w:p w:rsidR="00A131AD" w:rsidRPr="00155F80" w:rsidRDefault="00E61F0C" w:rsidP="000C0138">
      <w:pPr>
        <w:pStyle w:val="BodyText"/>
        <w:spacing w:line="276" w:lineRule="auto"/>
        <w:rPr>
          <w:rFonts w:ascii="Times New Roman" w:hAnsi="Times New Roman"/>
          <w:lang w:val="hr-HR"/>
        </w:rPr>
      </w:pPr>
      <w:r>
        <w:rPr>
          <w:rFonts w:ascii="Times New Roman" w:hAnsi="Times New Roman"/>
        </w:rPr>
        <w:t>Ukupno 2,</w:t>
      </w:r>
      <w:r w:rsidR="00A131AD" w:rsidRPr="00155F80">
        <w:rPr>
          <w:rFonts w:ascii="Times New Roman" w:hAnsi="Times New Roman"/>
        </w:rPr>
        <w:t>6% dje</w:t>
      </w:r>
      <w:r>
        <w:rPr>
          <w:rFonts w:ascii="Times New Roman" w:hAnsi="Times New Roman"/>
        </w:rPr>
        <w:t>ce je bilo mršavo, od čega je 2,</w:t>
      </w:r>
      <w:r w:rsidR="00A131AD" w:rsidRPr="00155F80">
        <w:rPr>
          <w:rFonts w:ascii="Times New Roman" w:hAnsi="Times New Roman"/>
        </w:rPr>
        <w:t>0% ozbiljno mršavo (težina/visina &gt;3SD).  Više</w:t>
      </w:r>
      <w:r w:rsidR="001935FA" w:rsidRPr="00155F80">
        <w:rPr>
          <w:rFonts w:ascii="Times New Roman" w:hAnsi="Times New Roman"/>
        </w:rPr>
        <w:t xml:space="preserve"> je mršavih nađeno među Romskom</w:t>
      </w:r>
      <w:r w:rsidR="00A131AD" w:rsidRPr="00155F80">
        <w:rPr>
          <w:rFonts w:ascii="Times New Roman" w:hAnsi="Times New Roman"/>
        </w:rPr>
        <w:t xml:space="preserve"> djecom</w:t>
      </w:r>
      <w:r w:rsidR="00CB1772">
        <w:rPr>
          <w:rFonts w:ascii="Times New Roman" w:hAnsi="Times New Roman"/>
        </w:rPr>
        <w:t xml:space="preserve">: </w:t>
      </w:r>
      <w:r>
        <w:rPr>
          <w:rFonts w:ascii="Times New Roman" w:hAnsi="Times New Roman"/>
        </w:rPr>
        <w:t>8,</w:t>
      </w:r>
      <w:r w:rsidR="00A131AD" w:rsidRPr="00155F80">
        <w:rPr>
          <w:rFonts w:ascii="Times New Roman" w:hAnsi="Times New Roman"/>
        </w:rPr>
        <w:t>3%, od čega je ozbiljno mršavo bilo 3,5% djece (težina/visina &gt;3SD).</w:t>
      </w:r>
    </w:p>
    <w:p w:rsidR="00A131AD" w:rsidRPr="00155F80" w:rsidRDefault="00A131AD" w:rsidP="000C0138">
      <w:pPr>
        <w:spacing w:line="276" w:lineRule="auto"/>
        <w:rPr>
          <w:rFonts w:ascii="Times New Roman" w:hAnsi="Times New Roman"/>
          <w:b/>
        </w:rPr>
      </w:pPr>
      <w:r w:rsidRPr="00155F80">
        <w:rPr>
          <w:rFonts w:ascii="Times New Roman" w:hAnsi="Times New Roman"/>
        </w:rPr>
        <w:t xml:space="preserve">Stanje uhranjenosti u odnosu na ova tri pokazatelja najlošije je u </w:t>
      </w:r>
      <w:r w:rsidR="000C6E15">
        <w:rPr>
          <w:rFonts w:ascii="Times New Roman" w:hAnsi="Times New Roman"/>
        </w:rPr>
        <w:t>dobnoj</w:t>
      </w:r>
      <w:r w:rsidRPr="00155F80">
        <w:rPr>
          <w:rFonts w:ascii="Times New Roman" w:hAnsi="Times New Roman"/>
        </w:rPr>
        <w:t xml:space="preserve"> podgrupi 0 do 11 mjeseci  što se može povezati sa nezadovljavajućom praksom do</w:t>
      </w:r>
      <w:r w:rsidR="00CB1772">
        <w:rPr>
          <w:rFonts w:ascii="Times New Roman" w:hAnsi="Times New Roman"/>
        </w:rPr>
        <w:t>jenja i neadekvatnom nadohranom. (6)</w:t>
      </w:r>
    </w:p>
    <w:p w:rsidR="00A131AD" w:rsidRPr="00155F80" w:rsidRDefault="00A131AD" w:rsidP="000C0138">
      <w:pPr>
        <w:spacing w:line="276" w:lineRule="auto"/>
        <w:rPr>
          <w:rFonts w:ascii="Times New Roman" w:hAnsi="Times New Roman"/>
        </w:rPr>
      </w:pPr>
    </w:p>
    <w:p w:rsidR="00A131AD" w:rsidRPr="00155F80" w:rsidRDefault="00A131AD" w:rsidP="000C0138">
      <w:pPr>
        <w:spacing w:line="276" w:lineRule="auto"/>
        <w:rPr>
          <w:rFonts w:ascii="Times New Roman" w:hAnsi="Times New Roman"/>
        </w:rPr>
      </w:pPr>
      <w:r w:rsidRPr="00155F80">
        <w:rPr>
          <w:rFonts w:ascii="Times New Roman" w:hAnsi="Times New Roman"/>
        </w:rPr>
        <w:t xml:space="preserve">Iz donjeg grafikona je vidljivo da u </w:t>
      </w:r>
      <w:r w:rsidR="000C6E15">
        <w:rPr>
          <w:rFonts w:ascii="Times New Roman" w:hAnsi="Times New Roman"/>
        </w:rPr>
        <w:t>razdoblju</w:t>
      </w:r>
      <w:r w:rsidRPr="00155F80">
        <w:rPr>
          <w:rFonts w:ascii="Times New Roman" w:hAnsi="Times New Roman"/>
        </w:rPr>
        <w:t xml:space="preserve">  2000</w:t>
      </w:r>
      <w:r w:rsidR="00CB1772">
        <w:rPr>
          <w:rFonts w:ascii="Times New Roman" w:hAnsi="Times New Roman"/>
        </w:rPr>
        <w:t>.-</w:t>
      </w:r>
      <w:r w:rsidRPr="00155F80">
        <w:rPr>
          <w:rFonts w:ascii="Times New Roman" w:hAnsi="Times New Roman"/>
        </w:rPr>
        <w:t xml:space="preserve"> 2012</w:t>
      </w:r>
      <w:r w:rsidR="00CB1772">
        <w:rPr>
          <w:rFonts w:ascii="Times New Roman" w:hAnsi="Times New Roman"/>
        </w:rPr>
        <w:t>.</w:t>
      </w:r>
      <w:r w:rsidR="00EC077A">
        <w:rPr>
          <w:rFonts w:ascii="Times New Roman" w:hAnsi="Times New Roman"/>
        </w:rPr>
        <w:t xml:space="preserve"> godina</w:t>
      </w:r>
      <w:r w:rsidRPr="00155F80">
        <w:rPr>
          <w:rFonts w:ascii="Times New Roman" w:hAnsi="Times New Roman"/>
        </w:rPr>
        <w:t xml:space="preserve">, mršavost i pothranjenost bilježe trend pada, dok je zakržljalost koja je odraz </w:t>
      </w:r>
      <w:r w:rsidR="000C6E15">
        <w:rPr>
          <w:rFonts w:ascii="Times New Roman" w:hAnsi="Times New Roman"/>
        </w:rPr>
        <w:t>k</w:t>
      </w:r>
      <w:r w:rsidRPr="00155F80">
        <w:rPr>
          <w:rFonts w:ascii="Times New Roman" w:hAnsi="Times New Roman"/>
        </w:rPr>
        <w:t xml:space="preserve">ronično nedostatne </w:t>
      </w:r>
      <w:r w:rsidR="000C6E15">
        <w:rPr>
          <w:rFonts w:ascii="Times New Roman" w:hAnsi="Times New Roman"/>
        </w:rPr>
        <w:t>pre</w:t>
      </w:r>
      <w:r w:rsidRPr="00155F80">
        <w:rPr>
          <w:rFonts w:ascii="Times New Roman" w:hAnsi="Times New Roman"/>
        </w:rPr>
        <w:t>hrane, u laganom porastu, a ovo se također može povezati sa poda</w:t>
      </w:r>
      <w:r w:rsidR="000C6E15">
        <w:rPr>
          <w:rFonts w:ascii="Times New Roman" w:hAnsi="Times New Roman"/>
        </w:rPr>
        <w:t>t</w:t>
      </w:r>
      <w:r w:rsidRPr="00155F80">
        <w:rPr>
          <w:rFonts w:ascii="Times New Roman" w:hAnsi="Times New Roman"/>
        </w:rPr>
        <w:t xml:space="preserve">cima o nezadovoljavajućoj praksi dojenja i neadekvatnoj nadohrani,  te nezadovoljavajućim prehrambenim navikama. </w:t>
      </w:r>
    </w:p>
    <w:p w:rsidR="00E61F0C" w:rsidRPr="00155F80" w:rsidRDefault="00E61F0C" w:rsidP="000C0138">
      <w:pPr>
        <w:spacing w:line="276" w:lineRule="auto"/>
        <w:rPr>
          <w:rFonts w:ascii="Times New Roman" w:hAnsi="Times New Roman"/>
          <w:b/>
          <w:color w:val="FF0000"/>
        </w:rPr>
      </w:pPr>
    </w:p>
    <w:p w:rsidR="00A131AD" w:rsidRPr="00155F80" w:rsidRDefault="00A131AD" w:rsidP="00B37E7E">
      <w:pPr>
        <w:pStyle w:val="refererere"/>
      </w:pPr>
      <w:r w:rsidRPr="00155F80">
        <w:t>Grafikon  72:</w:t>
      </w:r>
      <w:r w:rsidRPr="00155F80">
        <w:rPr>
          <w:color w:val="FF0000"/>
        </w:rPr>
        <w:t xml:space="preserve"> </w:t>
      </w:r>
      <w:r w:rsidRPr="00155F80">
        <w:t>Stanje uhranjenosti - pothranjenost dojenčadi i male djece (0-5 godina) u Federaciji BiH, MICS 2000., 2006. i 2012. godina</w:t>
      </w:r>
    </w:p>
    <w:p w:rsidR="00A131AD" w:rsidRPr="00155F80" w:rsidRDefault="00A131AD" w:rsidP="000C0138">
      <w:pPr>
        <w:spacing w:line="276" w:lineRule="auto"/>
        <w:jc w:val="center"/>
        <w:rPr>
          <w:rFonts w:ascii="Times New Roman" w:hAnsi="Times New Roman"/>
        </w:rPr>
      </w:pPr>
      <w:r w:rsidRPr="00155F80">
        <w:rPr>
          <w:rFonts w:ascii="Times New Roman" w:hAnsi="Times New Roman"/>
          <w:noProof/>
          <w:lang w:val="bs-Latn-BA" w:eastAsia="bs-Latn-BA"/>
        </w:rPr>
        <w:drawing>
          <wp:inline distT="0" distB="0" distL="0" distR="0" wp14:anchorId="14D72E80" wp14:editId="1E1FA012">
            <wp:extent cx="5842000" cy="2137410"/>
            <wp:effectExtent l="0" t="0" r="6350" b="15240"/>
            <wp:docPr id="101"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rsidR="00A131AD" w:rsidRPr="00155F80" w:rsidRDefault="00A131AD" w:rsidP="000C0138">
      <w:pPr>
        <w:spacing w:line="276" w:lineRule="auto"/>
        <w:rPr>
          <w:rFonts w:ascii="Times New Roman" w:hAnsi="Times New Roman"/>
          <w:lang w:val="hr-HR"/>
        </w:rPr>
      </w:pPr>
    </w:p>
    <w:p w:rsidR="00A131AD" w:rsidRDefault="00A131AD" w:rsidP="000C0138">
      <w:pPr>
        <w:spacing w:line="276" w:lineRule="auto"/>
        <w:rPr>
          <w:rFonts w:ascii="Times New Roman" w:hAnsi="Times New Roman"/>
        </w:rPr>
      </w:pPr>
      <w:r w:rsidRPr="00155F80">
        <w:rPr>
          <w:rFonts w:ascii="Times New Roman" w:hAnsi="Times New Roman"/>
          <w:lang w:val="hr-HR"/>
        </w:rPr>
        <w:t>Kada je u pitanju druga forma malnutricije problem je prominentan - 17</w:t>
      </w:r>
      <w:r w:rsidRPr="00155F80">
        <w:rPr>
          <w:rFonts w:ascii="Times New Roman" w:hAnsi="Times New Roman"/>
        </w:rPr>
        <w:t>,7</w:t>
      </w:r>
      <w:r w:rsidR="00E61F0C">
        <w:rPr>
          <w:rFonts w:ascii="Times New Roman" w:hAnsi="Times New Roman"/>
          <w:lang w:val="hr-HR"/>
        </w:rPr>
        <w:t>% djece starosti 0-5 godina u F</w:t>
      </w:r>
      <w:r w:rsidRPr="00155F80">
        <w:rPr>
          <w:rFonts w:ascii="Times New Roman" w:hAnsi="Times New Roman"/>
          <w:lang w:val="hr-HR"/>
        </w:rPr>
        <w:t>BiH je prekomjerno teško.</w:t>
      </w:r>
      <w:r w:rsidRPr="00155F80">
        <w:rPr>
          <w:rFonts w:ascii="Times New Roman" w:hAnsi="Times New Roman"/>
        </w:rPr>
        <w:t xml:space="preserve"> Najviši procenti prekomjerne uhranjenosti se bilježe među djecom u dobnoj pogr</w:t>
      </w:r>
      <w:r w:rsidR="00E61F0C">
        <w:rPr>
          <w:rFonts w:ascii="Times New Roman" w:hAnsi="Times New Roman"/>
        </w:rPr>
        <w:t>upi od 12 do 23 mjeseca, čak 26,</w:t>
      </w:r>
      <w:r w:rsidRPr="00155F80">
        <w:rPr>
          <w:rFonts w:ascii="Times New Roman" w:hAnsi="Times New Roman"/>
        </w:rPr>
        <w:t xml:space="preserve">9%. </w:t>
      </w:r>
    </w:p>
    <w:p w:rsidR="00C63C62" w:rsidRPr="00155F80" w:rsidRDefault="00C63C62" w:rsidP="000C0138">
      <w:pPr>
        <w:spacing w:line="276" w:lineRule="auto"/>
        <w:rPr>
          <w:rFonts w:ascii="Times New Roman" w:hAnsi="Times New Roman"/>
        </w:rPr>
      </w:pPr>
    </w:p>
    <w:p w:rsidR="00A131AD" w:rsidRPr="00155F80" w:rsidRDefault="00A131AD" w:rsidP="000C0138">
      <w:pPr>
        <w:spacing w:line="276" w:lineRule="auto"/>
        <w:rPr>
          <w:rFonts w:ascii="Times New Roman" w:hAnsi="Times New Roman"/>
        </w:rPr>
      </w:pPr>
      <w:r w:rsidRPr="00155F80">
        <w:rPr>
          <w:rFonts w:ascii="Times New Roman" w:hAnsi="Times New Roman"/>
        </w:rPr>
        <w:t xml:space="preserve">U populaciji Romske djece prekomjerno uhranjenih je 7%, najviše u dobnoj skupini 48-59 mjeseci, 11,1%. </w:t>
      </w:r>
    </w:p>
    <w:p w:rsidR="00A131AD" w:rsidRPr="00155F80" w:rsidRDefault="00A131AD" w:rsidP="000C0138">
      <w:pPr>
        <w:spacing w:line="276" w:lineRule="auto"/>
        <w:rPr>
          <w:rFonts w:ascii="Times New Roman" w:hAnsi="Times New Roman"/>
        </w:rPr>
      </w:pPr>
      <w:r w:rsidRPr="00155F80">
        <w:rPr>
          <w:rFonts w:ascii="Times New Roman" w:hAnsi="Times New Roman"/>
        </w:rPr>
        <w:t xml:space="preserve">A kada su u pitanju prehrambene navike, indikatori prakse dojenja i nadohrane koreliraju sa nezadovoljavajućim stanjem uhranjenosti. </w:t>
      </w:r>
    </w:p>
    <w:p w:rsidR="00A131AD" w:rsidRPr="00155F80" w:rsidRDefault="00E61F0C" w:rsidP="000C0138">
      <w:pPr>
        <w:spacing w:line="276" w:lineRule="auto"/>
        <w:rPr>
          <w:rFonts w:ascii="Times New Roman" w:hAnsi="Times New Roman"/>
        </w:rPr>
      </w:pPr>
      <w:r>
        <w:rPr>
          <w:rFonts w:ascii="Times New Roman" w:hAnsi="Times New Roman"/>
        </w:rPr>
        <w:t>Samo 51,</w:t>
      </w:r>
      <w:r w:rsidR="00A131AD" w:rsidRPr="00155F80">
        <w:rPr>
          <w:rFonts w:ascii="Times New Roman" w:hAnsi="Times New Roman"/>
        </w:rPr>
        <w:t>5% novorođene djece je po prvi put dojeno u roku od jednog sata nakon rođenja, a dojenje započinje  u roku od jednog dana od rođenja  8</w:t>
      </w:r>
      <w:r>
        <w:rPr>
          <w:rFonts w:ascii="Times New Roman" w:hAnsi="Times New Roman"/>
        </w:rPr>
        <w:t>7,</w:t>
      </w:r>
      <w:r w:rsidR="00A131AD" w:rsidRPr="00155F80">
        <w:rPr>
          <w:rFonts w:ascii="Times New Roman" w:hAnsi="Times New Roman"/>
        </w:rPr>
        <w:t xml:space="preserve">3% novorođenčadi u Federaciji Bosne i Hercegovine. </w:t>
      </w:r>
    </w:p>
    <w:p w:rsidR="00A131AD" w:rsidRPr="00155F80" w:rsidRDefault="00E61F0C" w:rsidP="000C0138">
      <w:pPr>
        <w:spacing w:line="276" w:lineRule="auto"/>
        <w:rPr>
          <w:rFonts w:ascii="Times New Roman" w:hAnsi="Times New Roman"/>
        </w:rPr>
      </w:pPr>
      <w:r>
        <w:rPr>
          <w:rFonts w:ascii="Times New Roman" w:hAnsi="Times New Roman"/>
        </w:rPr>
        <w:t>Ukupno 95,</w:t>
      </w:r>
      <w:r w:rsidR="00A131AD" w:rsidRPr="00155F80">
        <w:rPr>
          <w:rFonts w:ascii="Times New Roman" w:hAnsi="Times New Roman"/>
        </w:rPr>
        <w:t xml:space="preserve">2% djece rođene u </w:t>
      </w:r>
      <w:r w:rsidR="00DD6BE7">
        <w:rPr>
          <w:rFonts w:ascii="Times New Roman" w:hAnsi="Times New Roman"/>
        </w:rPr>
        <w:t>razdoblju</w:t>
      </w:r>
      <w:r w:rsidR="00A131AD" w:rsidRPr="00155F80">
        <w:rPr>
          <w:rFonts w:ascii="Times New Roman" w:hAnsi="Times New Roman"/>
        </w:rPr>
        <w:t xml:space="preserve"> od dvije godine prije istraživanja je barem jednom dojeno.</w:t>
      </w:r>
    </w:p>
    <w:p w:rsidR="00A131AD" w:rsidRPr="00155F80" w:rsidRDefault="00E61F0C" w:rsidP="000C0138">
      <w:pPr>
        <w:spacing w:line="276" w:lineRule="auto"/>
        <w:rPr>
          <w:rFonts w:ascii="Times New Roman" w:hAnsi="Times New Roman"/>
        </w:rPr>
      </w:pPr>
      <w:r>
        <w:rPr>
          <w:rFonts w:ascii="Times New Roman" w:hAnsi="Times New Roman"/>
        </w:rPr>
        <w:t>Isključivo doji 15,</w:t>
      </w:r>
      <w:r w:rsidR="00A131AD" w:rsidRPr="00155F80">
        <w:rPr>
          <w:rFonts w:ascii="Times New Roman" w:hAnsi="Times New Roman"/>
        </w:rPr>
        <w:t xml:space="preserve">1% djece ispod 6 mjeseci, više </w:t>
      </w:r>
      <w:r>
        <w:rPr>
          <w:rFonts w:ascii="Times New Roman" w:hAnsi="Times New Roman"/>
        </w:rPr>
        <w:t>djeca u ruralnim područjima (19,</w:t>
      </w:r>
      <w:r w:rsidR="00A131AD" w:rsidRPr="00155F80">
        <w:rPr>
          <w:rFonts w:ascii="Times New Roman" w:hAnsi="Times New Roman"/>
        </w:rPr>
        <w:t xml:space="preserve">1%). </w:t>
      </w:r>
    </w:p>
    <w:p w:rsidR="00A131AD" w:rsidRPr="00155F80" w:rsidRDefault="00A131AD" w:rsidP="000C0138">
      <w:pPr>
        <w:spacing w:line="276" w:lineRule="auto"/>
        <w:rPr>
          <w:rFonts w:ascii="Times New Roman" w:hAnsi="Times New Roman"/>
        </w:rPr>
      </w:pPr>
      <w:r w:rsidRPr="00155F80">
        <w:rPr>
          <w:rFonts w:ascii="Times New Roman" w:hAnsi="Times New Roman"/>
        </w:rPr>
        <w:t>Pretežno dojenje podrazumijeva da djeca uz majčino mlijeko, dobiva</w:t>
      </w:r>
      <w:r w:rsidR="00E61F0C">
        <w:rPr>
          <w:rFonts w:ascii="Times New Roman" w:hAnsi="Times New Roman"/>
        </w:rPr>
        <w:t>ju i druge tečnosti ili hranu:</w:t>
      </w:r>
      <w:r w:rsidRPr="00155F80">
        <w:rPr>
          <w:rFonts w:ascii="Times New Roman" w:hAnsi="Times New Roman"/>
        </w:rPr>
        <w:t xml:space="preserve"> 42% djece u dobi ispod 6 mjeseci je pretežno dojeno, a u dobi od od 12-15 mjeseci, još uvijek doji 13.2% djece.</w:t>
      </w:r>
    </w:p>
    <w:p w:rsidR="00A131AD" w:rsidRDefault="00A131AD" w:rsidP="000C0138">
      <w:pPr>
        <w:spacing w:line="276" w:lineRule="auto"/>
        <w:rPr>
          <w:rFonts w:ascii="Times New Roman" w:hAnsi="Times New Roman"/>
        </w:rPr>
      </w:pPr>
      <w:r w:rsidRPr="00155F80">
        <w:rPr>
          <w:rFonts w:ascii="Times New Roman" w:hAnsi="Times New Roman"/>
        </w:rPr>
        <w:t>Procenat djece u dobi 6-23 mjeseca koja su hranjena s</w:t>
      </w:r>
      <w:r w:rsidR="00DD6BE7">
        <w:rPr>
          <w:rFonts w:ascii="Times New Roman" w:hAnsi="Times New Roman"/>
        </w:rPr>
        <w:t>u</w:t>
      </w:r>
      <w:r w:rsidRPr="00155F80">
        <w:rPr>
          <w:rFonts w:ascii="Times New Roman" w:hAnsi="Times New Roman"/>
        </w:rPr>
        <w:t>klad</w:t>
      </w:r>
      <w:r w:rsidR="00DD6BE7">
        <w:rPr>
          <w:rFonts w:ascii="Times New Roman" w:hAnsi="Times New Roman"/>
        </w:rPr>
        <w:t>no</w:t>
      </w:r>
      <w:r w:rsidRPr="00155F80">
        <w:rPr>
          <w:rFonts w:ascii="Times New Roman" w:hAnsi="Times New Roman"/>
        </w:rPr>
        <w:t xml:space="preserve"> </w:t>
      </w:r>
      <w:r w:rsidR="00DD6BE7">
        <w:rPr>
          <w:rFonts w:ascii="Times New Roman" w:hAnsi="Times New Roman"/>
        </w:rPr>
        <w:t>uzrastu</w:t>
      </w:r>
      <w:r w:rsidRPr="00155F80">
        <w:rPr>
          <w:rFonts w:ascii="Times New Roman" w:hAnsi="Times New Roman"/>
        </w:rPr>
        <w:t xml:space="preserve"> (pored dojenja, dijete dobiva čvrstu, polučvrstu ili meku/kašastu hranu) iznosi 21.6%. </w:t>
      </w:r>
    </w:p>
    <w:p w:rsidR="009A5B2B" w:rsidRPr="00155F80" w:rsidRDefault="009A5B2B" w:rsidP="000C0138">
      <w:pPr>
        <w:spacing w:line="276" w:lineRule="auto"/>
        <w:rPr>
          <w:rFonts w:ascii="Times New Roman" w:hAnsi="Times New Roman"/>
        </w:rPr>
      </w:pPr>
    </w:p>
    <w:p w:rsidR="00A131AD" w:rsidRPr="00155F80" w:rsidRDefault="00A131AD" w:rsidP="00B37E7E">
      <w:pPr>
        <w:pStyle w:val="refererere"/>
      </w:pPr>
      <w:r w:rsidRPr="00155F80">
        <w:t>Grafikon 73: Praksa dojenja i nadohrane u Federaciji Bosne i Hercegovine, MICS 2006. i 2012. godina</w:t>
      </w:r>
    </w:p>
    <w:p w:rsidR="00A131AD" w:rsidRPr="00155F80" w:rsidRDefault="00A131AD" w:rsidP="000C0138">
      <w:pPr>
        <w:spacing w:line="276" w:lineRule="auto"/>
        <w:jc w:val="center"/>
        <w:rPr>
          <w:rFonts w:ascii="Times New Roman" w:hAnsi="Times New Roman"/>
        </w:rPr>
      </w:pPr>
      <w:r w:rsidRPr="00155F80">
        <w:rPr>
          <w:rFonts w:ascii="Times New Roman" w:hAnsi="Times New Roman"/>
          <w:noProof/>
          <w:lang w:val="bs-Latn-BA" w:eastAsia="bs-Latn-BA"/>
        </w:rPr>
        <w:drawing>
          <wp:inline distT="0" distB="0" distL="0" distR="0" wp14:anchorId="3E4C9586" wp14:editId="1B111E5B">
            <wp:extent cx="5711825" cy="2243470"/>
            <wp:effectExtent l="0" t="0" r="3175" b="4445"/>
            <wp:docPr id="102"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rsidR="00A131AD" w:rsidRPr="00155F80" w:rsidRDefault="00A131AD" w:rsidP="000C0138">
      <w:pPr>
        <w:spacing w:line="276" w:lineRule="auto"/>
        <w:jc w:val="center"/>
        <w:rPr>
          <w:rFonts w:ascii="Times New Roman" w:hAnsi="Times New Roman"/>
        </w:rPr>
      </w:pPr>
    </w:p>
    <w:p w:rsidR="00A131AD" w:rsidRPr="00155F80" w:rsidRDefault="00A131AD" w:rsidP="000C0138">
      <w:pPr>
        <w:pStyle w:val="BodyText"/>
        <w:spacing w:line="276" w:lineRule="auto"/>
        <w:rPr>
          <w:rFonts w:ascii="Times New Roman" w:hAnsi="Times New Roman"/>
          <w:lang w:val="pl-PL"/>
        </w:rPr>
      </w:pPr>
      <w:r w:rsidRPr="00155F80">
        <w:rPr>
          <w:rFonts w:ascii="Times New Roman" w:hAnsi="Times New Roman"/>
          <w:lang w:val="pl-PL"/>
        </w:rPr>
        <w:t>MICS istraživanje je u 2012</w:t>
      </w:r>
      <w:r w:rsidR="00EC077A">
        <w:rPr>
          <w:rFonts w:ascii="Times New Roman" w:hAnsi="Times New Roman"/>
          <w:lang w:val="pl-PL"/>
        </w:rPr>
        <w:t>.</w:t>
      </w:r>
      <w:r w:rsidRPr="00155F80">
        <w:rPr>
          <w:rFonts w:ascii="Times New Roman" w:hAnsi="Times New Roman"/>
          <w:lang w:val="pl-PL"/>
        </w:rPr>
        <w:t xml:space="preserve"> godini posebno rađeno u Romskoj populaciji, a pokazalo se  da su i u Romskoj populaciji, dojenje i nadohrana zanemareni.</w:t>
      </w:r>
    </w:p>
    <w:p w:rsidR="00A131AD" w:rsidRPr="00155F80" w:rsidRDefault="00A131AD" w:rsidP="000C0138">
      <w:pPr>
        <w:pStyle w:val="BodyText"/>
        <w:spacing w:line="276" w:lineRule="auto"/>
        <w:rPr>
          <w:rFonts w:ascii="Times New Roman" w:hAnsi="Times New Roman"/>
          <w:lang w:val="pl-PL"/>
        </w:rPr>
      </w:pPr>
      <w:r w:rsidRPr="00155F80">
        <w:rPr>
          <w:rFonts w:ascii="Times New Roman" w:hAnsi="Times New Roman"/>
          <w:lang w:val="pl-PL"/>
        </w:rPr>
        <w:t xml:space="preserve">Isključivo doji samo 21,3% djece, kontinuirano doji  u dobi od 12-15 mejseci 42,5% djece, dok u dobi do 20-23 mjeseca, kontinuirano doji 63,9% djece.  </w:t>
      </w:r>
    </w:p>
    <w:p w:rsidR="00A131AD" w:rsidRPr="00155F80" w:rsidRDefault="00A131AD" w:rsidP="000C0138">
      <w:pPr>
        <w:pStyle w:val="BodyText"/>
        <w:spacing w:line="276" w:lineRule="auto"/>
        <w:rPr>
          <w:rFonts w:ascii="Times New Roman" w:hAnsi="Times New Roman"/>
          <w:lang w:val="pl-PL"/>
        </w:rPr>
      </w:pPr>
      <w:r w:rsidRPr="00155F80">
        <w:rPr>
          <w:rFonts w:ascii="Times New Roman" w:hAnsi="Times New Roman"/>
          <w:lang w:val="pl-PL"/>
        </w:rPr>
        <w:t xml:space="preserve">Jedna od mjera koje se provode u okviru intersektorskog programa usmjerenog </w:t>
      </w:r>
      <w:r w:rsidR="00E61F0C">
        <w:rPr>
          <w:rFonts w:ascii="Times New Roman" w:hAnsi="Times New Roman"/>
          <w:lang w:val="pl-PL"/>
        </w:rPr>
        <w:t xml:space="preserve">na </w:t>
      </w:r>
      <w:r w:rsidRPr="00155F80">
        <w:rPr>
          <w:rFonts w:ascii="Times New Roman" w:hAnsi="Times New Roman"/>
          <w:lang w:val="pl-PL"/>
        </w:rPr>
        <w:t>unaprijeđenje zdravlja i dobrobiti Romske populacije, kojeg provodi Federalno ministarstvo za ljudska prava i izbjeglice, Federalno ministarstva zdravst</w:t>
      </w:r>
      <w:r w:rsidR="00E61F0C">
        <w:rPr>
          <w:rFonts w:ascii="Times New Roman" w:hAnsi="Times New Roman"/>
          <w:lang w:val="pl-PL"/>
        </w:rPr>
        <w:t>va i Zavod za javno zdravstvo F</w:t>
      </w:r>
      <w:r w:rsidRPr="00155F80">
        <w:rPr>
          <w:rFonts w:ascii="Times New Roman" w:hAnsi="Times New Roman"/>
          <w:lang w:val="pl-PL"/>
        </w:rPr>
        <w:t xml:space="preserve">BiH, uključuje podizanje svijesti i edukaciju </w:t>
      </w:r>
      <w:r w:rsidR="00412C56">
        <w:rPr>
          <w:rFonts w:ascii="Times New Roman" w:hAnsi="Times New Roman"/>
          <w:lang w:val="pl-PL"/>
        </w:rPr>
        <w:t>u području</w:t>
      </w:r>
      <w:r w:rsidRPr="00155F80">
        <w:rPr>
          <w:rFonts w:ascii="Times New Roman" w:hAnsi="Times New Roman"/>
          <w:lang w:val="pl-PL"/>
        </w:rPr>
        <w:t xml:space="preserve"> </w:t>
      </w:r>
      <w:r w:rsidR="00412C56">
        <w:rPr>
          <w:rFonts w:ascii="Times New Roman" w:hAnsi="Times New Roman"/>
          <w:lang w:val="pl-PL"/>
        </w:rPr>
        <w:t>pre</w:t>
      </w:r>
      <w:r w:rsidRPr="00155F80">
        <w:rPr>
          <w:rFonts w:ascii="Times New Roman" w:hAnsi="Times New Roman"/>
          <w:lang w:val="pl-PL"/>
        </w:rPr>
        <w:t>hrane i tjelesne aktivnosti, sigurnosti hrane, te higijene i sanitacije.</w:t>
      </w:r>
    </w:p>
    <w:p w:rsidR="00A131AD" w:rsidRPr="00155F80" w:rsidRDefault="00A131AD" w:rsidP="000C0138">
      <w:pPr>
        <w:pStyle w:val="BodyText"/>
        <w:spacing w:line="276" w:lineRule="auto"/>
        <w:rPr>
          <w:rFonts w:ascii="Times New Roman" w:hAnsi="Times New Roman"/>
          <w:lang w:val="pl-PL"/>
        </w:rPr>
      </w:pPr>
      <w:r w:rsidRPr="00155F80">
        <w:rPr>
          <w:rFonts w:ascii="Times New Roman" w:hAnsi="Times New Roman"/>
          <w:lang w:val="pl-PL"/>
        </w:rPr>
        <w:t xml:space="preserve">Proces fokusirane akreditacije ginekološko </w:t>
      </w:r>
      <w:r w:rsidR="00412C56">
        <w:rPr>
          <w:rFonts w:ascii="Times New Roman" w:hAnsi="Times New Roman"/>
          <w:lang w:val="pl-PL"/>
        </w:rPr>
        <w:t xml:space="preserve">porodiljnih </w:t>
      </w:r>
      <w:r w:rsidRPr="00155F80">
        <w:rPr>
          <w:rFonts w:ascii="Times New Roman" w:hAnsi="Times New Roman"/>
          <w:lang w:val="pl-PL"/>
        </w:rPr>
        <w:t>službi i ustanova, koje uz pomoć Unicefa i podršku Federalnog ministarstva zdravstva provodi Agencija za akreditaciju i kvalitet</w:t>
      </w:r>
      <w:r w:rsidR="00412C56">
        <w:rPr>
          <w:rFonts w:ascii="Times New Roman" w:hAnsi="Times New Roman"/>
          <w:lang w:val="pl-PL"/>
        </w:rPr>
        <w:t>u</w:t>
      </w:r>
      <w:r w:rsidRPr="00155F80">
        <w:rPr>
          <w:rFonts w:ascii="Times New Roman" w:hAnsi="Times New Roman"/>
          <w:lang w:val="pl-PL"/>
        </w:rPr>
        <w:t xml:space="preserve"> u zdravstvu Federacije BiH,  je nastavljen. </w:t>
      </w:r>
    </w:p>
    <w:p w:rsidR="00A131AD" w:rsidRPr="00155F80" w:rsidRDefault="00A131AD" w:rsidP="000C0138">
      <w:pPr>
        <w:pStyle w:val="BodyText"/>
        <w:spacing w:line="276" w:lineRule="auto"/>
        <w:rPr>
          <w:rFonts w:ascii="Times New Roman" w:hAnsi="Times New Roman"/>
          <w:lang w:val="hr-HR"/>
        </w:rPr>
      </w:pPr>
      <w:r w:rsidRPr="00155F80">
        <w:rPr>
          <w:rFonts w:ascii="Times New Roman" w:hAnsi="Times New Roman"/>
          <w:lang w:val="pl-PL"/>
        </w:rPr>
        <w:t>Do kraja 2015</w:t>
      </w:r>
      <w:r w:rsidR="00EC077A">
        <w:rPr>
          <w:rFonts w:ascii="Times New Roman" w:hAnsi="Times New Roman"/>
          <w:lang w:val="pl-PL"/>
        </w:rPr>
        <w:t>.</w:t>
      </w:r>
      <w:r w:rsidRPr="00155F80">
        <w:rPr>
          <w:rFonts w:ascii="Times New Roman" w:hAnsi="Times New Roman"/>
          <w:lang w:val="pl-PL"/>
        </w:rPr>
        <w:t xml:space="preserve"> godine ukupno 11 bolnica je dobilo naziv „Prijatelji beba”. </w:t>
      </w:r>
    </w:p>
    <w:p w:rsidR="00A131AD" w:rsidRPr="00155F80" w:rsidRDefault="00A131AD" w:rsidP="000C0138">
      <w:pPr>
        <w:spacing w:line="276" w:lineRule="auto"/>
        <w:rPr>
          <w:rFonts w:ascii="Times New Roman" w:hAnsi="Times New Roman"/>
          <w:lang w:val="sr-Latn-BA"/>
        </w:rPr>
      </w:pPr>
      <w:r w:rsidRPr="00155F80">
        <w:rPr>
          <w:rFonts w:ascii="Times New Roman" w:hAnsi="Times New Roman"/>
          <w:lang w:val="sr-Latn-BA"/>
        </w:rPr>
        <w:t xml:space="preserve">Kroz </w:t>
      </w:r>
      <w:r w:rsidRPr="00155F80">
        <w:rPr>
          <w:rFonts w:ascii="Times New Roman" w:hAnsi="Times New Roman"/>
          <w:noProof/>
          <w:lang w:val="hr-HR" w:eastAsia="sr-Latn-BA"/>
        </w:rPr>
        <w:t>Istraživanje o anemiji među djecom i ženama u Federaciji BiH po prvi put su prikupljeni mjereni poda</w:t>
      </w:r>
      <w:r w:rsidR="00412C56">
        <w:rPr>
          <w:rFonts w:ascii="Times New Roman" w:hAnsi="Times New Roman"/>
          <w:noProof/>
          <w:lang w:val="hr-HR" w:eastAsia="sr-Latn-BA"/>
        </w:rPr>
        <w:t>t</w:t>
      </w:r>
      <w:r w:rsidRPr="00155F80">
        <w:rPr>
          <w:rFonts w:ascii="Times New Roman" w:hAnsi="Times New Roman"/>
          <w:noProof/>
          <w:lang w:val="hr-HR" w:eastAsia="sr-Latn-BA"/>
        </w:rPr>
        <w:t xml:space="preserve">ci vezani za </w:t>
      </w:r>
      <w:r w:rsidRPr="00155F80">
        <w:rPr>
          <w:rFonts w:ascii="Times New Roman" w:hAnsi="Times New Roman"/>
          <w:lang w:val="sr-Latn-BA"/>
        </w:rPr>
        <w:t xml:space="preserve">stanje uhranjenosti školske djece. </w:t>
      </w:r>
      <w:r w:rsidR="00E61F0C">
        <w:rPr>
          <w:rFonts w:ascii="Times New Roman" w:hAnsi="Times New Roman"/>
          <w:lang w:val="sr-Latn-BA"/>
        </w:rPr>
        <w:t>(</w:t>
      </w:r>
      <w:r w:rsidR="00A87C61">
        <w:rPr>
          <w:rFonts w:ascii="Times New Roman" w:hAnsi="Times New Roman"/>
          <w:lang w:val="sr-Latn-BA"/>
        </w:rPr>
        <w:t>10)</w:t>
      </w:r>
    </w:p>
    <w:p w:rsidR="00C63C62" w:rsidRDefault="00C63C62" w:rsidP="000C0138">
      <w:pPr>
        <w:spacing w:line="276" w:lineRule="auto"/>
        <w:rPr>
          <w:rFonts w:ascii="Times New Roman" w:hAnsi="Times New Roman"/>
          <w:lang w:val="sr-Latn-BA"/>
        </w:rPr>
      </w:pPr>
    </w:p>
    <w:p w:rsidR="00A131AD" w:rsidRPr="00155F80" w:rsidRDefault="00A131AD" w:rsidP="000C0138">
      <w:pPr>
        <w:spacing w:line="276" w:lineRule="auto"/>
        <w:rPr>
          <w:rFonts w:ascii="Times New Roman" w:hAnsi="Times New Roman"/>
          <w:lang w:val="sr-Latn-BA"/>
        </w:rPr>
      </w:pPr>
      <w:r w:rsidRPr="00155F80">
        <w:rPr>
          <w:rFonts w:ascii="Times New Roman" w:hAnsi="Times New Roman"/>
          <w:lang w:val="sr-Latn-BA"/>
        </w:rPr>
        <w:lastRenderedPageBreak/>
        <w:t xml:space="preserve">I u ovoj dobnoj skupini se pokazalo da pothranjenost u svim formama ne predstavlja problem  - 3,2% djece uzrasta 5-10 godina i 3,5% djece uzrasta 10-15 godina je nisko za dob, 1,2%  </w:t>
      </w:r>
      <w:r w:rsidRPr="00155F80">
        <w:rPr>
          <w:rFonts w:ascii="Times New Roman" w:hAnsi="Times New Roman"/>
          <w:lang w:val="pl-PL"/>
        </w:rPr>
        <w:t>djece</w:t>
      </w:r>
      <w:r w:rsidRPr="00155F80">
        <w:rPr>
          <w:rFonts w:ascii="Times New Roman" w:hAnsi="Times New Roman"/>
          <w:lang w:val="sr-Latn-BA"/>
        </w:rPr>
        <w:t xml:space="preserve">  5-10 </w:t>
      </w:r>
      <w:r w:rsidRPr="00155F80">
        <w:rPr>
          <w:rFonts w:ascii="Times New Roman" w:hAnsi="Times New Roman"/>
          <w:lang w:val="pl-PL"/>
        </w:rPr>
        <w:t>godina je pothranjeno dok  nizak</w:t>
      </w:r>
      <w:r w:rsidRPr="00155F80">
        <w:rPr>
          <w:rFonts w:ascii="Times New Roman" w:hAnsi="Times New Roman"/>
          <w:lang w:val="sr-Latn-BA"/>
        </w:rPr>
        <w:t xml:space="preserve"> </w:t>
      </w:r>
      <w:r w:rsidRPr="00155F80">
        <w:rPr>
          <w:rFonts w:ascii="Times New Roman" w:hAnsi="Times New Roman"/>
          <w:lang w:val="pl-PL"/>
        </w:rPr>
        <w:t>indeks</w:t>
      </w:r>
      <w:r w:rsidRPr="00155F80">
        <w:rPr>
          <w:rFonts w:ascii="Times New Roman" w:hAnsi="Times New Roman"/>
          <w:lang w:val="sr-Latn-BA"/>
        </w:rPr>
        <w:t xml:space="preserve"> </w:t>
      </w:r>
      <w:r w:rsidRPr="00155F80">
        <w:rPr>
          <w:rFonts w:ascii="Times New Roman" w:hAnsi="Times New Roman"/>
          <w:lang w:val="pl-PL"/>
        </w:rPr>
        <w:t>tjelesne</w:t>
      </w:r>
      <w:r w:rsidRPr="00155F80">
        <w:rPr>
          <w:rFonts w:ascii="Times New Roman" w:hAnsi="Times New Roman"/>
          <w:lang w:val="sr-Latn-BA"/>
        </w:rPr>
        <w:t xml:space="preserve"> </w:t>
      </w:r>
      <w:r w:rsidRPr="00155F80">
        <w:rPr>
          <w:rFonts w:ascii="Times New Roman" w:hAnsi="Times New Roman"/>
          <w:lang w:val="pl-PL"/>
        </w:rPr>
        <w:t>mase</w:t>
      </w:r>
      <w:r w:rsidRPr="00155F80">
        <w:rPr>
          <w:rFonts w:ascii="Times New Roman" w:hAnsi="Times New Roman"/>
          <w:lang w:val="sr-Latn-BA"/>
        </w:rPr>
        <w:t xml:space="preserve"> (</w:t>
      </w:r>
      <w:r w:rsidRPr="00155F80">
        <w:rPr>
          <w:rFonts w:ascii="Times New Roman" w:hAnsi="Times New Roman"/>
          <w:lang w:val="pl-PL"/>
        </w:rPr>
        <w:t>ITM</w:t>
      </w:r>
      <w:r w:rsidRPr="00155F80">
        <w:rPr>
          <w:rFonts w:ascii="Times New Roman" w:hAnsi="Times New Roman"/>
          <w:lang w:val="sr-Latn-BA"/>
        </w:rPr>
        <w:t xml:space="preserve">) </w:t>
      </w:r>
      <w:r w:rsidRPr="00155F80">
        <w:rPr>
          <w:rFonts w:ascii="Times New Roman" w:hAnsi="Times New Roman"/>
          <w:lang w:val="pl-PL"/>
        </w:rPr>
        <w:t>za</w:t>
      </w:r>
      <w:r w:rsidRPr="00155F80">
        <w:rPr>
          <w:rFonts w:ascii="Times New Roman" w:hAnsi="Times New Roman"/>
          <w:lang w:val="sr-Latn-BA"/>
        </w:rPr>
        <w:t xml:space="preserve"> </w:t>
      </w:r>
      <w:r w:rsidRPr="00155F80">
        <w:rPr>
          <w:rFonts w:ascii="Times New Roman" w:hAnsi="Times New Roman"/>
          <w:lang w:val="pl-PL"/>
        </w:rPr>
        <w:t>dob</w:t>
      </w:r>
      <w:r w:rsidRPr="00155F80">
        <w:rPr>
          <w:rFonts w:ascii="Times New Roman" w:hAnsi="Times New Roman"/>
          <w:lang w:val="sr-Latn-BA"/>
        </w:rPr>
        <w:t xml:space="preserve"> </w:t>
      </w:r>
      <w:r w:rsidRPr="00155F80">
        <w:rPr>
          <w:rFonts w:ascii="Times New Roman" w:hAnsi="Times New Roman"/>
          <w:lang w:val="pl-PL"/>
        </w:rPr>
        <w:t>ima</w:t>
      </w:r>
      <w:r w:rsidRPr="00155F80">
        <w:rPr>
          <w:rFonts w:ascii="Times New Roman" w:hAnsi="Times New Roman"/>
          <w:lang w:val="sr-Latn-BA"/>
        </w:rPr>
        <w:t xml:space="preserve"> 3,9% </w:t>
      </w:r>
      <w:r w:rsidRPr="00155F80">
        <w:rPr>
          <w:rFonts w:ascii="Times New Roman" w:hAnsi="Times New Roman"/>
          <w:lang w:val="pl-PL"/>
        </w:rPr>
        <w:t>djece</w:t>
      </w:r>
      <w:r w:rsidRPr="00155F80">
        <w:rPr>
          <w:rFonts w:ascii="Times New Roman" w:hAnsi="Times New Roman"/>
          <w:lang w:val="sr-Latn-BA"/>
        </w:rPr>
        <w:t xml:space="preserve"> uzrasta 5-10 </w:t>
      </w:r>
      <w:r w:rsidRPr="00155F80">
        <w:rPr>
          <w:rFonts w:ascii="Times New Roman" w:hAnsi="Times New Roman"/>
          <w:lang w:val="pl-PL"/>
        </w:rPr>
        <w:t>godina</w:t>
      </w:r>
      <w:r w:rsidRPr="00155F80">
        <w:rPr>
          <w:rFonts w:ascii="Times New Roman" w:hAnsi="Times New Roman"/>
          <w:lang w:val="sr-Latn-BA"/>
        </w:rPr>
        <w:t xml:space="preserve"> </w:t>
      </w:r>
      <w:r w:rsidRPr="00155F80">
        <w:rPr>
          <w:rFonts w:ascii="Times New Roman" w:hAnsi="Times New Roman"/>
          <w:lang w:val="pl-PL"/>
        </w:rPr>
        <w:t>i</w:t>
      </w:r>
      <w:r w:rsidRPr="00155F80">
        <w:rPr>
          <w:rFonts w:ascii="Times New Roman" w:hAnsi="Times New Roman"/>
          <w:lang w:val="sr-Latn-BA"/>
        </w:rPr>
        <w:t xml:space="preserve"> 5,5% </w:t>
      </w:r>
      <w:r w:rsidRPr="00155F80">
        <w:rPr>
          <w:rFonts w:ascii="Times New Roman" w:hAnsi="Times New Roman"/>
          <w:lang w:val="pl-PL"/>
        </w:rPr>
        <w:t>djece</w:t>
      </w:r>
      <w:r w:rsidRPr="00155F80">
        <w:rPr>
          <w:rFonts w:ascii="Times New Roman" w:hAnsi="Times New Roman"/>
          <w:lang w:val="sr-Latn-BA"/>
        </w:rPr>
        <w:t xml:space="preserve"> uzrasta 10-15 </w:t>
      </w:r>
      <w:r w:rsidRPr="00155F80">
        <w:rPr>
          <w:rFonts w:ascii="Times New Roman" w:hAnsi="Times New Roman"/>
          <w:lang w:val="pl-PL"/>
        </w:rPr>
        <w:t>godina</w:t>
      </w:r>
      <w:r w:rsidRPr="00155F80">
        <w:rPr>
          <w:rFonts w:ascii="Times New Roman" w:hAnsi="Times New Roman"/>
          <w:lang w:val="sr-Latn-BA"/>
        </w:rPr>
        <w:t xml:space="preserve">. </w:t>
      </w:r>
    </w:p>
    <w:p w:rsidR="00A131AD" w:rsidRPr="00155F80" w:rsidRDefault="00A131AD" w:rsidP="000C0138">
      <w:pPr>
        <w:spacing w:line="276" w:lineRule="auto"/>
        <w:rPr>
          <w:rFonts w:ascii="Times New Roman" w:hAnsi="Times New Roman"/>
          <w:lang w:val="sr-Latn-BA"/>
        </w:rPr>
      </w:pPr>
      <w:r w:rsidRPr="00155F80">
        <w:rPr>
          <w:rFonts w:ascii="Times New Roman" w:hAnsi="Times New Roman"/>
          <w:lang w:val="pl-PL"/>
        </w:rPr>
        <w:t>Međutim, u dobnoj skupini školske djece prekomjerna težina je široko prisutna -  kod</w:t>
      </w:r>
      <w:r w:rsidRPr="00155F80">
        <w:rPr>
          <w:rFonts w:ascii="Times New Roman" w:hAnsi="Times New Roman"/>
          <w:lang w:val="sr-Latn-BA"/>
        </w:rPr>
        <w:t xml:space="preserve">  trećine odnosno 31,2% djece uzrasta 5-10 godina, od kojih </w:t>
      </w:r>
      <w:r w:rsidR="00412C56">
        <w:rPr>
          <w:rFonts w:ascii="Times New Roman" w:hAnsi="Times New Roman"/>
          <w:lang w:val="sr-Latn-BA"/>
        </w:rPr>
        <w:t>pretilost</w:t>
      </w:r>
      <w:r w:rsidRPr="00155F80">
        <w:rPr>
          <w:rFonts w:ascii="Times New Roman" w:hAnsi="Times New Roman"/>
          <w:lang w:val="sr-Latn-BA"/>
        </w:rPr>
        <w:t xml:space="preserve"> kod 13,3% djece. </w:t>
      </w:r>
    </w:p>
    <w:p w:rsidR="007A7E4A" w:rsidRPr="00155F80" w:rsidRDefault="00A131AD" w:rsidP="000C0138">
      <w:pPr>
        <w:spacing w:line="276" w:lineRule="auto"/>
        <w:rPr>
          <w:rFonts w:ascii="Times New Roman" w:hAnsi="Times New Roman"/>
          <w:noProof/>
          <w:lang w:val="hr-HR" w:eastAsia="de-DE"/>
        </w:rPr>
      </w:pPr>
      <w:r w:rsidRPr="00155F80">
        <w:rPr>
          <w:rFonts w:ascii="Times New Roman" w:hAnsi="Times New Roman"/>
          <w:lang w:val="sr-Latn-BA"/>
        </w:rPr>
        <w:t xml:space="preserve">Kod djece </w:t>
      </w:r>
      <w:r w:rsidR="00412C56">
        <w:rPr>
          <w:rFonts w:ascii="Times New Roman" w:hAnsi="Times New Roman"/>
          <w:lang w:val="sr-Latn-BA"/>
        </w:rPr>
        <w:t>dobi</w:t>
      </w:r>
      <w:r w:rsidRPr="00155F80">
        <w:rPr>
          <w:rFonts w:ascii="Times New Roman" w:hAnsi="Times New Roman"/>
          <w:lang w:val="sr-Latn-BA"/>
        </w:rPr>
        <w:t xml:space="preserve"> 10-15 godina, prekomjerna težina je prisutna kod 22,3% djece, od kojih je </w:t>
      </w:r>
      <w:r w:rsidR="00412C56">
        <w:rPr>
          <w:rFonts w:ascii="Times New Roman" w:hAnsi="Times New Roman"/>
          <w:lang w:val="sr-Latn-BA"/>
        </w:rPr>
        <w:t>pretilost</w:t>
      </w:r>
      <w:r w:rsidRPr="00155F80">
        <w:rPr>
          <w:rFonts w:ascii="Times New Roman" w:hAnsi="Times New Roman"/>
          <w:lang w:val="sr-Latn-BA"/>
        </w:rPr>
        <w:t xml:space="preserve"> prisutna u 3,9% slučajeva (ITM/dob +2SD)</w:t>
      </w:r>
      <w:r w:rsidRPr="00155F80">
        <w:rPr>
          <w:rFonts w:ascii="Times New Roman" w:hAnsi="Times New Roman"/>
          <w:noProof/>
          <w:lang w:val="hr-HR" w:eastAsia="de-DE"/>
        </w:rPr>
        <w:t>.</w:t>
      </w:r>
    </w:p>
    <w:p w:rsidR="00A131AD" w:rsidRPr="00155F80" w:rsidRDefault="00A131AD" w:rsidP="000C0138">
      <w:pPr>
        <w:spacing w:line="276" w:lineRule="auto"/>
        <w:rPr>
          <w:rFonts w:ascii="Times New Roman" w:hAnsi="Times New Roman"/>
          <w:noProof/>
          <w:lang w:val="hr-HR" w:eastAsia="de-DE"/>
        </w:rPr>
      </w:pPr>
    </w:p>
    <w:p w:rsidR="00A131AD" w:rsidRPr="00155F80" w:rsidRDefault="00A131AD" w:rsidP="00B37E7E">
      <w:pPr>
        <w:pStyle w:val="refererere"/>
        <w:rPr>
          <w:noProof/>
        </w:rPr>
      </w:pPr>
      <w:bookmarkStart w:id="308" w:name="OLE_LINK6"/>
      <w:bookmarkStart w:id="309" w:name="OLE_LINK7"/>
      <w:r w:rsidRPr="00155F80">
        <w:rPr>
          <w:noProof/>
        </w:rPr>
        <w:t>Grafikon</w:t>
      </w:r>
      <w:r w:rsidRPr="00155F80">
        <w:rPr>
          <w:noProof/>
          <w:lang w:val="sr-Latn-BA"/>
        </w:rPr>
        <w:t xml:space="preserve"> 74: </w:t>
      </w:r>
      <w:r w:rsidRPr="00155F80">
        <w:rPr>
          <w:noProof/>
        </w:rPr>
        <w:t>Distribucija</w:t>
      </w:r>
      <w:r w:rsidRPr="00155F80">
        <w:rPr>
          <w:noProof/>
          <w:lang w:val="sr-Latn-BA"/>
        </w:rPr>
        <w:t xml:space="preserve"> </w:t>
      </w:r>
      <w:r w:rsidRPr="00155F80">
        <w:rPr>
          <w:noProof/>
        </w:rPr>
        <w:t>indeksa</w:t>
      </w:r>
      <w:r w:rsidRPr="00155F80">
        <w:rPr>
          <w:noProof/>
          <w:lang w:val="sr-Latn-BA"/>
        </w:rPr>
        <w:t xml:space="preserve"> </w:t>
      </w:r>
      <w:r w:rsidRPr="00155F80">
        <w:rPr>
          <w:noProof/>
        </w:rPr>
        <w:t>tjelesne</w:t>
      </w:r>
      <w:r w:rsidRPr="00155F80">
        <w:rPr>
          <w:noProof/>
          <w:lang w:val="sr-Latn-BA"/>
        </w:rPr>
        <w:t xml:space="preserve"> </w:t>
      </w:r>
      <w:r w:rsidRPr="00155F80">
        <w:rPr>
          <w:noProof/>
        </w:rPr>
        <w:t>mase</w:t>
      </w:r>
      <w:r w:rsidRPr="00155F80">
        <w:rPr>
          <w:noProof/>
          <w:lang w:val="sr-Latn-BA"/>
        </w:rPr>
        <w:t xml:space="preserve"> </w:t>
      </w:r>
      <w:r w:rsidRPr="00155F80">
        <w:rPr>
          <w:noProof/>
        </w:rPr>
        <w:t>za</w:t>
      </w:r>
      <w:r w:rsidRPr="00155F80">
        <w:rPr>
          <w:noProof/>
          <w:lang w:val="sr-Latn-BA"/>
        </w:rPr>
        <w:t xml:space="preserve"> </w:t>
      </w:r>
      <w:r w:rsidRPr="00155F80">
        <w:rPr>
          <w:noProof/>
        </w:rPr>
        <w:t>djece</w:t>
      </w:r>
      <w:r w:rsidRPr="00155F80">
        <w:rPr>
          <w:noProof/>
          <w:lang w:val="sr-Latn-BA"/>
        </w:rPr>
        <w:t xml:space="preserve"> </w:t>
      </w:r>
      <w:r w:rsidR="00412C56">
        <w:rPr>
          <w:noProof/>
        </w:rPr>
        <w:t xml:space="preserve">dobi </w:t>
      </w:r>
      <w:r w:rsidRPr="00155F80">
        <w:rPr>
          <w:noProof/>
          <w:lang w:val="sr-Latn-BA"/>
        </w:rPr>
        <w:t xml:space="preserve"> 5-15 </w:t>
      </w:r>
      <w:r w:rsidRPr="00155F80">
        <w:rPr>
          <w:noProof/>
        </w:rPr>
        <w:t xml:space="preserve">godina u Federaciji Bosne i Hercegovine, </w:t>
      </w:r>
      <w:r w:rsidRPr="00155F80">
        <w:rPr>
          <w:noProof/>
          <w:lang w:val="sr-Latn-BA"/>
        </w:rPr>
        <w:t xml:space="preserve"> </w:t>
      </w:r>
      <w:r w:rsidRPr="00155F80">
        <w:rPr>
          <w:noProof/>
        </w:rPr>
        <w:t>prema</w:t>
      </w:r>
      <w:r w:rsidRPr="00155F80">
        <w:rPr>
          <w:noProof/>
          <w:lang w:val="sr-Latn-BA"/>
        </w:rPr>
        <w:t xml:space="preserve"> </w:t>
      </w:r>
      <w:r w:rsidRPr="00155F80">
        <w:rPr>
          <w:noProof/>
        </w:rPr>
        <w:t xml:space="preserve">dobnim skupinama </w:t>
      </w:r>
    </w:p>
    <w:p w:rsidR="00A131AD" w:rsidRPr="00155F80" w:rsidRDefault="00A131AD" w:rsidP="000C0138">
      <w:pPr>
        <w:spacing w:line="276" w:lineRule="auto"/>
        <w:rPr>
          <w:rFonts w:ascii="Times New Roman" w:hAnsi="Times New Roman"/>
          <w:noProof/>
        </w:rPr>
      </w:pPr>
      <w:r w:rsidRPr="00155F80">
        <w:rPr>
          <w:rFonts w:ascii="Times New Roman" w:hAnsi="Times New Roman"/>
          <w:noProof/>
          <w:lang w:val="bs-Latn-BA" w:eastAsia="bs-Latn-BA"/>
        </w:rPr>
        <w:drawing>
          <wp:inline distT="0" distB="0" distL="0" distR="0" wp14:anchorId="7AC65961" wp14:editId="265FD3A7">
            <wp:extent cx="5842635" cy="2137558"/>
            <wp:effectExtent l="19050" t="19050" r="24765" b="15240"/>
            <wp:docPr id="103" name="Chart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1"/>
                    <pic:cNvPicPr>
                      <a:picLocks noChangeArrowheads="1"/>
                    </pic:cNvPicPr>
                  </pic:nvPicPr>
                  <pic:blipFill>
                    <a:blip r:embed="rId87" cstate="print"/>
                    <a:srcRect/>
                    <a:stretch>
                      <a:fillRect/>
                    </a:stretch>
                  </pic:blipFill>
                  <pic:spPr bwMode="auto">
                    <a:xfrm>
                      <a:off x="0" y="0"/>
                      <a:ext cx="5866009" cy="2146110"/>
                    </a:xfrm>
                    <a:prstGeom prst="rect">
                      <a:avLst/>
                    </a:prstGeom>
                    <a:noFill/>
                    <a:ln w="9525">
                      <a:solidFill>
                        <a:schemeClr val="dk1">
                          <a:alpha val="0"/>
                        </a:schemeClr>
                      </a:solidFill>
                      <a:miter lim="800000"/>
                      <a:headEnd/>
                      <a:tailEnd/>
                    </a:ln>
                  </pic:spPr>
                </pic:pic>
              </a:graphicData>
            </a:graphic>
          </wp:inline>
        </w:drawing>
      </w:r>
    </w:p>
    <w:bookmarkEnd w:id="308"/>
    <w:bookmarkEnd w:id="309"/>
    <w:p w:rsidR="00A131AD" w:rsidRPr="00155F80" w:rsidRDefault="00A131AD" w:rsidP="000C0138">
      <w:pPr>
        <w:spacing w:line="276" w:lineRule="auto"/>
        <w:rPr>
          <w:rFonts w:ascii="Times New Roman" w:hAnsi="Times New Roman"/>
          <w:noProof/>
          <w:lang w:val="hr-HR" w:eastAsia="de-DE"/>
        </w:rPr>
      </w:pPr>
    </w:p>
    <w:p w:rsidR="00A131AD" w:rsidRPr="00155F80" w:rsidRDefault="00A131AD" w:rsidP="000C0138">
      <w:pPr>
        <w:spacing w:line="276" w:lineRule="auto"/>
        <w:rPr>
          <w:rFonts w:ascii="Times New Roman" w:hAnsi="Times New Roman"/>
          <w:noProof/>
          <w:lang w:eastAsia="de-DE"/>
        </w:rPr>
      </w:pPr>
      <w:r w:rsidRPr="00155F80">
        <w:rPr>
          <w:rFonts w:ascii="Times New Roman" w:hAnsi="Times New Roman"/>
          <w:noProof/>
          <w:lang w:eastAsia="de-DE"/>
        </w:rPr>
        <w:t xml:space="preserve">Isto istraživanje je pokazalo da ovi indikatori stanja uhranjenosti korespondiraju sa lošim prehrambenim navikama školske djece, karakterizane visokim unosom grickalica i slatkiša. </w:t>
      </w:r>
    </w:p>
    <w:p w:rsidR="00A131AD" w:rsidRPr="00155F80" w:rsidRDefault="00A131AD" w:rsidP="000C0138">
      <w:pPr>
        <w:spacing w:line="276" w:lineRule="auto"/>
        <w:rPr>
          <w:rFonts w:ascii="Times New Roman" w:hAnsi="Times New Roman"/>
          <w:noProof/>
          <w:lang w:eastAsia="de-DE"/>
        </w:rPr>
      </w:pPr>
    </w:p>
    <w:p w:rsidR="00A131AD" w:rsidRPr="00155F80" w:rsidRDefault="00A131AD" w:rsidP="000C0138">
      <w:pPr>
        <w:spacing w:line="276" w:lineRule="auto"/>
        <w:rPr>
          <w:rFonts w:ascii="Times New Roman" w:hAnsi="Times New Roman"/>
        </w:rPr>
      </w:pPr>
      <w:r w:rsidRPr="00155F80">
        <w:rPr>
          <w:rFonts w:ascii="Times New Roman" w:hAnsi="Times New Roman"/>
          <w:noProof/>
          <w:lang w:eastAsia="de-DE"/>
        </w:rPr>
        <w:t xml:space="preserve">Međutim, istraživanje o prehrambenom okruženju i </w:t>
      </w:r>
      <w:r w:rsidR="00412C56">
        <w:rPr>
          <w:rFonts w:ascii="Times New Roman" w:hAnsi="Times New Roman"/>
          <w:noProof/>
          <w:lang w:eastAsia="de-DE"/>
        </w:rPr>
        <w:t>pre</w:t>
      </w:r>
      <w:r w:rsidRPr="00155F80">
        <w:rPr>
          <w:rFonts w:ascii="Times New Roman" w:hAnsi="Times New Roman"/>
          <w:noProof/>
          <w:lang w:eastAsia="de-DE"/>
        </w:rPr>
        <w:t xml:space="preserve">hrani u školama na području </w:t>
      </w:r>
      <w:r w:rsidR="00412C56">
        <w:rPr>
          <w:rFonts w:ascii="Times New Roman" w:hAnsi="Times New Roman"/>
          <w:noProof/>
          <w:lang w:eastAsia="de-DE"/>
        </w:rPr>
        <w:t>K</w:t>
      </w:r>
      <w:r w:rsidRPr="00155F80">
        <w:rPr>
          <w:rFonts w:ascii="Times New Roman" w:hAnsi="Times New Roman"/>
          <w:noProof/>
          <w:lang w:eastAsia="de-DE"/>
        </w:rPr>
        <w:t xml:space="preserve">antona Sarajevo, je pokazalo da je u  školskim kantinama </w:t>
      </w:r>
      <w:r w:rsidRPr="00155F80">
        <w:rPr>
          <w:rFonts w:ascii="Times New Roman" w:hAnsi="Times New Roman"/>
        </w:rPr>
        <w:t>raspoloživost z</w:t>
      </w:r>
      <w:r w:rsidRPr="00155F80">
        <w:rPr>
          <w:rFonts w:ascii="Times New Roman" w:hAnsi="Times New Roman"/>
          <w:bCs/>
        </w:rPr>
        <w:t xml:space="preserve">dravih namirnica oskudna, a  nezdravih namirnica obilata, što prestavlja nepovoljno okruženje </w:t>
      </w:r>
      <w:r w:rsidRPr="00155F80">
        <w:rPr>
          <w:rFonts w:ascii="Times New Roman" w:hAnsi="Times New Roman"/>
        </w:rPr>
        <w:t xml:space="preserve">za zdrave izbore i zdravu </w:t>
      </w:r>
      <w:r w:rsidR="00EE5188">
        <w:rPr>
          <w:rFonts w:ascii="Times New Roman" w:hAnsi="Times New Roman"/>
        </w:rPr>
        <w:t>pre</w:t>
      </w:r>
      <w:r w:rsidRPr="00155F80">
        <w:rPr>
          <w:rFonts w:ascii="Times New Roman" w:hAnsi="Times New Roman"/>
        </w:rPr>
        <w:t xml:space="preserve">hranu. </w:t>
      </w:r>
    </w:p>
    <w:p w:rsidR="00301140" w:rsidRDefault="00A131AD" w:rsidP="003773EC">
      <w:pPr>
        <w:spacing w:line="276" w:lineRule="auto"/>
        <w:rPr>
          <w:i/>
        </w:rPr>
      </w:pPr>
      <w:r w:rsidRPr="00155F80">
        <w:rPr>
          <w:rFonts w:ascii="Times New Roman" w:hAnsi="Times New Roman"/>
        </w:rPr>
        <w:t xml:space="preserve">Svježe voće i punovrijedni voćni sokovi prodaju se samo u trećini (29%), žitarice i mlijeko u 41%, a povrće u 59% </w:t>
      </w:r>
      <w:r w:rsidR="00412C56">
        <w:rPr>
          <w:rFonts w:ascii="Times New Roman" w:hAnsi="Times New Roman"/>
        </w:rPr>
        <w:t xml:space="preserve"> </w:t>
      </w:r>
      <w:r w:rsidRPr="00155F80">
        <w:rPr>
          <w:rFonts w:ascii="Times New Roman" w:hAnsi="Times New Roman"/>
        </w:rPr>
        <w:t xml:space="preserve">kantina, dok se slatka bezalkoholna pića prodaju u 88%, čokolade u dvije trećine, a slane grickalice u 59% kantina, bez razlike u ponudi među školama sa područja različitog socioekonomskog statusa. </w:t>
      </w:r>
      <w:bookmarkStart w:id="310" w:name="_Toc379106612"/>
      <w:bookmarkStart w:id="311" w:name="_Toc380144544"/>
    </w:p>
    <w:p w:rsidR="00A131AD" w:rsidRPr="00155F80" w:rsidRDefault="00A131AD" w:rsidP="00B37E7E">
      <w:pPr>
        <w:pStyle w:val="refererere"/>
      </w:pPr>
      <w:r w:rsidRPr="00155F80">
        <w:t>Grafikon 75: Raspoloživost zašećerenih bezalkoholnih pića u kantinama</w:t>
      </w:r>
      <w:bookmarkEnd w:id="310"/>
      <w:bookmarkEnd w:id="311"/>
      <w:r w:rsidRPr="00155F80">
        <w:t xml:space="preserve"> osnovnih škola na području </w:t>
      </w:r>
      <w:r w:rsidR="00412C56">
        <w:t>K</w:t>
      </w:r>
      <w:r w:rsidRPr="00155F80">
        <w:t xml:space="preserve">antona Sarajevo </w:t>
      </w:r>
    </w:p>
    <w:p w:rsidR="00B37E7E" w:rsidRPr="003361B4" w:rsidRDefault="00A131AD" w:rsidP="003361B4">
      <w:pPr>
        <w:tabs>
          <w:tab w:val="center" w:pos="2635"/>
        </w:tabs>
        <w:autoSpaceDE w:val="0"/>
        <w:autoSpaceDN w:val="0"/>
        <w:adjustRightInd w:val="0"/>
        <w:spacing w:line="276" w:lineRule="auto"/>
        <w:jc w:val="center"/>
        <w:rPr>
          <w:rFonts w:ascii="Times New Roman" w:hAnsi="Times New Roman"/>
          <w:bCs/>
          <w:color w:val="000000"/>
          <w:lang w:val="hr-HR"/>
        </w:rPr>
      </w:pPr>
      <w:r w:rsidRPr="00155F80">
        <w:rPr>
          <w:rFonts w:ascii="Times New Roman" w:hAnsi="Times New Roman"/>
          <w:noProof/>
          <w:color w:val="000000"/>
          <w:lang w:val="bs-Latn-BA" w:eastAsia="bs-Latn-BA"/>
        </w:rPr>
        <w:drawing>
          <wp:inline distT="0" distB="0" distL="0" distR="0" wp14:anchorId="4547796C" wp14:editId="6209F036">
            <wp:extent cx="5794375" cy="2280062"/>
            <wp:effectExtent l="0" t="0" r="0" b="6350"/>
            <wp:docPr id="104" name="Char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3"/>
                    <pic:cNvPicPr>
                      <a:picLocks noChangeArrowheads="1"/>
                    </pic:cNvPicPr>
                  </pic:nvPicPr>
                  <pic:blipFill>
                    <a:blip r:embed="rId88" cstate="print"/>
                    <a:srcRect/>
                    <a:stretch>
                      <a:fillRect/>
                    </a:stretch>
                  </pic:blipFill>
                  <pic:spPr bwMode="auto">
                    <a:xfrm>
                      <a:off x="0" y="0"/>
                      <a:ext cx="5816577" cy="2288799"/>
                    </a:xfrm>
                    <a:prstGeom prst="rect">
                      <a:avLst/>
                    </a:prstGeom>
                    <a:noFill/>
                    <a:ln w="9525">
                      <a:noFill/>
                      <a:miter lim="800000"/>
                      <a:headEnd/>
                      <a:tailEnd/>
                    </a:ln>
                  </pic:spPr>
                </pic:pic>
              </a:graphicData>
            </a:graphic>
          </wp:inline>
        </w:drawing>
      </w:r>
      <w:bookmarkStart w:id="312" w:name="_Toc379106613"/>
      <w:bookmarkStart w:id="313" w:name="_Toc380144545"/>
    </w:p>
    <w:p w:rsidR="00C63C62" w:rsidRDefault="00C63C62" w:rsidP="00B37E7E">
      <w:pPr>
        <w:pStyle w:val="refererere"/>
      </w:pPr>
    </w:p>
    <w:p w:rsidR="00C63C62" w:rsidRDefault="00C63C62" w:rsidP="00B37E7E">
      <w:pPr>
        <w:pStyle w:val="refererere"/>
      </w:pPr>
    </w:p>
    <w:p w:rsidR="00C63C62" w:rsidRDefault="00C63C62" w:rsidP="00B37E7E">
      <w:pPr>
        <w:pStyle w:val="refererere"/>
      </w:pPr>
    </w:p>
    <w:p w:rsidR="00C63C62" w:rsidRDefault="00C63C62" w:rsidP="00B37E7E">
      <w:pPr>
        <w:pStyle w:val="refererere"/>
      </w:pPr>
    </w:p>
    <w:p w:rsidR="00A131AD" w:rsidRPr="00155F80" w:rsidRDefault="00A131AD" w:rsidP="00B37E7E">
      <w:pPr>
        <w:pStyle w:val="refererere"/>
      </w:pPr>
      <w:r w:rsidRPr="00155F80">
        <w:t xml:space="preserve">Grafikon 76: Raspoloživost slatkiša u kantinama osnovnih škola na području </w:t>
      </w:r>
      <w:r w:rsidR="00412C56">
        <w:t>K</w:t>
      </w:r>
      <w:r w:rsidRPr="00155F80">
        <w:t xml:space="preserve">antona Sarajevo </w:t>
      </w:r>
    </w:p>
    <w:bookmarkEnd w:id="312"/>
    <w:bookmarkEnd w:id="313"/>
    <w:p w:rsidR="00B37E7E" w:rsidRDefault="00A131AD" w:rsidP="000C0138">
      <w:pPr>
        <w:tabs>
          <w:tab w:val="center" w:pos="2635"/>
        </w:tabs>
        <w:autoSpaceDE w:val="0"/>
        <w:autoSpaceDN w:val="0"/>
        <w:adjustRightInd w:val="0"/>
        <w:spacing w:line="276" w:lineRule="auto"/>
        <w:jc w:val="center"/>
        <w:rPr>
          <w:rFonts w:ascii="Times New Roman" w:hAnsi="Times New Roman"/>
          <w:b/>
          <w:bCs/>
          <w:color w:val="000000"/>
          <w:lang w:val="hr-HR"/>
        </w:rPr>
      </w:pPr>
      <w:r w:rsidRPr="00155F80">
        <w:rPr>
          <w:rFonts w:ascii="Times New Roman" w:hAnsi="Times New Roman"/>
          <w:b/>
          <w:noProof/>
          <w:color w:val="000000"/>
          <w:lang w:val="bs-Latn-BA" w:eastAsia="bs-Latn-BA"/>
        </w:rPr>
        <w:drawing>
          <wp:inline distT="0" distB="0" distL="0" distR="0" wp14:anchorId="32512880" wp14:editId="6E8B8B04">
            <wp:extent cx="5806317" cy="2362200"/>
            <wp:effectExtent l="0" t="0" r="4445" b="0"/>
            <wp:docPr id="105" name="Chart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4"/>
                    <pic:cNvPicPr>
                      <a:picLocks noChangeArrowheads="1"/>
                    </pic:cNvPicPr>
                  </pic:nvPicPr>
                  <pic:blipFill>
                    <a:blip r:embed="rId89" cstate="print"/>
                    <a:srcRect/>
                    <a:stretch>
                      <a:fillRect/>
                    </a:stretch>
                  </pic:blipFill>
                  <pic:spPr bwMode="auto">
                    <a:xfrm>
                      <a:off x="0" y="0"/>
                      <a:ext cx="5824530" cy="2369609"/>
                    </a:xfrm>
                    <a:prstGeom prst="rect">
                      <a:avLst/>
                    </a:prstGeom>
                    <a:noFill/>
                    <a:ln w="9525">
                      <a:noFill/>
                      <a:miter lim="800000"/>
                      <a:headEnd/>
                      <a:tailEnd/>
                    </a:ln>
                  </pic:spPr>
                </pic:pic>
              </a:graphicData>
            </a:graphic>
          </wp:inline>
        </w:drawing>
      </w:r>
      <w:bookmarkStart w:id="314" w:name="_Toc379106614"/>
      <w:bookmarkStart w:id="315" w:name="_Toc380144546"/>
    </w:p>
    <w:p w:rsidR="00B37E7E" w:rsidRDefault="00B37E7E" w:rsidP="00B37E7E">
      <w:pPr>
        <w:rPr>
          <w:rFonts w:ascii="Times New Roman" w:hAnsi="Times New Roman"/>
          <w:lang w:val="hr-HR"/>
        </w:rPr>
      </w:pPr>
    </w:p>
    <w:p w:rsidR="00A131AD" w:rsidRPr="00155F80" w:rsidRDefault="00A131AD" w:rsidP="00B37E7E">
      <w:pPr>
        <w:pStyle w:val="refererere"/>
      </w:pPr>
      <w:r w:rsidRPr="00155F80">
        <w:t xml:space="preserve">Grafikon 77: Raspoloživost zašećerenih bezalkoholnih pića u kantinama osnovnih škola na području </w:t>
      </w:r>
      <w:r w:rsidR="00412C56">
        <w:t>K</w:t>
      </w:r>
      <w:r w:rsidRPr="00155F80">
        <w:t xml:space="preserve">antona Sarajevo </w:t>
      </w:r>
    </w:p>
    <w:bookmarkEnd w:id="314"/>
    <w:bookmarkEnd w:id="315"/>
    <w:p w:rsidR="00A131AD" w:rsidRPr="00155F80" w:rsidRDefault="00A131AD" w:rsidP="000C0138">
      <w:pPr>
        <w:tabs>
          <w:tab w:val="center" w:pos="2635"/>
        </w:tabs>
        <w:autoSpaceDE w:val="0"/>
        <w:autoSpaceDN w:val="0"/>
        <w:adjustRightInd w:val="0"/>
        <w:spacing w:line="276" w:lineRule="auto"/>
        <w:jc w:val="center"/>
        <w:rPr>
          <w:rFonts w:ascii="Times New Roman" w:hAnsi="Times New Roman"/>
          <w:b/>
          <w:noProof/>
          <w:color w:val="000000"/>
          <w:lang w:val="hr-HR"/>
        </w:rPr>
      </w:pPr>
      <w:r w:rsidRPr="00155F80">
        <w:rPr>
          <w:rFonts w:ascii="Times New Roman" w:hAnsi="Times New Roman"/>
          <w:b/>
          <w:noProof/>
          <w:color w:val="000000"/>
          <w:lang w:val="bs-Latn-BA" w:eastAsia="bs-Latn-BA"/>
        </w:rPr>
        <w:drawing>
          <wp:inline distT="0" distB="0" distL="0" distR="0" wp14:anchorId="7A611475" wp14:editId="795ABE04">
            <wp:extent cx="5805805" cy="2171700"/>
            <wp:effectExtent l="0" t="0" r="4445" b="0"/>
            <wp:docPr id="106" name="Chart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5"/>
                    <pic:cNvPicPr>
                      <a:picLocks noChangeArrowheads="1"/>
                    </pic:cNvPicPr>
                  </pic:nvPicPr>
                  <pic:blipFill>
                    <a:blip r:embed="rId90" cstate="print"/>
                    <a:srcRect b="-66"/>
                    <a:stretch>
                      <a:fillRect/>
                    </a:stretch>
                  </pic:blipFill>
                  <pic:spPr bwMode="auto">
                    <a:xfrm>
                      <a:off x="0" y="0"/>
                      <a:ext cx="5815183" cy="2175208"/>
                    </a:xfrm>
                    <a:prstGeom prst="rect">
                      <a:avLst/>
                    </a:prstGeom>
                    <a:noFill/>
                    <a:ln w="9525">
                      <a:noFill/>
                      <a:miter lim="800000"/>
                      <a:headEnd/>
                      <a:tailEnd/>
                    </a:ln>
                  </pic:spPr>
                </pic:pic>
              </a:graphicData>
            </a:graphic>
          </wp:inline>
        </w:drawing>
      </w:r>
    </w:p>
    <w:p w:rsidR="00A131AD" w:rsidRPr="00155F80" w:rsidRDefault="00A131AD" w:rsidP="000C0138">
      <w:pPr>
        <w:spacing w:line="276" w:lineRule="auto"/>
        <w:rPr>
          <w:rFonts w:ascii="Times New Roman" w:hAnsi="Times New Roman"/>
          <w:noProof/>
          <w:lang w:val="hr-HR" w:eastAsia="sr-Latn-BA"/>
        </w:rPr>
      </w:pPr>
    </w:p>
    <w:p w:rsidR="00A131AD" w:rsidRPr="00155F80" w:rsidRDefault="00A131AD" w:rsidP="000C0138">
      <w:pPr>
        <w:pStyle w:val="Tekst0"/>
        <w:spacing w:line="276" w:lineRule="auto"/>
        <w:rPr>
          <w:b/>
          <w:sz w:val="22"/>
          <w:szCs w:val="22"/>
          <w:lang w:val="pl-PL"/>
        </w:rPr>
      </w:pPr>
      <w:r w:rsidRPr="00155F80">
        <w:rPr>
          <w:sz w:val="22"/>
          <w:szCs w:val="22"/>
          <w:lang w:val="pl-PL"/>
        </w:rPr>
        <w:t>Jedna od aktivnosti implementiranih u okviru intersektorskog programa „Zdravo jedi, zdravo rasti!”</w:t>
      </w:r>
      <w:r w:rsidRPr="00155F80">
        <w:rPr>
          <w:sz w:val="22"/>
          <w:szCs w:val="22"/>
        </w:rPr>
        <w:t xml:space="preserve"> pokrenutog </w:t>
      </w:r>
      <w:r w:rsidRPr="00155F80">
        <w:rPr>
          <w:sz w:val="22"/>
          <w:szCs w:val="22"/>
          <w:lang w:val="pl-PL"/>
        </w:rPr>
        <w:t xml:space="preserve">od strane Federalnog ministarstva obrazovanja i </w:t>
      </w:r>
      <w:r w:rsidR="00412C56">
        <w:rPr>
          <w:sz w:val="22"/>
          <w:szCs w:val="22"/>
          <w:lang w:val="pl-PL"/>
        </w:rPr>
        <w:t>znanosti</w:t>
      </w:r>
      <w:r w:rsidRPr="00155F80">
        <w:rPr>
          <w:sz w:val="22"/>
          <w:szCs w:val="22"/>
          <w:lang w:val="pl-PL"/>
        </w:rPr>
        <w:t>,  Federalnog ministarstva zdravst</w:t>
      </w:r>
      <w:r w:rsidR="00A87C61">
        <w:rPr>
          <w:sz w:val="22"/>
          <w:szCs w:val="22"/>
          <w:lang w:val="pl-PL"/>
        </w:rPr>
        <w:t>va, Zavoda za javno zdravstvo FBiH</w:t>
      </w:r>
      <w:r w:rsidRPr="00155F80">
        <w:rPr>
          <w:sz w:val="22"/>
          <w:szCs w:val="22"/>
          <w:lang w:val="pl-PL"/>
        </w:rPr>
        <w:t xml:space="preserve"> je i unapređenje </w:t>
      </w:r>
      <w:r w:rsidR="00412C56">
        <w:rPr>
          <w:sz w:val="22"/>
          <w:szCs w:val="22"/>
          <w:lang w:val="pl-PL"/>
        </w:rPr>
        <w:t>pre</w:t>
      </w:r>
      <w:r w:rsidRPr="00155F80">
        <w:rPr>
          <w:sz w:val="22"/>
          <w:szCs w:val="22"/>
          <w:lang w:val="pl-PL"/>
        </w:rPr>
        <w:t>hrane i prehrambenog okruženja u odgojno obrazovnim usta</w:t>
      </w:r>
      <w:r w:rsidR="00A87C61">
        <w:rPr>
          <w:sz w:val="22"/>
          <w:szCs w:val="22"/>
          <w:lang w:val="pl-PL"/>
        </w:rPr>
        <w:t>novama, i to kroz pilot projkat</w:t>
      </w:r>
      <w:r w:rsidRPr="00155F80">
        <w:rPr>
          <w:sz w:val="22"/>
          <w:szCs w:val="22"/>
          <w:lang w:val="pl-PL"/>
        </w:rPr>
        <w:t xml:space="preserve"> „Škole/vrtići prijatelji zdrave </w:t>
      </w:r>
      <w:r w:rsidR="00412C56">
        <w:rPr>
          <w:sz w:val="22"/>
          <w:szCs w:val="22"/>
          <w:lang w:val="pl-PL"/>
        </w:rPr>
        <w:t>pre</w:t>
      </w:r>
      <w:r w:rsidRPr="00155F80">
        <w:rPr>
          <w:sz w:val="22"/>
          <w:szCs w:val="22"/>
          <w:lang w:val="pl-PL"/>
        </w:rPr>
        <w:t xml:space="preserve">hrane”.  Projekat je </w:t>
      </w:r>
      <w:r w:rsidR="00412C56">
        <w:rPr>
          <w:sz w:val="22"/>
          <w:szCs w:val="22"/>
          <w:lang w:val="pl-PL"/>
        </w:rPr>
        <w:t>proveden</w:t>
      </w:r>
      <w:r w:rsidRPr="00155F80">
        <w:rPr>
          <w:sz w:val="22"/>
          <w:szCs w:val="22"/>
          <w:lang w:val="pl-PL"/>
        </w:rPr>
        <w:t xml:space="preserve"> u </w:t>
      </w:r>
      <w:r w:rsidR="00412C56">
        <w:rPr>
          <w:sz w:val="22"/>
          <w:szCs w:val="22"/>
          <w:lang w:val="pl-PL"/>
        </w:rPr>
        <w:t>razdoblju</w:t>
      </w:r>
      <w:r w:rsidRPr="00155F80">
        <w:rPr>
          <w:sz w:val="22"/>
          <w:szCs w:val="22"/>
          <w:lang w:val="pl-PL"/>
        </w:rPr>
        <w:t xml:space="preserve"> 2013</w:t>
      </w:r>
      <w:r w:rsidR="00EC077A">
        <w:rPr>
          <w:sz w:val="22"/>
          <w:szCs w:val="22"/>
          <w:lang w:val="pl-PL"/>
        </w:rPr>
        <w:t>.</w:t>
      </w:r>
      <w:r w:rsidRPr="00155F80">
        <w:rPr>
          <w:sz w:val="22"/>
          <w:szCs w:val="22"/>
          <w:lang w:val="pl-PL"/>
        </w:rPr>
        <w:t>-</w:t>
      </w:r>
      <w:r w:rsidR="00EC077A">
        <w:rPr>
          <w:sz w:val="22"/>
          <w:szCs w:val="22"/>
          <w:lang w:val="pl-PL"/>
        </w:rPr>
        <w:t xml:space="preserve"> </w:t>
      </w:r>
      <w:r w:rsidRPr="00155F80">
        <w:rPr>
          <w:sz w:val="22"/>
          <w:szCs w:val="22"/>
          <w:lang w:val="pl-PL"/>
        </w:rPr>
        <w:t>2014</w:t>
      </w:r>
      <w:r w:rsidR="00EC077A">
        <w:rPr>
          <w:sz w:val="22"/>
          <w:szCs w:val="22"/>
          <w:lang w:val="pl-PL"/>
        </w:rPr>
        <w:t xml:space="preserve">. godina u šest selektiranih vrtića </w:t>
      </w:r>
      <w:r w:rsidRPr="00155F80">
        <w:rPr>
          <w:sz w:val="22"/>
          <w:szCs w:val="22"/>
          <w:lang w:val="pl-PL"/>
        </w:rPr>
        <w:t>sa područja Federacije BiH. Projektom je obuvaćeno ukupno 115 odgajatelja i ostalog osoblja, 1</w:t>
      </w:r>
      <w:r w:rsidR="00412C56">
        <w:rPr>
          <w:sz w:val="22"/>
          <w:szCs w:val="22"/>
          <w:lang w:val="pl-PL"/>
        </w:rPr>
        <w:t>.</w:t>
      </w:r>
      <w:r w:rsidRPr="00155F80">
        <w:rPr>
          <w:sz w:val="22"/>
          <w:szCs w:val="22"/>
          <w:lang w:val="pl-PL"/>
        </w:rPr>
        <w:t>037 djece i 2</w:t>
      </w:r>
      <w:r w:rsidR="00412C56">
        <w:rPr>
          <w:sz w:val="22"/>
          <w:szCs w:val="22"/>
          <w:lang w:val="pl-PL"/>
        </w:rPr>
        <w:t>.</w:t>
      </w:r>
      <w:r w:rsidRPr="00155F80">
        <w:rPr>
          <w:sz w:val="22"/>
          <w:szCs w:val="22"/>
          <w:lang w:val="pl-PL"/>
        </w:rPr>
        <w:t xml:space="preserve">074 roditelja. </w:t>
      </w:r>
    </w:p>
    <w:p w:rsidR="00A131AD" w:rsidRPr="00155F80" w:rsidRDefault="00A131AD" w:rsidP="000C0138">
      <w:pPr>
        <w:spacing w:line="276" w:lineRule="auto"/>
        <w:rPr>
          <w:rFonts w:ascii="Times New Roman" w:hAnsi="Times New Roman"/>
          <w:lang w:val="hr-HR"/>
        </w:rPr>
      </w:pPr>
    </w:p>
    <w:p w:rsidR="00A131AD" w:rsidRPr="00155F80" w:rsidRDefault="00301140" w:rsidP="000C0138">
      <w:pPr>
        <w:pStyle w:val="Poglavlje3"/>
        <w:spacing w:line="276" w:lineRule="auto"/>
        <w:rPr>
          <w:i w:val="0"/>
          <w:lang w:val="hr-HR"/>
        </w:rPr>
      </w:pPr>
      <w:bookmarkStart w:id="316" w:name="_Toc456095925"/>
      <w:r>
        <w:rPr>
          <w:i w:val="0"/>
          <w:lang w:val="hr-HR"/>
        </w:rPr>
        <w:t>4.1.2</w:t>
      </w:r>
      <w:r w:rsidR="000E1376" w:rsidRPr="00155F80">
        <w:rPr>
          <w:i w:val="0"/>
          <w:lang w:val="hr-HR"/>
        </w:rPr>
        <w:t xml:space="preserve"> </w:t>
      </w:r>
      <w:r w:rsidR="00A131AD" w:rsidRPr="00155F80">
        <w:rPr>
          <w:i w:val="0"/>
          <w:lang w:val="hr-HR"/>
        </w:rPr>
        <w:t>Nedosta</w:t>
      </w:r>
      <w:r w:rsidR="00412C56">
        <w:rPr>
          <w:i w:val="0"/>
          <w:lang w:val="hr-HR"/>
        </w:rPr>
        <w:t>t</w:t>
      </w:r>
      <w:r w:rsidR="00A131AD" w:rsidRPr="00155F80">
        <w:rPr>
          <w:i w:val="0"/>
          <w:lang w:val="hr-HR"/>
        </w:rPr>
        <w:t>ci mikronutrijenata</w:t>
      </w:r>
      <w:bookmarkEnd w:id="316"/>
    </w:p>
    <w:p w:rsidR="00A131AD" w:rsidRPr="00155F80" w:rsidRDefault="00A131AD" w:rsidP="000C0138">
      <w:pPr>
        <w:spacing w:line="276" w:lineRule="auto"/>
        <w:rPr>
          <w:rFonts w:ascii="Times New Roman" w:hAnsi="Times New Roman"/>
          <w:b/>
          <w:lang w:val="hr-HR"/>
        </w:rPr>
      </w:pPr>
    </w:p>
    <w:p w:rsidR="00A131AD" w:rsidRPr="00155F80" w:rsidRDefault="00A131AD" w:rsidP="000C0138">
      <w:pPr>
        <w:spacing w:line="276" w:lineRule="auto"/>
        <w:rPr>
          <w:rFonts w:ascii="Times New Roman" w:hAnsi="Times New Roman"/>
          <w:b/>
          <w:lang w:val="hr-HR"/>
        </w:rPr>
      </w:pPr>
      <w:r w:rsidRPr="00155F80">
        <w:rPr>
          <w:rFonts w:ascii="Times New Roman" w:hAnsi="Times New Roman"/>
          <w:b/>
        </w:rPr>
        <w:t>Jod</w:t>
      </w:r>
      <w:r w:rsidRPr="00155F80">
        <w:rPr>
          <w:rFonts w:ascii="Times New Roman" w:hAnsi="Times New Roman"/>
          <w:b/>
          <w:lang w:val="hr-HR"/>
        </w:rPr>
        <w:t xml:space="preserve"> </w:t>
      </w:r>
      <w:r w:rsidRPr="00155F80">
        <w:rPr>
          <w:rFonts w:ascii="Times New Roman" w:hAnsi="Times New Roman"/>
          <w:b/>
        </w:rPr>
        <w:t>deficitarni</w:t>
      </w:r>
      <w:r w:rsidRPr="00155F80">
        <w:rPr>
          <w:rFonts w:ascii="Times New Roman" w:hAnsi="Times New Roman"/>
          <w:b/>
          <w:lang w:val="hr-HR"/>
        </w:rPr>
        <w:t xml:space="preserve"> </w:t>
      </w:r>
      <w:r w:rsidRPr="00155F80">
        <w:rPr>
          <w:rFonts w:ascii="Times New Roman" w:hAnsi="Times New Roman"/>
          <w:b/>
        </w:rPr>
        <w:t>poreme</w:t>
      </w:r>
      <w:r w:rsidRPr="00155F80">
        <w:rPr>
          <w:rFonts w:ascii="Times New Roman" w:hAnsi="Times New Roman"/>
          <w:b/>
          <w:lang w:val="hr-HR"/>
        </w:rPr>
        <w:t>ć</w:t>
      </w:r>
      <w:r w:rsidRPr="00155F80">
        <w:rPr>
          <w:rFonts w:ascii="Times New Roman" w:hAnsi="Times New Roman"/>
          <w:b/>
        </w:rPr>
        <w:t>aji</w:t>
      </w:r>
    </w:p>
    <w:p w:rsidR="00A131AD" w:rsidRPr="00155F80" w:rsidRDefault="00A131AD" w:rsidP="000C0138">
      <w:pPr>
        <w:spacing w:line="276" w:lineRule="auto"/>
        <w:rPr>
          <w:rFonts w:ascii="Times New Roman" w:hAnsi="Times New Roman"/>
          <w:b/>
          <w:lang w:val="hr-HR"/>
        </w:rPr>
      </w:pPr>
    </w:p>
    <w:p w:rsidR="00A131AD" w:rsidRPr="00155F80" w:rsidRDefault="00A131AD" w:rsidP="000C0138">
      <w:pPr>
        <w:pStyle w:val="BodyText"/>
        <w:spacing w:line="276" w:lineRule="auto"/>
        <w:rPr>
          <w:rFonts w:ascii="Times New Roman" w:hAnsi="Times New Roman"/>
          <w:lang w:val="hr-HR"/>
        </w:rPr>
      </w:pPr>
      <w:r w:rsidRPr="00155F80">
        <w:rPr>
          <w:rFonts w:ascii="Times New Roman" w:hAnsi="Times New Roman"/>
          <w:lang w:val="hr-HR"/>
        </w:rPr>
        <w:t>Programom prevencije jod deficitarnih poremećaja, značajno se unaprijedio jodni status populacij</w:t>
      </w:r>
      <w:r w:rsidR="00A87C61">
        <w:rPr>
          <w:rFonts w:ascii="Times New Roman" w:hAnsi="Times New Roman"/>
          <w:lang w:val="hr-HR"/>
        </w:rPr>
        <w:t>e F</w:t>
      </w:r>
      <w:r w:rsidRPr="00155F80">
        <w:rPr>
          <w:rFonts w:ascii="Times New Roman" w:hAnsi="Times New Roman"/>
          <w:lang w:val="hr-HR"/>
        </w:rPr>
        <w:t>BiH. Jodni status populacije FBiH, je iz umjernog st</w:t>
      </w:r>
      <w:r w:rsidR="00EA4E8B">
        <w:rPr>
          <w:rFonts w:ascii="Times New Roman" w:hAnsi="Times New Roman"/>
          <w:lang w:val="hr-HR"/>
        </w:rPr>
        <w:t>upnja</w:t>
      </w:r>
      <w:r w:rsidRPr="00155F80">
        <w:rPr>
          <w:rFonts w:ascii="Times New Roman" w:hAnsi="Times New Roman"/>
          <w:lang w:val="hr-HR"/>
        </w:rPr>
        <w:t>, zabilježenog u 2000-toj godini,</w:t>
      </w:r>
      <w:r w:rsidRPr="00155F80">
        <w:rPr>
          <w:rFonts w:ascii="Times New Roman" w:hAnsi="Times New Roman"/>
        </w:rPr>
        <w:t xml:space="preserve"> kada je </w:t>
      </w:r>
      <w:r w:rsidRPr="00155F80">
        <w:rPr>
          <w:rFonts w:ascii="Times New Roman" w:hAnsi="Times New Roman"/>
        </w:rPr>
        <w:lastRenderedPageBreak/>
        <w:t>prevalenc</w:t>
      </w:r>
      <w:r w:rsidR="00EA4E8B">
        <w:rPr>
          <w:rFonts w:ascii="Times New Roman" w:hAnsi="Times New Roman"/>
        </w:rPr>
        <w:t>ij</w:t>
      </w:r>
      <w:r w:rsidRPr="00155F80">
        <w:rPr>
          <w:rFonts w:ascii="Times New Roman" w:hAnsi="Times New Roman"/>
        </w:rPr>
        <w:t>a jodne gušavosti  iznosila</w:t>
      </w:r>
      <w:r w:rsidR="00EC077A">
        <w:rPr>
          <w:rFonts w:ascii="Times New Roman" w:hAnsi="Times New Roman"/>
          <w:lang w:val="hr-HR"/>
        </w:rPr>
        <w:t xml:space="preserve"> 27,</w:t>
      </w:r>
      <w:r w:rsidRPr="00155F80">
        <w:rPr>
          <w:rFonts w:ascii="Times New Roman" w:hAnsi="Times New Roman"/>
          <w:lang w:val="hr-HR"/>
        </w:rPr>
        <w:t>06%, do 2005</w:t>
      </w:r>
      <w:r w:rsidR="00EC077A">
        <w:rPr>
          <w:rFonts w:ascii="Times New Roman" w:hAnsi="Times New Roman"/>
          <w:lang w:val="hr-HR"/>
        </w:rPr>
        <w:t>.</w:t>
      </w:r>
      <w:r w:rsidRPr="00155F80">
        <w:rPr>
          <w:rFonts w:ascii="Times New Roman" w:hAnsi="Times New Roman"/>
          <w:lang w:val="hr-HR"/>
        </w:rPr>
        <w:t xml:space="preserve"> godine, preveden u blagi st</w:t>
      </w:r>
      <w:r w:rsidR="00EA4E8B">
        <w:rPr>
          <w:rFonts w:ascii="Times New Roman" w:hAnsi="Times New Roman"/>
          <w:lang w:val="hr-HR"/>
        </w:rPr>
        <w:t>upanj</w:t>
      </w:r>
      <w:r w:rsidRPr="00155F80">
        <w:rPr>
          <w:rFonts w:ascii="Times New Roman" w:hAnsi="Times New Roman"/>
          <w:lang w:val="hr-HR"/>
        </w:rPr>
        <w:t xml:space="preserve"> jodnog deficita, sa prevalenc</w:t>
      </w:r>
      <w:r w:rsidR="00EA4E8B">
        <w:rPr>
          <w:rFonts w:ascii="Times New Roman" w:hAnsi="Times New Roman"/>
          <w:lang w:val="hr-HR"/>
        </w:rPr>
        <w:t>ij</w:t>
      </w:r>
      <w:r w:rsidRPr="00155F80">
        <w:rPr>
          <w:rFonts w:ascii="Times New Roman" w:hAnsi="Times New Roman"/>
          <w:lang w:val="hr-HR"/>
        </w:rPr>
        <w:t>om od 9,5%.</w:t>
      </w:r>
    </w:p>
    <w:p w:rsidR="00A131AD" w:rsidRPr="00155F80" w:rsidRDefault="00A131AD" w:rsidP="000C0138">
      <w:pPr>
        <w:pStyle w:val="BodyText"/>
        <w:spacing w:line="276" w:lineRule="auto"/>
        <w:rPr>
          <w:rFonts w:ascii="Times New Roman" w:hAnsi="Times New Roman"/>
          <w:lang w:val="hr-HR"/>
        </w:rPr>
      </w:pPr>
      <w:r w:rsidRPr="00155F80">
        <w:rPr>
          <w:rFonts w:ascii="Times New Roman" w:hAnsi="Times New Roman"/>
          <w:lang w:val="hr-HR"/>
        </w:rPr>
        <w:t>U 2008</w:t>
      </w:r>
      <w:r w:rsidR="00EC077A">
        <w:rPr>
          <w:rFonts w:ascii="Times New Roman" w:hAnsi="Times New Roman"/>
          <w:lang w:val="hr-HR"/>
        </w:rPr>
        <w:t>.</w:t>
      </w:r>
      <w:r w:rsidRPr="00155F80">
        <w:rPr>
          <w:rFonts w:ascii="Times New Roman" w:hAnsi="Times New Roman"/>
          <w:lang w:val="hr-HR"/>
        </w:rPr>
        <w:t xml:space="preserve"> godini je u sklopu programa, </w:t>
      </w:r>
      <w:r w:rsidR="00EA4E8B">
        <w:rPr>
          <w:rFonts w:ascii="Times New Roman" w:hAnsi="Times New Roman"/>
        </w:rPr>
        <w:t>proveden</w:t>
      </w:r>
      <w:r w:rsidRPr="00155F80">
        <w:rPr>
          <w:rFonts w:ascii="Times New Roman" w:hAnsi="Times New Roman"/>
          <w:lang w:val="hr-HR"/>
        </w:rPr>
        <w:t xml:space="preserve"> </w:t>
      </w:r>
      <w:r w:rsidRPr="00155F80">
        <w:rPr>
          <w:rFonts w:ascii="Times New Roman" w:hAnsi="Times New Roman"/>
        </w:rPr>
        <w:t>projekt</w:t>
      </w:r>
      <w:r w:rsidRPr="00155F80">
        <w:rPr>
          <w:rFonts w:ascii="Times New Roman" w:hAnsi="Times New Roman"/>
          <w:lang w:val="hr-HR"/>
        </w:rPr>
        <w:t xml:space="preserve"> </w:t>
      </w:r>
      <w:r w:rsidRPr="00155F80">
        <w:rPr>
          <w:rFonts w:ascii="Times New Roman" w:hAnsi="Times New Roman"/>
        </w:rPr>
        <w:t>ispitivanja</w:t>
      </w:r>
      <w:r w:rsidRPr="00155F80">
        <w:rPr>
          <w:rFonts w:ascii="Times New Roman" w:hAnsi="Times New Roman"/>
          <w:lang w:val="hr-HR"/>
        </w:rPr>
        <w:t xml:space="preserve"> </w:t>
      </w:r>
      <w:r w:rsidRPr="00155F80">
        <w:rPr>
          <w:rFonts w:ascii="Times New Roman" w:hAnsi="Times New Roman"/>
        </w:rPr>
        <w:t>jodnog</w:t>
      </w:r>
      <w:r w:rsidRPr="00155F80">
        <w:rPr>
          <w:rFonts w:ascii="Times New Roman" w:hAnsi="Times New Roman"/>
          <w:lang w:val="hr-HR"/>
        </w:rPr>
        <w:t xml:space="preserve"> </w:t>
      </w:r>
      <w:r w:rsidRPr="00155F80">
        <w:rPr>
          <w:rFonts w:ascii="Times New Roman" w:hAnsi="Times New Roman"/>
        </w:rPr>
        <w:t>statusa</w:t>
      </w:r>
      <w:r w:rsidRPr="00155F80">
        <w:rPr>
          <w:rFonts w:ascii="Times New Roman" w:hAnsi="Times New Roman"/>
          <w:lang w:val="hr-HR"/>
        </w:rPr>
        <w:t xml:space="preserve"> </w:t>
      </w:r>
      <w:r w:rsidRPr="00155F80">
        <w:rPr>
          <w:rFonts w:ascii="Times New Roman" w:hAnsi="Times New Roman"/>
        </w:rPr>
        <w:t>trudnica</w:t>
      </w:r>
      <w:r w:rsidRPr="00155F80">
        <w:rPr>
          <w:rFonts w:ascii="Times New Roman" w:hAnsi="Times New Roman"/>
          <w:lang w:val="hr-HR"/>
        </w:rPr>
        <w:t xml:space="preserve"> </w:t>
      </w:r>
      <w:r w:rsidRPr="00155F80">
        <w:rPr>
          <w:rFonts w:ascii="Times New Roman" w:hAnsi="Times New Roman"/>
        </w:rPr>
        <w:t>i</w:t>
      </w:r>
      <w:r w:rsidRPr="00155F80">
        <w:rPr>
          <w:rFonts w:ascii="Times New Roman" w:hAnsi="Times New Roman"/>
          <w:lang w:val="hr-HR"/>
        </w:rPr>
        <w:t xml:space="preserve"> </w:t>
      </w:r>
      <w:r w:rsidRPr="00155F80">
        <w:rPr>
          <w:rFonts w:ascii="Times New Roman" w:hAnsi="Times New Roman"/>
        </w:rPr>
        <w:t>dojilja</w:t>
      </w:r>
      <w:r w:rsidRPr="00155F80">
        <w:rPr>
          <w:rStyle w:val="FootnoteReference"/>
          <w:rFonts w:ascii="Times New Roman" w:hAnsi="Times New Roman"/>
        </w:rPr>
        <w:footnoteReference w:id="1"/>
      </w:r>
      <w:r w:rsidRPr="00155F80">
        <w:rPr>
          <w:rFonts w:ascii="Times New Roman" w:hAnsi="Times New Roman"/>
          <w:lang w:val="hr-HR"/>
        </w:rPr>
        <w:t xml:space="preserve"> na području cijele Bosne i Hercegovine. U ispitivanjima na području FBiH je </w:t>
      </w:r>
      <w:r w:rsidR="00EA4E8B">
        <w:rPr>
          <w:rFonts w:ascii="Times New Roman" w:hAnsi="Times New Roman"/>
          <w:lang w:val="hr-HR"/>
        </w:rPr>
        <w:t>sudjelovalo</w:t>
      </w:r>
      <w:r w:rsidRPr="00155F80">
        <w:rPr>
          <w:rFonts w:ascii="Times New Roman" w:hAnsi="Times New Roman"/>
          <w:lang w:val="hr-HR"/>
        </w:rPr>
        <w:t xml:space="preserve"> 757 trudnica i 312 dojilja iz 11 zdravstvenih centara. Analizirana je urinarna jodna ekskrecija, u odnosu  na normalne vrijednosti medijane prema kriteri</w:t>
      </w:r>
      <w:r w:rsidR="00EA4E8B">
        <w:rPr>
          <w:rFonts w:ascii="Times New Roman" w:hAnsi="Times New Roman"/>
          <w:lang w:val="hr-HR"/>
        </w:rPr>
        <w:t>j</w:t>
      </w:r>
      <w:r w:rsidRPr="00155F80">
        <w:rPr>
          <w:rFonts w:ascii="Times New Roman" w:hAnsi="Times New Roman"/>
          <w:lang w:val="hr-HR"/>
        </w:rPr>
        <w:t>umima SZO</w:t>
      </w:r>
      <w:r w:rsidR="00AA0D77" w:rsidRPr="00155F80">
        <w:rPr>
          <w:rFonts w:ascii="Times New Roman" w:hAnsi="Times New Roman"/>
          <w:lang w:val="hr-HR"/>
        </w:rPr>
        <w:t>-</w:t>
      </w:r>
      <w:r w:rsidRPr="00155F80">
        <w:rPr>
          <w:rFonts w:ascii="Times New Roman" w:hAnsi="Times New Roman"/>
          <w:lang w:val="hr-HR"/>
        </w:rPr>
        <w:t>a i UNICEF</w:t>
      </w:r>
      <w:r w:rsidR="00AA0D77" w:rsidRPr="00155F80">
        <w:rPr>
          <w:rFonts w:ascii="Times New Roman" w:hAnsi="Times New Roman"/>
          <w:lang w:val="hr-HR"/>
        </w:rPr>
        <w:t>-</w:t>
      </w:r>
      <w:r w:rsidRPr="00155F80">
        <w:rPr>
          <w:rFonts w:ascii="Times New Roman" w:hAnsi="Times New Roman"/>
          <w:lang w:val="hr-HR"/>
        </w:rPr>
        <w:t>a iz 2007</w:t>
      </w:r>
      <w:r w:rsidR="00EC077A">
        <w:rPr>
          <w:rFonts w:ascii="Times New Roman" w:hAnsi="Times New Roman"/>
          <w:lang w:val="hr-HR"/>
        </w:rPr>
        <w:t>.</w:t>
      </w:r>
      <w:r w:rsidRPr="00155F80">
        <w:rPr>
          <w:rFonts w:ascii="Times New Roman" w:hAnsi="Times New Roman"/>
          <w:lang w:val="hr-HR"/>
        </w:rPr>
        <w:t xml:space="preserve"> godine koje za trudnice iznose od 150-250µg/l. </w:t>
      </w:r>
    </w:p>
    <w:p w:rsidR="00A131AD" w:rsidRPr="00155F80" w:rsidRDefault="00A131AD" w:rsidP="000C0138">
      <w:pPr>
        <w:pStyle w:val="BodyText"/>
        <w:spacing w:line="276" w:lineRule="auto"/>
        <w:rPr>
          <w:rFonts w:ascii="Times New Roman" w:hAnsi="Times New Roman"/>
          <w:lang w:val="hr-HR"/>
        </w:rPr>
      </w:pPr>
      <w:r w:rsidRPr="00155F80">
        <w:rPr>
          <w:rFonts w:ascii="Times New Roman" w:hAnsi="Times New Roman"/>
          <w:lang w:val="hr-HR"/>
        </w:rPr>
        <w:t>Ukupno 48,6% trudnica i 22</w:t>
      </w:r>
      <w:r w:rsidR="00EC077A">
        <w:rPr>
          <w:rFonts w:ascii="Times New Roman" w:hAnsi="Times New Roman"/>
          <w:lang w:val="hr-HR"/>
        </w:rPr>
        <w:t>,</w:t>
      </w:r>
      <w:r w:rsidRPr="00155F80">
        <w:rPr>
          <w:rFonts w:ascii="Times New Roman" w:hAnsi="Times New Roman"/>
          <w:lang w:val="hr-HR"/>
        </w:rPr>
        <w:t>7% dojilja imalo je vrijednosti urinarne jodne ekskrecije niže od normalnih, što je ukazalo da unos joda kod trudnica i dojilja nedovoljan za njihove povećane potrebe.</w:t>
      </w:r>
    </w:p>
    <w:p w:rsidR="00A131AD" w:rsidRPr="00155F80" w:rsidRDefault="00A131AD" w:rsidP="000C0138">
      <w:pPr>
        <w:pStyle w:val="BodyText"/>
        <w:spacing w:line="276" w:lineRule="auto"/>
        <w:rPr>
          <w:rFonts w:ascii="Times New Roman" w:hAnsi="Times New Roman"/>
          <w:lang w:val="hr-HR"/>
        </w:rPr>
      </w:pPr>
      <w:r w:rsidRPr="00155F80">
        <w:rPr>
          <w:rFonts w:ascii="Times New Roman" w:hAnsi="Times New Roman"/>
          <w:lang w:val="hr-HR"/>
        </w:rPr>
        <w:t>Iako je za ovu populaci</w:t>
      </w:r>
      <w:r w:rsidR="00EA4E8B">
        <w:rPr>
          <w:rFonts w:ascii="Times New Roman" w:hAnsi="Times New Roman"/>
          <w:lang w:val="hr-HR"/>
        </w:rPr>
        <w:t>jsku</w:t>
      </w:r>
      <w:r w:rsidRPr="00155F80">
        <w:rPr>
          <w:rFonts w:ascii="Times New Roman" w:hAnsi="Times New Roman"/>
          <w:lang w:val="hr-HR"/>
        </w:rPr>
        <w:t xml:space="preserve"> grupu, s obzirom na nalaze istraživanja, razmatrana jodna supstitu</w:t>
      </w:r>
      <w:r w:rsidR="001935FA" w:rsidRPr="00155F80">
        <w:rPr>
          <w:rFonts w:ascii="Times New Roman" w:hAnsi="Times New Roman"/>
          <w:lang w:val="hr-HR"/>
        </w:rPr>
        <w:t>cija u formi tableta, do implem</w:t>
      </w:r>
      <w:r w:rsidRPr="00155F80">
        <w:rPr>
          <w:rFonts w:ascii="Times New Roman" w:hAnsi="Times New Roman"/>
          <w:lang w:val="hr-HR"/>
        </w:rPr>
        <w:t>e</w:t>
      </w:r>
      <w:r w:rsidR="001935FA" w:rsidRPr="00155F80">
        <w:rPr>
          <w:rFonts w:ascii="Times New Roman" w:hAnsi="Times New Roman"/>
          <w:lang w:val="hr-HR"/>
        </w:rPr>
        <w:t>n</w:t>
      </w:r>
      <w:r w:rsidRPr="00155F80">
        <w:rPr>
          <w:rFonts w:ascii="Times New Roman" w:hAnsi="Times New Roman"/>
          <w:lang w:val="hr-HR"/>
        </w:rPr>
        <w:t xml:space="preserve">tacije ove javno zdravstvene intervencije nije došlo. </w:t>
      </w:r>
    </w:p>
    <w:p w:rsidR="00A131AD" w:rsidRPr="00155F80" w:rsidRDefault="00A131AD" w:rsidP="000C0138">
      <w:pPr>
        <w:pStyle w:val="BodyText"/>
        <w:spacing w:line="276" w:lineRule="auto"/>
        <w:rPr>
          <w:rFonts w:ascii="Times New Roman" w:hAnsi="Times New Roman"/>
          <w:lang w:val="hr-HR"/>
        </w:rPr>
      </w:pPr>
      <w:r w:rsidRPr="00155F80">
        <w:rPr>
          <w:rFonts w:ascii="Times New Roman" w:hAnsi="Times New Roman"/>
          <w:lang w:val="hr-HR"/>
        </w:rPr>
        <w:t>I druge neophodne aktivnosti za praćenje i prevenciju jod deficitarnih poremećaja stagniraju, te ih je neophodno reafirmi</w:t>
      </w:r>
      <w:r w:rsidR="00EA4E8B">
        <w:rPr>
          <w:rFonts w:ascii="Times New Roman" w:hAnsi="Times New Roman"/>
          <w:lang w:val="hr-HR"/>
        </w:rPr>
        <w:t>r</w:t>
      </w:r>
      <w:r w:rsidRPr="00155F80">
        <w:rPr>
          <w:rFonts w:ascii="Times New Roman" w:hAnsi="Times New Roman"/>
          <w:lang w:val="hr-HR"/>
        </w:rPr>
        <w:t xml:space="preserve">ati, a kao prioritetnu pokrenuti uspostavu kontinuiranog monitoringa sadržaja joda u soli za ljudsku </w:t>
      </w:r>
      <w:r w:rsidR="00EA4E8B">
        <w:rPr>
          <w:rFonts w:ascii="Times New Roman" w:hAnsi="Times New Roman"/>
          <w:lang w:val="hr-HR"/>
        </w:rPr>
        <w:t>pre</w:t>
      </w:r>
      <w:r w:rsidRPr="00155F80">
        <w:rPr>
          <w:rFonts w:ascii="Times New Roman" w:hAnsi="Times New Roman"/>
          <w:lang w:val="hr-HR"/>
        </w:rPr>
        <w:t>hranu, te provođenje populaci</w:t>
      </w:r>
      <w:r w:rsidR="00EA4E8B">
        <w:rPr>
          <w:rFonts w:ascii="Times New Roman" w:hAnsi="Times New Roman"/>
          <w:lang w:val="hr-HR"/>
        </w:rPr>
        <w:t>jskog</w:t>
      </w:r>
      <w:r w:rsidRPr="00155F80">
        <w:rPr>
          <w:rFonts w:ascii="Times New Roman" w:hAnsi="Times New Roman"/>
          <w:lang w:val="hr-HR"/>
        </w:rPr>
        <w:t xml:space="preserve"> istraživanja. </w:t>
      </w:r>
    </w:p>
    <w:p w:rsidR="00A131AD" w:rsidRPr="00155F80" w:rsidRDefault="00A131AD" w:rsidP="000C0138">
      <w:pPr>
        <w:spacing w:line="276" w:lineRule="auto"/>
        <w:rPr>
          <w:rFonts w:ascii="Times New Roman" w:hAnsi="Times New Roman"/>
          <w:noProof/>
          <w:lang w:val="hr-HR" w:eastAsia="de-DE"/>
        </w:rPr>
      </w:pPr>
    </w:p>
    <w:p w:rsidR="00A131AD" w:rsidRPr="00155F80" w:rsidRDefault="00A131AD" w:rsidP="000C0138">
      <w:pPr>
        <w:spacing w:line="276" w:lineRule="auto"/>
        <w:rPr>
          <w:rFonts w:ascii="Times New Roman" w:hAnsi="Times New Roman"/>
          <w:b/>
          <w:lang w:val="hr-HR"/>
        </w:rPr>
      </w:pPr>
      <w:r w:rsidRPr="00155F80">
        <w:rPr>
          <w:rFonts w:ascii="Times New Roman" w:hAnsi="Times New Roman"/>
          <w:b/>
          <w:lang w:val="hr-HR"/>
        </w:rPr>
        <w:t>Anemija uslijed nedostatka željeza</w:t>
      </w:r>
    </w:p>
    <w:p w:rsidR="00A131AD" w:rsidRPr="00155F80" w:rsidRDefault="00A131AD" w:rsidP="000C0138">
      <w:pPr>
        <w:spacing w:line="276" w:lineRule="auto"/>
        <w:rPr>
          <w:rFonts w:ascii="Times New Roman" w:hAnsi="Times New Roman"/>
          <w:noProof/>
          <w:lang w:val="hr-HR" w:eastAsia="de-DE"/>
        </w:rPr>
      </w:pPr>
    </w:p>
    <w:p w:rsidR="00A131AD" w:rsidRPr="00155F80" w:rsidRDefault="00A131AD" w:rsidP="000C0138">
      <w:pPr>
        <w:spacing w:line="276" w:lineRule="auto"/>
        <w:rPr>
          <w:rFonts w:ascii="Times New Roman" w:hAnsi="Times New Roman"/>
          <w:noProof/>
          <w:lang w:val="hr-HR" w:eastAsia="de-DE"/>
        </w:rPr>
      </w:pPr>
      <w:r w:rsidRPr="00155F80">
        <w:rPr>
          <w:rFonts w:ascii="Times New Roman" w:hAnsi="Times New Roman"/>
          <w:noProof/>
          <w:lang w:val="hr-HR" w:eastAsia="de-DE"/>
        </w:rPr>
        <w:t>Poda</w:t>
      </w:r>
      <w:r w:rsidR="00EA4E8B">
        <w:rPr>
          <w:rFonts w:ascii="Times New Roman" w:hAnsi="Times New Roman"/>
          <w:noProof/>
          <w:lang w:val="hr-HR" w:eastAsia="de-DE"/>
        </w:rPr>
        <w:t>t</w:t>
      </w:r>
      <w:r w:rsidRPr="00155F80">
        <w:rPr>
          <w:rFonts w:ascii="Times New Roman" w:hAnsi="Times New Roman"/>
          <w:noProof/>
          <w:lang w:val="hr-HR" w:eastAsia="de-DE"/>
        </w:rPr>
        <w:t xml:space="preserve">ci vezani za anemiju dobiveni su Istraživanjem o anemiji među djecom i ženama u Federaciji Bosne i Hercegovine, </w:t>
      </w:r>
      <w:r w:rsidR="00A87C61">
        <w:rPr>
          <w:rFonts w:ascii="Times New Roman" w:hAnsi="Times New Roman"/>
          <w:noProof/>
          <w:lang w:val="hr-HR" w:eastAsia="de-DE"/>
        </w:rPr>
        <w:t xml:space="preserve">koje je obuhvatilo djecu </w:t>
      </w:r>
      <w:r w:rsidR="00EA4E8B">
        <w:rPr>
          <w:rFonts w:ascii="Times New Roman" w:hAnsi="Times New Roman"/>
          <w:noProof/>
          <w:lang w:val="hr-HR" w:eastAsia="de-DE"/>
        </w:rPr>
        <w:t>dobi</w:t>
      </w:r>
      <w:r w:rsidR="00A87C61">
        <w:rPr>
          <w:rFonts w:ascii="Times New Roman" w:hAnsi="Times New Roman"/>
          <w:noProof/>
          <w:lang w:val="hr-HR" w:eastAsia="de-DE"/>
        </w:rPr>
        <w:t xml:space="preserve"> 0</w:t>
      </w:r>
      <w:r w:rsidRPr="00155F80">
        <w:rPr>
          <w:rFonts w:ascii="Times New Roman" w:hAnsi="Times New Roman"/>
          <w:noProof/>
          <w:lang w:val="hr-HR" w:eastAsia="de-DE"/>
        </w:rPr>
        <w:t xml:space="preserve">-15 godina i žene reproduktivne dobi (15-49 god), a prisustvo anemije je utvrđivano </w:t>
      </w:r>
      <w:r w:rsidR="00EA4E8B">
        <w:rPr>
          <w:rFonts w:ascii="Times New Roman" w:hAnsi="Times New Roman"/>
          <w:noProof/>
          <w:lang w:val="hr-HR" w:eastAsia="de-DE"/>
        </w:rPr>
        <w:t>temeljem</w:t>
      </w:r>
      <w:r w:rsidRPr="00155F80">
        <w:rPr>
          <w:rFonts w:ascii="Times New Roman" w:hAnsi="Times New Roman"/>
          <w:noProof/>
          <w:lang w:val="hr-HR" w:eastAsia="de-DE"/>
        </w:rPr>
        <w:t xml:space="preserve"> </w:t>
      </w:r>
      <w:r w:rsidRPr="00155F80">
        <w:rPr>
          <w:rFonts w:ascii="Times New Roman" w:hAnsi="Times New Roman"/>
          <w:lang w:val="bs-Latn-BA"/>
        </w:rPr>
        <w:t xml:space="preserve">određivanja statusa hemoglobina u krvi. </w:t>
      </w:r>
      <w:r w:rsidRPr="00155F80">
        <w:rPr>
          <w:rFonts w:ascii="Times New Roman" w:hAnsi="Times New Roman"/>
          <w:noProof/>
          <w:lang w:val="hr-HR" w:eastAsia="de-DE"/>
        </w:rPr>
        <w:t xml:space="preserve"> </w:t>
      </w:r>
      <w:r w:rsidR="00A87C61">
        <w:rPr>
          <w:rFonts w:ascii="Times New Roman" w:hAnsi="Times New Roman"/>
          <w:noProof/>
          <w:lang w:val="hr-HR" w:eastAsia="de-DE"/>
        </w:rPr>
        <w:t>(10)</w:t>
      </w:r>
    </w:p>
    <w:p w:rsidR="00A131AD" w:rsidRPr="00155F80" w:rsidRDefault="00A131AD" w:rsidP="000C0138">
      <w:pPr>
        <w:spacing w:line="276" w:lineRule="auto"/>
        <w:rPr>
          <w:rFonts w:ascii="Times New Roman" w:hAnsi="Times New Roman"/>
          <w:noProof/>
          <w:lang w:val="hr-HR" w:eastAsia="de-DE"/>
        </w:rPr>
      </w:pPr>
    </w:p>
    <w:p w:rsidR="00A131AD" w:rsidRPr="00155F80" w:rsidRDefault="00A131AD" w:rsidP="000C0138">
      <w:pPr>
        <w:spacing w:line="276" w:lineRule="auto"/>
        <w:rPr>
          <w:rFonts w:ascii="Times New Roman" w:hAnsi="Times New Roman"/>
          <w:noProof/>
          <w:lang w:val="hr-HR" w:eastAsia="de-DE"/>
        </w:rPr>
      </w:pPr>
      <w:r w:rsidRPr="00155F80">
        <w:rPr>
          <w:rFonts w:ascii="Times New Roman" w:hAnsi="Times New Roman"/>
          <w:noProof/>
          <w:lang w:val="hr-HR" w:eastAsia="de-DE"/>
        </w:rPr>
        <w:t>Prevalenc</w:t>
      </w:r>
      <w:r w:rsidR="00EA4E8B">
        <w:rPr>
          <w:rFonts w:ascii="Times New Roman" w:hAnsi="Times New Roman"/>
          <w:noProof/>
          <w:lang w:val="hr-HR" w:eastAsia="de-DE"/>
        </w:rPr>
        <w:t>ij</w:t>
      </w:r>
      <w:r w:rsidRPr="00155F80">
        <w:rPr>
          <w:rFonts w:ascii="Times New Roman" w:hAnsi="Times New Roman"/>
          <w:noProof/>
          <w:lang w:val="hr-HR" w:eastAsia="de-DE"/>
        </w:rPr>
        <w:t>a anemije</w:t>
      </w:r>
      <w:r w:rsidR="00AA0D77" w:rsidRPr="00155F80">
        <w:rPr>
          <w:rFonts w:ascii="Times New Roman" w:hAnsi="Times New Roman"/>
          <w:noProof/>
          <w:lang w:val="hr-HR" w:eastAsia="de-DE"/>
        </w:rPr>
        <w:t xml:space="preserve"> kod  najvulnerabilnije skupine- </w:t>
      </w:r>
      <w:r w:rsidRPr="00155F80">
        <w:rPr>
          <w:rFonts w:ascii="Times New Roman" w:hAnsi="Times New Roman"/>
          <w:noProof/>
          <w:lang w:val="hr-HR" w:eastAsia="de-DE"/>
        </w:rPr>
        <w:t xml:space="preserve">djece </w:t>
      </w:r>
      <w:r w:rsidR="00A32D67">
        <w:rPr>
          <w:rFonts w:ascii="Times New Roman" w:hAnsi="Times New Roman"/>
          <w:noProof/>
          <w:lang w:val="hr-HR" w:eastAsia="de-DE"/>
        </w:rPr>
        <w:t>dobi</w:t>
      </w:r>
      <w:r w:rsidRPr="00155F80">
        <w:rPr>
          <w:rFonts w:ascii="Times New Roman" w:hAnsi="Times New Roman"/>
          <w:noProof/>
          <w:lang w:val="hr-HR" w:eastAsia="de-DE"/>
        </w:rPr>
        <w:t xml:space="preserve"> 6-59 mjeseci iznosi 18,4%, dok kod djece dobi 11-15 godina iznosi 11,5%. Prema kriterijima SZO</w:t>
      </w:r>
      <w:r w:rsidR="00A32D67">
        <w:rPr>
          <w:rFonts w:ascii="Times New Roman" w:hAnsi="Times New Roman"/>
          <w:noProof/>
          <w:lang w:val="hr-HR" w:eastAsia="de-DE"/>
        </w:rPr>
        <w:t>-</w:t>
      </w:r>
      <w:r w:rsidRPr="00155F80">
        <w:rPr>
          <w:rFonts w:ascii="Times New Roman" w:hAnsi="Times New Roman"/>
          <w:noProof/>
          <w:lang w:val="hr-HR" w:eastAsia="de-DE"/>
        </w:rPr>
        <w:t>a ocjenu st</w:t>
      </w:r>
      <w:r w:rsidR="00A32D67">
        <w:rPr>
          <w:rFonts w:ascii="Times New Roman" w:hAnsi="Times New Roman"/>
          <w:noProof/>
          <w:lang w:val="hr-HR" w:eastAsia="de-DE"/>
        </w:rPr>
        <w:t>upnja</w:t>
      </w:r>
      <w:r w:rsidRPr="00155F80">
        <w:rPr>
          <w:rFonts w:ascii="Times New Roman" w:hAnsi="Times New Roman"/>
          <w:noProof/>
          <w:lang w:val="hr-HR" w:eastAsia="de-DE"/>
        </w:rPr>
        <w:t xml:space="preserve"> anemije na populaci</w:t>
      </w:r>
      <w:r w:rsidR="00A32D67">
        <w:rPr>
          <w:rFonts w:ascii="Times New Roman" w:hAnsi="Times New Roman"/>
          <w:noProof/>
          <w:lang w:val="hr-HR" w:eastAsia="de-DE"/>
        </w:rPr>
        <w:t>jskoj</w:t>
      </w:r>
      <w:r w:rsidRPr="00155F80">
        <w:rPr>
          <w:rFonts w:ascii="Times New Roman" w:hAnsi="Times New Roman"/>
          <w:noProof/>
          <w:lang w:val="hr-HR" w:eastAsia="de-DE"/>
        </w:rPr>
        <w:t xml:space="preserve"> </w:t>
      </w:r>
      <w:r w:rsidR="00A32D67">
        <w:rPr>
          <w:rFonts w:ascii="Times New Roman" w:hAnsi="Times New Roman"/>
          <w:noProof/>
          <w:lang w:val="hr-HR" w:eastAsia="de-DE"/>
        </w:rPr>
        <w:t>razini</w:t>
      </w:r>
      <w:r w:rsidRPr="00155F80">
        <w:rPr>
          <w:rFonts w:ascii="Times New Roman" w:hAnsi="Times New Roman"/>
          <w:noProof/>
          <w:lang w:val="hr-HR" w:eastAsia="de-DE"/>
        </w:rPr>
        <w:t>, prevalenc</w:t>
      </w:r>
      <w:r w:rsidR="00A32D67">
        <w:rPr>
          <w:rFonts w:ascii="Times New Roman" w:hAnsi="Times New Roman"/>
          <w:noProof/>
          <w:lang w:val="hr-HR" w:eastAsia="de-DE"/>
        </w:rPr>
        <w:t>ij</w:t>
      </w:r>
      <w:r w:rsidRPr="00155F80">
        <w:rPr>
          <w:rFonts w:ascii="Times New Roman" w:hAnsi="Times New Roman"/>
          <w:noProof/>
          <w:lang w:val="hr-HR" w:eastAsia="de-DE"/>
        </w:rPr>
        <w:t>a od 5-19% predstavlja blagi st</w:t>
      </w:r>
      <w:r w:rsidR="00A32D67">
        <w:rPr>
          <w:rFonts w:ascii="Times New Roman" w:hAnsi="Times New Roman"/>
          <w:noProof/>
          <w:lang w:val="hr-HR" w:eastAsia="de-DE"/>
        </w:rPr>
        <w:t>upanj</w:t>
      </w:r>
      <w:r w:rsidRPr="00155F80">
        <w:rPr>
          <w:rFonts w:ascii="Times New Roman" w:hAnsi="Times New Roman"/>
          <w:noProof/>
          <w:lang w:val="hr-HR" w:eastAsia="de-DE"/>
        </w:rPr>
        <w:t>, a prevalenc</w:t>
      </w:r>
      <w:r w:rsidR="00A32D67">
        <w:rPr>
          <w:rFonts w:ascii="Times New Roman" w:hAnsi="Times New Roman"/>
          <w:noProof/>
          <w:lang w:val="hr-HR" w:eastAsia="de-DE"/>
        </w:rPr>
        <w:t>ij</w:t>
      </w:r>
      <w:r w:rsidRPr="00155F80">
        <w:rPr>
          <w:rFonts w:ascii="Times New Roman" w:hAnsi="Times New Roman"/>
          <w:noProof/>
          <w:lang w:val="hr-HR" w:eastAsia="de-DE"/>
        </w:rPr>
        <w:t>a od 20,0-39,9% -  predstavlja prisustvo anemije umjerenog st</w:t>
      </w:r>
      <w:r w:rsidR="00A32D67">
        <w:rPr>
          <w:rFonts w:ascii="Times New Roman" w:hAnsi="Times New Roman"/>
          <w:noProof/>
          <w:lang w:val="hr-HR" w:eastAsia="de-DE"/>
        </w:rPr>
        <w:t>upnja</w:t>
      </w:r>
      <w:r w:rsidRPr="00155F80">
        <w:rPr>
          <w:rFonts w:ascii="Times New Roman" w:hAnsi="Times New Roman"/>
          <w:noProof/>
          <w:lang w:val="hr-HR" w:eastAsia="de-DE"/>
        </w:rPr>
        <w:t>, te se može zaključiti da se kod djece na području FBiH bilježi blagi st</w:t>
      </w:r>
      <w:r w:rsidR="00A32D67">
        <w:rPr>
          <w:rFonts w:ascii="Times New Roman" w:hAnsi="Times New Roman"/>
          <w:noProof/>
          <w:lang w:val="hr-HR" w:eastAsia="de-DE"/>
        </w:rPr>
        <w:t>upanj</w:t>
      </w:r>
      <w:r w:rsidRPr="00155F80">
        <w:rPr>
          <w:rFonts w:ascii="Times New Roman" w:hAnsi="Times New Roman"/>
          <w:noProof/>
          <w:lang w:val="hr-HR" w:eastAsia="de-DE"/>
        </w:rPr>
        <w:t xml:space="preserve"> anemije. </w:t>
      </w:r>
    </w:p>
    <w:p w:rsidR="00A131AD" w:rsidRPr="00155F80" w:rsidRDefault="00A131AD" w:rsidP="000C0138">
      <w:pPr>
        <w:spacing w:line="276" w:lineRule="auto"/>
        <w:rPr>
          <w:rFonts w:ascii="Times New Roman" w:hAnsi="Times New Roman"/>
          <w:noProof/>
          <w:lang w:val="hr-HR" w:eastAsia="de-DE"/>
        </w:rPr>
      </w:pPr>
      <w:r w:rsidRPr="00155F80">
        <w:rPr>
          <w:rFonts w:ascii="Times New Roman" w:hAnsi="Times New Roman"/>
          <w:noProof/>
          <w:lang w:val="hr-HR" w:eastAsia="de-DE"/>
        </w:rPr>
        <w:t>Među ženama od 15-49 godina anemija je prisutna u 22,1% slučajeva, odnosno prisutna je u umjerenom st</w:t>
      </w:r>
      <w:r w:rsidR="00A32D67">
        <w:rPr>
          <w:rFonts w:ascii="Times New Roman" w:hAnsi="Times New Roman"/>
          <w:noProof/>
          <w:lang w:val="hr-HR" w:eastAsia="de-DE"/>
        </w:rPr>
        <w:t>upnju</w:t>
      </w:r>
      <w:r w:rsidRPr="00155F80">
        <w:rPr>
          <w:rFonts w:ascii="Times New Roman" w:hAnsi="Times New Roman"/>
          <w:noProof/>
          <w:lang w:val="hr-HR" w:eastAsia="de-DE"/>
        </w:rPr>
        <w:t xml:space="preserve">, i to na donjoj granici referentnog </w:t>
      </w:r>
      <w:r w:rsidRPr="00F83CAD">
        <w:rPr>
          <w:rFonts w:ascii="Times New Roman" w:hAnsi="Times New Roman"/>
          <w:noProof/>
          <w:lang w:val="hr-HR" w:eastAsia="de-DE"/>
        </w:rPr>
        <w:t xml:space="preserve">raspona. </w:t>
      </w:r>
      <w:r w:rsidR="000C5C93" w:rsidRPr="00F83CAD">
        <w:rPr>
          <w:rFonts w:ascii="Times New Roman" w:hAnsi="Times New Roman"/>
          <w:noProof/>
          <w:lang w:val="hr-HR" w:eastAsia="de-DE"/>
        </w:rPr>
        <w:t>(10</w:t>
      </w:r>
      <w:r w:rsidR="00AA0D77" w:rsidRPr="00F83CAD">
        <w:rPr>
          <w:rFonts w:ascii="Times New Roman" w:hAnsi="Times New Roman"/>
          <w:noProof/>
          <w:lang w:val="hr-HR" w:eastAsia="de-DE"/>
        </w:rPr>
        <w:t>)</w:t>
      </w:r>
    </w:p>
    <w:p w:rsidR="00A131AD" w:rsidRPr="00155F80" w:rsidRDefault="00A131AD" w:rsidP="000C0138">
      <w:pPr>
        <w:spacing w:line="276" w:lineRule="auto"/>
        <w:rPr>
          <w:rFonts w:ascii="Times New Roman" w:hAnsi="Times New Roman"/>
          <w:noProof/>
          <w:lang w:val="hr-HR" w:eastAsia="de-DE"/>
        </w:rPr>
      </w:pPr>
    </w:p>
    <w:p w:rsidR="00A131AD" w:rsidRPr="00155F80" w:rsidRDefault="00A131AD" w:rsidP="00B37E7E">
      <w:pPr>
        <w:pStyle w:val="refererere"/>
        <w:rPr>
          <w:noProof/>
          <w:lang w:val="hr-HR" w:eastAsia="de-DE"/>
        </w:rPr>
      </w:pPr>
      <w:r w:rsidRPr="00155F80">
        <w:rPr>
          <w:noProof/>
          <w:lang w:val="hr-HR" w:eastAsia="de-DE"/>
        </w:rPr>
        <w:t>Tabl</w:t>
      </w:r>
      <w:r w:rsidR="00A32D67">
        <w:rPr>
          <w:noProof/>
          <w:lang w:val="hr-HR" w:eastAsia="de-DE"/>
        </w:rPr>
        <w:t>ic</w:t>
      </w:r>
      <w:r w:rsidRPr="00155F80">
        <w:rPr>
          <w:noProof/>
          <w:lang w:val="hr-HR" w:eastAsia="de-DE"/>
        </w:rPr>
        <w:t>a 14: Učestalost anemije kod djece i žena na području Federacije Bosne i Hercegovine, 2012. godina.</w:t>
      </w:r>
    </w:p>
    <w:tbl>
      <w:tblPr>
        <w:tblStyle w:val="MediumGrid3-Accent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97"/>
        <w:gridCol w:w="3094"/>
        <w:gridCol w:w="3097"/>
      </w:tblGrid>
      <w:tr w:rsidR="00A87C61" w:rsidRPr="00A87C61" w:rsidTr="00C63C6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9" w:type="dxa"/>
            <w:tcBorders>
              <w:top w:val="none" w:sz="0" w:space="0" w:color="auto"/>
              <w:left w:val="none" w:sz="0" w:space="0" w:color="auto"/>
              <w:bottom w:val="none" w:sz="0" w:space="0" w:color="auto"/>
              <w:right w:val="none" w:sz="0" w:space="0" w:color="auto"/>
            </w:tcBorders>
            <w:shd w:val="clear" w:color="auto" w:fill="E7E6E6" w:themeFill="background2"/>
          </w:tcPr>
          <w:p w:rsidR="00A131AD" w:rsidRPr="00C63C62" w:rsidRDefault="00A131AD" w:rsidP="000C0138">
            <w:pPr>
              <w:spacing w:line="276" w:lineRule="auto"/>
              <w:rPr>
                <w:rFonts w:ascii="Times New Roman" w:hAnsi="Times New Roman"/>
                <w:noProof/>
                <w:color w:val="auto"/>
                <w:lang w:val="hr-HR" w:eastAsia="de-DE"/>
              </w:rPr>
            </w:pPr>
            <w:r w:rsidRPr="00C63C62">
              <w:rPr>
                <w:rFonts w:ascii="Times New Roman" w:hAnsi="Times New Roman"/>
                <w:noProof/>
                <w:color w:val="auto"/>
                <w:lang w:val="hr-HR" w:eastAsia="de-DE"/>
              </w:rPr>
              <w:t xml:space="preserve">Anemija </w:t>
            </w:r>
          </w:p>
          <w:p w:rsidR="00A131AD" w:rsidRPr="00C63C62" w:rsidRDefault="00A131AD" w:rsidP="000C0138">
            <w:pPr>
              <w:spacing w:line="276" w:lineRule="auto"/>
              <w:rPr>
                <w:rFonts w:ascii="Times New Roman" w:hAnsi="Times New Roman"/>
                <w:noProof/>
                <w:color w:val="auto"/>
                <w:lang w:val="hr-HR" w:eastAsia="de-DE"/>
              </w:rPr>
            </w:pPr>
          </w:p>
        </w:tc>
        <w:tc>
          <w:tcPr>
            <w:tcW w:w="3118" w:type="dxa"/>
            <w:tcBorders>
              <w:top w:val="none" w:sz="0" w:space="0" w:color="auto"/>
              <w:left w:val="none" w:sz="0" w:space="0" w:color="auto"/>
              <w:bottom w:val="none" w:sz="0" w:space="0" w:color="auto"/>
              <w:right w:val="none" w:sz="0" w:space="0" w:color="auto"/>
            </w:tcBorders>
            <w:shd w:val="clear" w:color="auto" w:fill="E7E6E6" w:themeFill="background2"/>
            <w:vAlign w:val="center"/>
          </w:tcPr>
          <w:p w:rsidR="00A131AD" w:rsidRPr="00C63C62" w:rsidRDefault="00A131AD" w:rsidP="00A87C61">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noProof/>
                <w:color w:val="auto"/>
                <w:lang w:val="hr-HR" w:eastAsia="de-DE"/>
              </w:rPr>
            </w:pPr>
            <w:r w:rsidRPr="00C63C62">
              <w:rPr>
                <w:rFonts w:ascii="Times New Roman" w:hAnsi="Times New Roman"/>
                <w:noProof/>
                <w:color w:val="auto"/>
                <w:lang w:val="hr-HR" w:eastAsia="de-DE"/>
              </w:rPr>
              <w:t>Blaga*</w:t>
            </w:r>
          </w:p>
          <w:p w:rsidR="00A131AD" w:rsidRPr="00C63C62" w:rsidRDefault="00A131AD" w:rsidP="00A87C61">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noProof/>
                <w:color w:val="auto"/>
                <w:lang w:val="hr-HR" w:eastAsia="de-DE"/>
              </w:rPr>
            </w:pPr>
          </w:p>
        </w:tc>
        <w:tc>
          <w:tcPr>
            <w:tcW w:w="3119" w:type="dxa"/>
            <w:tcBorders>
              <w:top w:val="none" w:sz="0" w:space="0" w:color="auto"/>
              <w:left w:val="none" w:sz="0" w:space="0" w:color="auto"/>
              <w:bottom w:val="none" w:sz="0" w:space="0" w:color="auto"/>
              <w:right w:val="none" w:sz="0" w:space="0" w:color="auto"/>
            </w:tcBorders>
            <w:shd w:val="clear" w:color="auto" w:fill="E7E6E6" w:themeFill="background2"/>
            <w:vAlign w:val="center"/>
          </w:tcPr>
          <w:p w:rsidR="00A131AD" w:rsidRPr="00C63C62" w:rsidRDefault="00A131AD" w:rsidP="00A87C61">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noProof/>
                <w:color w:val="auto"/>
                <w:lang w:val="hr-HR" w:eastAsia="de-DE"/>
              </w:rPr>
            </w:pPr>
            <w:r w:rsidRPr="00C63C62">
              <w:rPr>
                <w:rFonts w:ascii="Times New Roman" w:hAnsi="Times New Roman"/>
                <w:noProof/>
                <w:color w:val="auto"/>
                <w:lang w:val="hr-HR" w:eastAsia="de-DE"/>
              </w:rPr>
              <w:t>Ozbiljna</w:t>
            </w:r>
          </w:p>
          <w:p w:rsidR="00A131AD" w:rsidRPr="00C63C62" w:rsidRDefault="00A131AD" w:rsidP="00A87C61">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noProof/>
                <w:color w:val="auto"/>
                <w:lang w:val="hr-HR" w:eastAsia="de-DE"/>
              </w:rPr>
            </w:pPr>
            <w:r w:rsidRPr="00C63C62">
              <w:rPr>
                <w:rFonts w:ascii="Times New Roman" w:hAnsi="Times New Roman"/>
                <w:noProof/>
                <w:color w:val="auto"/>
                <w:lang w:val="hr-HR" w:eastAsia="de-DE"/>
              </w:rPr>
              <w:t>(Hb &lt;7g/dl)</w:t>
            </w:r>
          </w:p>
        </w:tc>
      </w:tr>
      <w:tr w:rsidR="00A87C61" w:rsidRPr="00A87C61" w:rsidTr="00A87C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9" w:type="dxa"/>
            <w:tcBorders>
              <w:top w:val="none" w:sz="0" w:space="0" w:color="auto"/>
              <w:left w:val="none" w:sz="0" w:space="0" w:color="auto"/>
              <w:bottom w:val="none" w:sz="0" w:space="0" w:color="auto"/>
              <w:right w:val="none" w:sz="0" w:space="0" w:color="auto"/>
            </w:tcBorders>
            <w:shd w:val="clear" w:color="auto" w:fill="auto"/>
          </w:tcPr>
          <w:p w:rsidR="00A131AD" w:rsidRPr="00A87C61" w:rsidRDefault="00A131AD" w:rsidP="000C0138">
            <w:pPr>
              <w:spacing w:line="276" w:lineRule="auto"/>
              <w:rPr>
                <w:rFonts w:ascii="Times New Roman" w:hAnsi="Times New Roman"/>
                <w:b w:val="0"/>
                <w:noProof/>
                <w:color w:val="auto"/>
                <w:lang w:val="hr-HR" w:eastAsia="de-DE"/>
              </w:rPr>
            </w:pPr>
            <w:r w:rsidRPr="00A87C61">
              <w:rPr>
                <w:rFonts w:ascii="Times New Roman" w:hAnsi="Times New Roman"/>
                <w:b w:val="0"/>
                <w:noProof/>
                <w:color w:val="auto"/>
                <w:lang w:val="hr-HR" w:eastAsia="de-DE"/>
              </w:rPr>
              <w:t xml:space="preserve">Djeca 6-59 mjeseci </w:t>
            </w:r>
          </w:p>
        </w:tc>
        <w:tc>
          <w:tcPr>
            <w:tcW w:w="3118" w:type="dxa"/>
            <w:tcBorders>
              <w:top w:val="none" w:sz="0" w:space="0" w:color="auto"/>
              <w:left w:val="none" w:sz="0" w:space="0" w:color="auto"/>
              <w:bottom w:val="none" w:sz="0" w:space="0" w:color="auto"/>
              <w:right w:val="none" w:sz="0" w:space="0" w:color="auto"/>
            </w:tcBorders>
            <w:shd w:val="clear" w:color="auto" w:fill="auto"/>
            <w:vAlign w:val="center"/>
          </w:tcPr>
          <w:p w:rsidR="00A131AD" w:rsidRPr="00A87C61" w:rsidRDefault="00A131AD" w:rsidP="00A87C61">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lang w:val="hr-HR" w:eastAsia="de-DE"/>
              </w:rPr>
            </w:pPr>
            <w:r w:rsidRPr="00A87C61">
              <w:rPr>
                <w:rFonts w:ascii="Times New Roman" w:hAnsi="Times New Roman"/>
                <w:noProof/>
                <w:lang w:val="hr-HR" w:eastAsia="de-DE"/>
              </w:rPr>
              <w:t>18,2</w:t>
            </w:r>
          </w:p>
        </w:tc>
        <w:tc>
          <w:tcPr>
            <w:tcW w:w="3119" w:type="dxa"/>
            <w:tcBorders>
              <w:top w:val="none" w:sz="0" w:space="0" w:color="auto"/>
              <w:left w:val="none" w:sz="0" w:space="0" w:color="auto"/>
              <w:bottom w:val="none" w:sz="0" w:space="0" w:color="auto"/>
              <w:right w:val="none" w:sz="0" w:space="0" w:color="auto"/>
            </w:tcBorders>
            <w:shd w:val="clear" w:color="auto" w:fill="auto"/>
            <w:vAlign w:val="center"/>
          </w:tcPr>
          <w:p w:rsidR="00A131AD" w:rsidRPr="00A87C61" w:rsidRDefault="00A131AD" w:rsidP="00A87C61">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lang w:val="hr-HR" w:eastAsia="de-DE"/>
              </w:rPr>
            </w:pPr>
            <w:r w:rsidRPr="00A87C61">
              <w:rPr>
                <w:rFonts w:ascii="Times New Roman" w:hAnsi="Times New Roman"/>
                <w:noProof/>
                <w:lang w:val="hr-HR" w:eastAsia="de-DE"/>
              </w:rPr>
              <w:t>0,2</w:t>
            </w:r>
          </w:p>
        </w:tc>
      </w:tr>
      <w:tr w:rsidR="00A87C61" w:rsidRPr="00A87C61" w:rsidTr="00A87C61">
        <w:tc>
          <w:tcPr>
            <w:cnfStyle w:val="001000000000" w:firstRow="0" w:lastRow="0" w:firstColumn="1" w:lastColumn="0" w:oddVBand="0" w:evenVBand="0" w:oddHBand="0" w:evenHBand="0" w:firstRowFirstColumn="0" w:firstRowLastColumn="0" w:lastRowFirstColumn="0" w:lastRowLastColumn="0"/>
            <w:tcW w:w="3119" w:type="dxa"/>
            <w:tcBorders>
              <w:left w:val="none" w:sz="0" w:space="0" w:color="auto"/>
              <w:bottom w:val="none" w:sz="0" w:space="0" w:color="auto"/>
              <w:right w:val="none" w:sz="0" w:space="0" w:color="auto"/>
            </w:tcBorders>
            <w:shd w:val="clear" w:color="auto" w:fill="auto"/>
          </w:tcPr>
          <w:p w:rsidR="00A131AD" w:rsidRPr="00A87C61" w:rsidRDefault="00A131AD" w:rsidP="000C0138">
            <w:pPr>
              <w:spacing w:line="276" w:lineRule="auto"/>
              <w:rPr>
                <w:rFonts w:ascii="Times New Roman" w:hAnsi="Times New Roman"/>
                <w:b w:val="0"/>
                <w:noProof/>
                <w:color w:val="auto"/>
                <w:lang w:val="hr-HR" w:eastAsia="de-DE"/>
              </w:rPr>
            </w:pPr>
            <w:r w:rsidRPr="00A87C61">
              <w:rPr>
                <w:rFonts w:ascii="Times New Roman" w:hAnsi="Times New Roman"/>
                <w:b w:val="0"/>
                <w:noProof/>
                <w:color w:val="auto"/>
                <w:lang w:val="hr-HR" w:eastAsia="de-DE"/>
              </w:rPr>
              <w:t>Djeca 11-14 godina</w:t>
            </w:r>
          </w:p>
        </w:tc>
        <w:tc>
          <w:tcPr>
            <w:tcW w:w="3118" w:type="dxa"/>
            <w:shd w:val="clear" w:color="auto" w:fill="auto"/>
            <w:vAlign w:val="center"/>
          </w:tcPr>
          <w:p w:rsidR="00A131AD" w:rsidRPr="00A87C61" w:rsidRDefault="00A131AD" w:rsidP="00A87C61">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lang w:val="hr-HR" w:eastAsia="de-DE"/>
              </w:rPr>
            </w:pPr>
            <w:r w:rsidRPr="00A87C61">
              <w:rPr>
                <w:rFonts w:ascii="Times New Roman" w:hAnsi="Times New Roman"/>
                <w:noProof/>
                <w:lang w:val="hr-HR" w:eastAsia="de-DE"/>
              </w:rPr>
              <w:t>11,3</w:t>
            </w:r>
          </w:p>
        </w:tc>
        <w:tc>
          <w:tcPr>
            <w:tcW w:w="3119" w:type="dxa"/>
            <w:shd w:val="clear" w:color="auto" w:fill="auto"/>
            <w:vAlign w:val="center"/>
          </w:tcPr>
          <w:p w:rsidR="00A131AD" w:rsidRPr="00A87C61" w:rsidRDefault="00A131AD" w:rsidP="00A87C61">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lang w:val="hr-HR" w:eastAsia="de-DE"/>
              </w:rPr>
            </w:pPr>
            <w:r w:rsidRPr="00A87C61">
              <w:rPr>
                <w:rFonts w:ascii="Times New Roman" w:hAnsi="Times New Roman"/>
                <w:noProof/>
                <w:lang w:val="hr-HR" w:eastAsia="de-DE"/>
              </w:rPr>
              <w:t>0,2</w:t>
            </w:r>
          </w:p>
        </w:tc>
      </w:tr>
      <w:tr w:rsidR="00A87C61" w:rsidRPr="00A87C61" w:rsidTr="00A87C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9" w:type="dxa"/>
            <w:tcBorders>
              <w:top w:val="none" w:sz="0" w:space="0" w:color="auto"/>
              <w:left w:val="none" w:sz="0" w:space="0" w:color="auto"/>
              <w:bottom w:val="none" w:sz="0" w:space="0" w:color="auto"/>
              <w:right w:val="none" w:sz="0" w:space="0" w:color="auto"/>
            </w:tcBorders>
            <w:shd w:val="clear" w:color="auto" w:fill="auto"/>
          </w:tcPr>
          <w:p w:rsidR="00A131AD" w:rsidRPr="00A87C61" w:rsidRDefault="00A131AD" w:rsidP="000C0138">
            <w:pPr>
              <w:spacing w:line="276" w:lineRule="auto"/>
              <w:rPr>
                <w:rFonts w:ascii="Times New Roman" w:hAnsi="Times New Roman"/>
                <w:b w:val="0"/>
                <w:noProof/>
                <w:color w:val="auto"/>
                <w:lang w:val="hr-HR" w:eastAsia="de-DE"/>
              </w:rPr>
            </w:pPr>
            <w:r w:rsidRPr="00A87C61">
              <w:rPr>
                <w:rFonts w:ascii="Times New Roman" w:hAnsi="Times New Roman"/>
                <w:b w:val="0"/>
                <w:noProof/>
                <w:color w:val="auto"/>
                <w:lang w:val="hr-HR" w:eastAsia="de-DE"/>
              </w:rPr>
              <w:t>Žene 15-49 godina</w:t>
            </w:r>
          </w:p>
        </w:tc>
        <w:tc>
          <w:tcPr>
            <w:tcW w:w="3118" w:type="dxa"/>
            <w:tcBorders>
              <w:top w:val="none" w:sz="0" w:space="0" w:color="auto"/>
              <w:left w:val="none" w:sz="0" w:space="0" w:color="auto"/>
              <w:bottom w:val="none" w:sz="0" w:space="0" w:color="auto"/>
              <w:right w:val="none" w:sz="0" w:space="0" w:color="auto"/>
            </w:tcBorders>
            <w:shd w:val="clear" w:color="auto" w:fill="auto"/>
            <w:vAlign w:val="center"/>
          </w:tcPr>
          <w:p w:rsidR="00A131AD" w:rsidRPr="00A87C61" w:rsidRDefault="00A131AD" w:rsidP="00A87C61">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lang w:val="hr-HR" w:eastAsia="de-DE"/>
              </w:rPr>
            </w:pPr>
            <w:r w:rsidRPr="00A87C61">
              <w:rPr>
                <w:rFonts w:ascii="Times New Roman" w:hAnsi="Times New Roman"/>
                <w:noProof/>
                <w:lang w:val="hr-HR" w:eastAsia="de-DE"/>
              </w:rPr>
              <w:t>21,7</w:t>
            </w:r>
          </w:p>
        </w:tc>
        <w:tc>
          <w:tcPr>
            <w:tcW w:w="3119" w:type="dxa"/>
            <w:tcBorders>
              <w:top w:val="none" w:sz="0" w:space="0" w:color="auto"/>
              <w:left w:val="none" w:sz="0" w:space="0" w:color="auto"/>
              <w:bottom w:val="none" w:sz="0" w:space="0" w:color="auto"/>
              <w:right w:val="none" w:sz="0" w:space="0" w:color="auto"/>
            </w:tcBorders>
            <w:shd w:val="clear" w:color="auto" w:fill="auto"/>
            <w:vAlign w:val="center"/>
          </w:tcPr>
          <w:p w:rsidR="00A131AD" w:rsidRPr="00A87C61" w:rsidRDefault="00A131AD" w:rsidP="00A87C61">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lang w:val="hr-HR" w:eastAsia="de-DE"/>
              </w:rPr>
            </w:pPr>
            <w:r w:rsidRPr="00A87C61">
              <w:rPr>
                <w:rFonts w:ascii="Times New Roman" w:hAnsi="Times New Roman"/>
                <w:noProof/>
                <w:lang w:val="hr-HR" w:eastAsia="de-DE"/>
              </w:rPr>
              <w:t>0,4</w:t>
            </w:r>
          </w:p>
        </w:tc>
      </w:tr>
    </w:tbl>
    <w:p w:rsidR="00A131AD" w:rsidRPr="00155F80" w:rsidRDefault="00A131AD" w:rsidP="000C0138">
      <w:pPr>
        <w:spacing w:line="276" w:lineRule="auto"/>
        <w:rPr>
          <w:rFonts w:ascii="Times New Roman" w:hAnsi="Times New Roman"/>
          <w:noProof/>
          <w:lang w:val="hr-HR" w:eastAsia="de-DE"/>
        </w:rPr>
      </w:pPr>
      <w:r w:rsidRPr="00155F80">
        <w:rPr>
          <w:rFonts w:ascii="Times New Roman" w:hAnsi="Times New Roman"/>
          <w:noProof/>
          <w:lang w:val="hr-HR" w:eastAsia="de-DE"/>
        </w:rPr>
        <w:t>* Blaga anemija – djeca 6-59 mj. Hb 7-10,9 g/dl¸ djeca 5-11 g. Hb 7-11,4g/dl; djeca 12-15 g. Hb 7-11,9g/dl; žene 15-49 g. Hb 7-11,9g/dl.</w:t>
      </w:r>
    </w:p>
    <w:p w:rsidR="00A131AD" w:rsidRPr="00155F80" w:rsidRDefault="00A131AD" w:rsidP="000C0138">
      <w:pPr>
        <w:spacing w:line="276" w:lineRule="auto"/>
        <w:rPr>
          <w:rFonts w:ascii="Times New Roman" w:hAnsi="Times New Roman"/>
          <w:noProof/>
          <w:lang w:val="hr-HR" w:eastAsia="de-DE"/>
        </w:rPr>
      </w:pPr>
    </w:p>
    <w:p w:rsidR="00A131AD" w:rsidRPr="00155F80" w:rsidRDefault="00A131AD" w:rsidP="000C0138">
      <w:pPr>
        <w:spacing w:line="276" w:lineRule="auto"/>
        <w:rPr>
          <w:rFonts w:ascii="Times New Roman" w:hAnsi="Times New Roman"/>
          <w:noProof/>
          <w:lang w:val="hr-HR" w:eastAsia="de-DE"/>
        </w:rPr>
      </w:pPr>
      <w:r w:rsidRPr="00155F80">
        <w:rPr>
          <w:rFonts w:ascii="Times New Roman" w:hAnsi="Times New Roman"/>
          <w:noProof/>
          <w:lang w:val="hr-HR" w:eastAsia="de-DE"/>
        </w:rPr>
        <w:t>Zbog činjenice da se radi o posebno vulnerabilnoj skupini, isto istraživanje je provedeno na zasebnom uzorku Romske populacije, a pokazalo se da je u svim dobnim  skupinama prisutan blagi st</w:t>
      </w:r>
      <w:r w:rsidR="00A32D67">
        <w:rPr>
          <w:rFonts w:ascii="Times New Roman" w:hAnsi="Times New Roman"/>
          <w:noProof/>
          <w:lang w:val="hr-HR" w:eastAsia="de-DE"/>
        </w:rPr>
        <w:t>upanj</w:t>
      </w:r>
      <w:r w:rsidRPr="00155F80">
        <w:rPr>
          <w:rFonts w:ascii="Times New Roman" w:hAnsi="Times New Roman"/>
          <w:noProof/>
          <w:lang w:val="hr-HR" w:eastAsia="de-DE"/>
        </w:rPr>
        <w:t xml:space="preserve"> anemije -  kod djece</w:t>
      </w:r>
      <w:r w:rsidR="00A32D67">
        <w:rPr>
          <w:rFonts w:ascii="Times New Roman" w:hAnsi="Times New Roman"/>
          <w:noProof/>
          <w:lang w:val="hr-HR" w:eastAsia="de-DE"/>
        </w:rPr>
        <w:t xml:space="preserve"> dobi</w:t>
      </w:r>
      <w:r w:rsidRPr="00155F80">
        <w:rPr>
          <w:rFonts w:ascii="Times New Roman" w:hAnsi="Times New Roman"/>
          <w:noProof/>
          <w:lang w:val="hr-HR" w:eastAsia="de-DE"/>
        </w:rPr>
        <w:t xml:space="preserve"> 6-59 mjeseci učestalost anemije iznosi 11,4%, kod djece </w:t>
      </w:r>
      <w:r w:rsidR="00A32D67">
        <w:rPr>
          <w:rFonts w:ascii="Times New Roman" w:hAnsi="Times New Roman"/>
          <w:noProof/>
          <w:lang w:val="hr-HR" w:eastAsia="de-DE"/>
        </w:rPr>
        <w:t>dobi</w:t>
      </w:r>
      <w:r w:rsidRPr="00155F80">
        <w:rPr>
          <w:rFonts w:ascii="Times New Roman" w:hAnsi="Times New Roman"/>
          <w:noProof/>
          <w:lang w:val="hr-HR" w:eastAsia="de-DE"/>
        </w:rPr>
        <w:t xml:space="preserve"> 5-15 godina  16,6%, a kod žena starosti 15-49 godina prisutna je 10,5% slučajeva. </w:t>
      </w:r>
    </w:p>
    <w:p w:rsidR="003361B4" w:rsidRDefault="003361B4">
      <w:pPr>
        <w:spacing w:after="160" w:line="259" w:lineRule="auto"/>
        <w:jc w:val="left"/>
        <w:rPr>
          <w:rFonts w:ascii="Times New Roman" w:hAnsi="Times New Roman"/>
          <w:noProof/>
          <w:lang w:val="hr-HR" w:eastAsia="de-DE"/>
        </w:rPr>
      </w:pPr>
      <w:r>
        <w:rPr>
          <w:rFonts w:ascii="Times New Roman" w:hAnsi="Times New Roman"/>
          <w:noProof/>
          <w:lang w:val="hr-HR" w:eastAsia="de-DE"/>
        </w:rPr>
        <w:br w:type="page"/>
      </w:r>
    </w:p>
    <w:p w:rsidR="00A131AD" w:rsidRPr="00155F80" w:rsidRDefault="00A131AD" w:rsidP="00B37E7E">
      <w:pPr>
        <w:pStyle w:val="refererere"/>
        <w:rPr>
          <w:noProof/>
          <w:lang w:val="hr-HR" w:eastAsia="de-DE"/>
        </w:rPr>
      </w:pPr>
      <w:r w:rsidRPr="00155F80">
        <w:rPr>
          <w:noProof/>
          <w:lang w:val="hr-HR" w:eastAsia="de-DE"/>
        </w:rPr>
        <w:lastRenderedPageBreak/>
        <w:t>Tabl</w:t>
      </w:r>
      <w:r w:rsidR="00A32D67">
        <w:rPr>
          <w:noProof/>
          <w:lang w:val="hr-HR" w:eastAsia="de-DE"/>
        </w:rPr>
        <w:t>ic</w:t>
      </w:r>
      <w:r w:rsidRPr="00155F80">
        <w:rPr>
          <w:noProof/>
          <w:lang w:val="hr-HR" w:eastAsia="de-DE"/>
        </w:rPr>
        <w:t>a 15: Učestalost anemije kod djece i žena na području Federacije Bosne i Hercegovine  – Romska populacija  2012.godina.</w:t>
      </w:r>
    </w:p>
    <w:tbl>
      <w:tblPr>
        <w:tblStyle w:val="MediumGrid3-Accent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97"/>
        <w:gridCol w:w="3094"/>
        <w:gridCol w:w="3097"/>
      </w:tblGrid>
      <w:tr w:rsidR="00A87C61" w:rsidRPr="00A87C61" w:rsidTr="00A87C6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9" w:type="dxa"/>
            <w:tcBorders>
              <w:top w:val="none" w:sz="0" w:space="0" w:color="auto"/>
              <w:left w:val="none" w:sz="0" w:space="0" w:color="auto"/>
              <w:bottom w:val="none" w:sz="0" w:space="0" w:color="auto"/>
              <w:right w:val="none" w:sz="0" w:space="0" w:color="auto"/>
            </w:tcBorders>
            <w:shd w:val="clear" w:color="auto" w:fill="auto"/>
          </w:tcPr>
          <w:p w:rsidR="00A131AD" w:rsidRPr="00A87C61" w:rsidRDefault="00A131AD" w:rsidP="000C0138">
            <w:pPr>
              <w:spacing w:line="276" w:lineRule="auto"/>
              <w:rPr>
                <w:rFonts w:ascii="Times New Roman" w:hAnsi="Times New Roman"/>
                <w:b w:val="0"/>
                <w:noProof/>
                <w:color w:val="auto"/>
                <w:lang w:val="hr-HR" w:eastAsia="de-DE"/>
              </w:rPr>
            </w:pPr>
            <w:r w:rsidRPr="00A87C61">
              <w:rPr>
                <w:rFonts w:ascii="Times New Roman" w:hAnsi="Times New Roman"/>
                <w:b w:val="0"/>
                <w:noProof/>
                <w:color w:val="auto"/>
                <w:lang w:val="hr-HR" w:eastAsia="de-DE"/>
              </w:rPr>
              <w:t xml:space="preserve">Anemija </w:t>
            </w:r>
          </w:p>
          <w:p w:rsidR="00A131AD" w:rsidRPr="00A87C61" w:rsidRDefault="00A131AD" w:rsidP="000C0138">
            <w:pPr>
              <w:spacing w:line="276" w:lineRule="auto"/>
              <w:rPr>
                <w:rFonts w:ascii="Times New Roman" w:hAnsi="Times New Roman"/>
                <w:b w:val="0"/>
                <w:noProof/>
                <w:color w:val="auto"/>
                <w:lang w:val="hr-HR" w:eastAsia="de-DE"/>
              </w:rPr>
            </w:pPr>
          </w:p>
        </w:tc>
        <w:tc>
          <w:tcPr>
            <w:tcW w:w="3118" w:type="dxa"/>
            <w:tcBorders>
              <w:top w:val="none" w:sz="0" w:space="0" w:color="auto"/>
              <w:left w:val="none" w:sz="0" w:space="0" w:color="auto"/>
              <w:bottom w:val="none" w:sz="0" w:space="0" w:color="auto"/>
              <w:right w:val="none" w:sz="0" w:space="0" w:color="auto"/>
            </w:tcBorders>
            <w:shd w:val="clear" w:color="auto" w:fill="auto"/>
            <w:vAlign w:val="center"/>
          </w:tcPr>
          <w:p w:rsidR="00A131AD" w:rsidRPr="00A87C61" w:rsidRDefault="00A131AD" w:rsidP="00A87C61">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noProof/>
                <w:color w:val="auto"/>
                <w:lang w:val="hr-HR" w:eastAsia="de-DE"/>
              </w:rPr>
            </w:pPr>
            <w:r w:rsidRPr="00A87C61">
              <w:rPr>
                <w:rFonts w:ascii="Times New Roman" w:hAnsi="Times New Roman"/>
                <w:b w:val="0"/>
                <w:noProof/>
                <w:color w:val="auto"/>
                <w:lang w:val="hr-HR" w:eastAsia="de-DE"/>
              </w:rPr>
              <w:t>Blaga*</w:t>
            </w:r>
          </w:p>
          <w:p w:rsidR="00A131AD" w:rsidRPr="00A87C61" w:rsidRDefault="00A131AD" w:rsidP="00A87C61">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noProof/>
                <w:color w:val="auto"/>
                <w:lang w:val="hr-HR" w:eastAsia="de-DE"/>
              </w:rPr>
            </w:pPr>
          </w:p>
        </w:tc>
        <w:tc>
          <w:tcPr>
            <w:tcW w:w="3119" w:type="dxa"/>
            <w:tcBorders>
              <w:top w:val="none" w:sz="0" w:space="0" w:color="auto"/>
              <w:left w:val="none" w:sz="0" w:space="0" w:color="auto"/>
              <w:bottom w:val="none" w:sz="0" w:space="0" w:color="auto"/>
              <w:right w:val="none" w:sz="0" w:space="0" w:color="auto"/>
            </w:tcBorders>
            <w:shd w:val="clear" w:color="auto" w:fill="auto"/>
            <w:vAlign w:val="center"/>
          </w:tcPr>
          <w:p w:rsidR="00A131AD" w:rsidRPr="00A87C61" w:rsidRDefault="00A131AD" w:rsidP="00A87C61">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noProof/>
                <w:color w:val="auto"/>
                <w:lang w:val="hr-HR" w:eastAsia="de-DE"/>
              </w:rPr>
            </w:pPr>
            <w:r w:rsidRPr="00A87C61">
              <w:rPr>
                <w:rFonts w:ascii="Times New Roman" w:hAnsi="Times New Roman"/>
                <w:b w:val="0"/>
                <w:noProof/>
                <w:color w:val="auto"/>
                <w:lang w:val="hr-HR" w:eastAsia="de-DE"/>
              </w:rPr>
              <w:t>Ozbiljna</w:t>
            </w:r>
          </w:p>
          <w:p w:rsidR="00A131AD" w:rsidRPr="00A87C61" w:rsidRDefault="00A131AD" w:rsidP="00A87C61">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noProof/>
                <w:color w:val="auto"/>
                <w:lang w:val="hr-HR" w:eastAsia="de-DE"/>
              </w:rPr>
            </w:pPr>
            <w:r w:rsidRPr="00A87C61">
              <w:rPr>
                <w:rFonts w:ascii="Times New Roman" w:hAnsi="Times New Roman"/>
                <w:b w:val="0"/>
                <w:noProof/>
                <w:color w:val="auto"/>
                <w:lang w:val="hr-HR" w:eastAsia="de-DE"/>
              </w:rPr>
              <w:t>(Hb &lt;7g/dl)</w:t>
            </w:r>
          </w:p>
        </w:tc>
      </w:tr>
      <w:tr w:rsidR="00A87C61" w:rsidRPr="00A87C61" w:rsidTr="00A87C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9" w:type="dxa"/>
            <w:tcBorders>
              <w:top w:val="none" w:sz="0" w:space="0" w:color="auto"/>
              <w:left w:val="none" w:sz="0" w:space="0" w:color="auto"/>
              <w:bottom w:val="none" w:sz="0" w:space="0" w:color="auto"/>
              <w:right w:val="none" w:sz="0" w:space="0" w:color="auto"/>
            </w:tcBorders>
            <w:shd w:val="clear" w:color="auto" w:fill="auto"/>
          </w:tcPr>
          <w:p w:rsidR="00A131AD" w:rsidRPr="00A87C61" w:rsidRDefault="00A131AD" w:rsidP="000C0138">
            <w:pPr>
              <w:spacing w:line="276" w:lineRule="auto"/>
              <w:rPr>
                <w:rFonts w:ascii="Times New Roman" w:hAnsi="Times New Roman"/>
                <w:b w:val="0"/>
                <w:noProof/>
                <w:color w:val="auto"/>
                <w:lang w:val="hr-HR" w:eastAsia="de-DE"/>
              </w:rPr>
            </w:pPr>
            <w:r w:rsidRPr="00A87C61">
              <w:rPr>
                <w:rFonts w:ascii="Times New Roman" w:hAnsi="Times New Roman"/>
                <w:b w:val="0"/>
                <w:noProof/>
                <w:color w:val="auto"/>
                <w:lang w:val="hr-HR" w:eastAsia="de-DE"/>
              </w:rPr>
              <w:t xml:space="preserve">Djeca 6-59 mjeseci </w:t>
            </w:r>
          </w:p>
        </w:tc>
        <w:tc>
          <w:tcPr>
            <w:tcW w:w="3118" w:type="dxa"/>
            <w:tcBorders>
              <w:top w:val="none" w:sz="0" w:space="0" w:color="auto"/>
              <w:left w:val="none" w:sz="0" w:space="0" w:color="auto"/>
              <w:bottom w:val="none" w:sz="0" w:space="0" w:color="auto"/>
              <w:right w:val="none" w:sz="0" w:space="0" w:color="auto"/>
            </w:tcBorders>
            <w:shd w:val="clear" w:color="auto" w:fill="auto"/>
            <w:vAlign w:val="center"/>
          </w:tcPr>
          <w:p w:rsidR="00A131AD" w:rsidRPr="00A87C61" w:rsidRDefault="00A131AD" w:rsidP="00A87C61">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lang w:val="hr-HR" w:eastAsia="de-DE"/>
              </w:rPr>
            </w:pPr>
            <w:r w:rsidRPr="00A87C61">
              <w:rPr>
                <w:rFonts w:ascii="Times New Roman" w:hAnsi="Times New Roman"/>
                <w:noProof/>
                <w:lang w:val="hr-HR" w:eastAsia="de-DE"/>
              </w:rPr>
              <w:t>11,0</w:t>
            </w:r>
          </w:p>
        </w:tc>
        <w:tc>
          <w:tcPr>
            <w:tcW w:w="3119" w:type="dxa"/>
            <w:tcBorders>
              <w:top w:val="none" w:sz="0" w:space="0" w:color="auto"/>
              <w:left w:val="none" w:sz="0" w:space="0" w:color="auto"/>
              <w:bottom w:val="none" w:sz="0" w:space="0" w:color="auto"/>
              <w:right w:val="none" w:sz="0" w:space="0" w:color="auto"/>
            </w:tcBorders>
            <w:shd w:val="clear" w:color="auto" w:fill="auto"/>
            <w:vAlign w:val="center"/>
          </w:tcPr>
          <w:p w:rsidR="00A131AD" w:rsidRPr="00A87C61" w:rsidRDefault="00A131AD" w:rsidP="00A87C61">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lang w:val="hr-HR" w:eastAsia="de-DE"/>
              </w:rPr>
            </w:pPr>
            <w:r w:rsidRPr="00A87C61">
              <w:rPr>
                <w:rFonts w:ascii="Times New Roman" w:hAnsi="Times New Roman"/>
                <w:noProof/>
                <w:lang w:val="hr-HR" w:eastAsia="de-DE"/>
              </w:rPr>
              <w:t>0,4</w:t>
            </w:r>
          </w:p>
        </w:tc>
      </w:tr>
      <w:tr w:rsidR="00A87C61" w:rsidRPr="00A87C61" w:rsidTr="00A87C61">
        <w:tc>
          <w:tcPr>
            <w:cnfStyle w:val="001000000000" w:firstRow="0" w:lastRow="0" w:firstColumn="1" w:lastColumn="0" w:oddVBand="0" w:evenVBand="0" w:oddHBand="0" w:evenHBand="0" w:firstRowFirstColumn="0" w:firstRowLastColumn="0" w:lastRowFirstColumn="0" w:lastRowLastColumn="0"/>
            <w:tcW w:w="3119" w:type="dxa"/>
            <w:tcBorders>
              <w:left w:val="none" w:sz="0" w:space="0" w:color="auto"/>
              <w:bottom w:val="none" w:sz="0" w:space="0" w:color="auto"/>
              <w:right w:val="none" w:sz="0" w:space="0" w:color="auto"/>
            </w:tcBorders>
            <w:shd w:val="clear" w:color="auto" w:fill="auto"/>
          </w:tcPr>
          <w:p w:rsidR="00A131AD" w:rsidRPr="00A87C61" w:rsidRDefault="00A131AD" w:rsidP="000C0138">
            <w:pPr>
              <w:spacing w:line="276" w:lineRule="auto"/>
              <w:rPr>
                <w:rFonts w:ascii="Times New Roman" w:hAnsi="Times New Roman"/>
                <w:b w:val="0"/>
                <w:noProof/>
                <w:color w:val="auto"/>
                <w:lang w:val="hr-HR" w:eastAsia="de-DE"/>
              </w:rPr>
            </w:pPr>
            <w:r w:rsidRPr="00A87C61">
              <w:rPr>
                <w:rFonts w:ascii="Times New Roman" w:hAnsi="Times New Roman"/>
                <w:b w:val="0"/>
                <w:noProof/>
                <w:color w:val="auto"/>
                <w:lang w:val="hr-HR" w:eastAsia="de-DE"/>
              </w:rPr>
              <w:t>Djeca 11-14 godina</w:t>
            </w:r>
          </w:p>
        </w:tc>
        <w:tc>
          <w:tcPr>
            <w:tcW w:w="3118" w:type="dxa"/>
            <w:shd w:val="clear" w:color="auto" w:fill="auto"/>
            <w:vAlign w:val="center"/>
          </w:tcPr>
          <w:p w:rsidR="00A131AD" w:rsidRPr="00A87C61" w:rsidRDefault="00A131AD" w:rsidP="00A87C61">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lang w:val="hr-HR" w:eastAsia="de-DE"/>
              </w:rPr>
            </w:pPr>
            <w:r w:rsidRPr="00A87C61">
              <w:rPr>
                <w:rFonts w:ascii="Times New Roman" w:hAnsi="Times New Roman"/>
                <w:noProof/>
                <w:lang w:val="hr-HR" w:eastAsia="de-DE"/>
              </w:rPr>
              <w:t>16,6</w:t>
            </w:r>
          </w:p>
        </w:tc>
        <w:tc>
          <w:tcPr>
            <w:tcW w:w="3119" w:type="dxa"/>
            <w:shd w:val="clear" w:color="auto" w:fill="auto"/>
            <w:vAlign w:val="center"/>
          </w:tcPr>
          <w:p w:rsidR="00A131AD" w:rsidRPr="00A87C61" w:rsidRDefault="00A131AD" w:rsidP="00A87C61">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lang w:val="hr-HR" w:eastAsia="de-DE"/>
              </w:rPr>
            </w:pPr>
            <w:r w:rsidRPr="00A87C61">
              <w:rPr>
                <w:rFonts w:ascii="Times New Roman" w:hAnsi="Times New Roman"/>
                <w:noProof/>
                <w:lang w:val="hr-HR" w:eastAsia="de-DE"/>
              </w:rPr>
              <w:t>0</w:t>
            </w:r>
          </w:p>
        </w:tc>
      </w:tr>
      <w:tr w:rsidR="00A87C61" w:rsidRPr="00A87C61" w:rsidTr="00A87C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9" w:type="dxa"/>
            <w:tcBorders>
              <w:top w:val="none" w:sz="0" w:space="0" w:color="auto"/>
              <w:left w:val="none" w:sz="0" w:space="0" w:color="auto"/>
              <w:bottom w:val="none" w:sz="0" w:space="0" w:color="auto"/>
              <w:right w:val="none" w:sz="0" w:space="0" w:color="auto"/>
            </w:tcBorders>
            <w:shd w:val="clear" w:color="auto" w:fill="auto"/>
          </w:tcPr>
          <w:p w:rsidR="00A131AD" w:rsidRPr="00A87C61" w:rsidRDefault="00A131AD" w:rsidP="000C0138">
            <w:pPr>
              <w:spacing w:line="276" w:lineRule="auto"/>
              <w:rPr>
                <w:rFonts w:ascii="Times New Roman" w:hAnsi="Times New Roman"/>
                <w:b w:val="0"/>
                <w:noProof/>
                <w:color w:val="auto"/>
                <w:lang w:val="hr-HR" w:eastAsia="de-DE"/>
              </w:rPr>
            </w:pPr>
            <w:r w:rsidRPr="00A87C61">
              <w:rPr>
                <w:rFonts w:ascii="Times New Roman" w:hAnsi="Times New Roman"/>
                <w:b w:val="0"/>
                <w:noProof/>
                <w:color w:val="auto"/>
                <w:lang w:val="hr-HR" w:eastAsia="de-DE"/>
              </w:rPr>
              <w:t>Žene 15-49 godina</w:t>
            </w:r>
          </w:p>
        </w:tc>
        <w:tc>
          <w:tcPr>
            <w:tcW w:w="3118" w:type="dxa"/>
            <w:tcBorders>
              <w:top w:val="none" w:sz="0" w:space="0" w:color="auto"/>
              <w:left w:val="none" w:sz="0" w:space="0" w:color="auto"/>
              <w:bottom w:val="none" w:sz="0" w:space="0" w:color="auto"/>
              <w:right w:val="none" w:sz="0" w:space="0" w:color="auto"/>
            </w:tcBorders>
            <w:shd w:val="clear" w:color="auto" w:fill="auto"/>
            <w:vAlign w:val="center"/>
          </w:tcPr>
          <w:p w:rsidR="00A131AD" w:rsidRPr="00A87C61" w:rsidRDefault="00A131AD" w:rsidP="00A87C61">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lang w:val="hr-HR" w:eastAsia="de-DE"/>
              </w:rPr>
            </w:pPr>
            <w:r w:rsidRPr="00A87C61">
              <w:rPr>
                <w:rFonts w:ascii="Times New Roman" w:hAnsi="Times New Roman"/>
                <w:noProof/>
                <w:lang w:val="hr-HR" w:eastAsia="de-DE"/>
              </w:rPr>
              <w:t>10,2</w:t>
            </w:r>
          </w:p>
        </w:tc>
        <w:tc>
          <w:tcPr>
            <w:tcW w:w="3119" w:type="dxa"/>
            <w:tcBorders>
              <w:top w:val="none" w:sz="0" w:space="0" w:color="auto"/>
              <w:left w:val="none" w:sz="0" w:space="0" w:color="auto"/>
              <w:bottom w:val="none" w:sz="0" w:space="0" w:color="auto"/>
              <w:right w:val="none" w:sz="0" w:space="0" w:color="auto"/>
            </w:tcBorders>
            <w:shd w:val="clear" w:color="auto" w:fill="auto"/>
            <w:vAlign w:val="center"/>
          </w:tcPr>
          <w:p w:rsidR="00A131AD" w:rsidRPr="00A87C61" w:rsidRDefault="00A131AD" w:rsidP="00A87C61">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lang w:val="hr-HR" w:eastAsia="de-DE"/>
              </w:rPr>
            </w:pPr>
            <w:r w:rsidRPr="00A87C61">
              <w:rPr>
                <w:rFonts w:ascii="Times New Roman" w:hAnsi="Times New Roman"/>
                <w:noProof/>
                <w:lang w:val="hr-HR" w:eastAsia="de-DE"/>
              </w:rPr>
              <w:t>0,3</w:t>
            </w:r>
          </w:p>
        </w:tc>
      </w:tr>
    </w:tbl>
    <w:p w:rsidR="00A131AD" w:rsidRPr="00642A63" w:rsidRDefault="00A131AD" w:rsidP="000C0138">
      <w:pPr>
        <w:spacing w:line="276" w:lineRule="auto"/>
        <w:rPr>
          <w:rFonts w:ascii="Times New Roman" w:hAnsi="Times New Roman"/>
          <w:noProof/>
          <w:sz w:val="20"/>
          <w:szCs w:val="20"/>
          <w:lang w:val="hr-HR" w:eastAsia="de-DE"/>
        </w:rPr>
      </w:pPr>
      <w:r w:rsidRPr="00642A63">
        <w:rPr>
          <w:rFonts w:ascii="Times New Roman" w:hAnsi="Times New Roman"/>
          <w:noProof/>
          <w:sz w:val="20"/>
          <w:szCs w:val="20"/>
          <w:lang w:val="hr-HR" w:eastAsia="de-DE"/>
        </w:rPr>
        <w:t>* Blaga anemija – djeca 6-59 mj. Hb 7-10,9 g/dl¸ djeca 5-11 g. Hb 7-11,4g/dl; djeca 12-15 g. Hb 7-11,9g/dl; žene 15-49 g. Hb 7-11,9g/dl.</w:t>
      </w:r>
    </w:p>
    <w:p w:rsidR="00A131AD" w:rsidRPr="00155F80" w:rsidRDefault="00A131AD" w:rsidP="000C0138">
      <w:pPr>
        <w:spacing w:line="276" w:lineRule="auto"/>
        <w:rPr>
          <w:rFonts w:ascii="Times New Roman" w:hAnsi="Times New Roman"/>
          <w:noProof/>
          <w:lang w:val="hr-HR" w:eastAsia="de-DE"/>
        </w:rPr>
      </w:pPr>
    </w:p>
    <w:p w:rsidR="00A131AD" w:rsidRPr="00155F80" w:rsidRDefault="00A131AD" w:rsidP="000C0138">
      <w:pPr>
        <w:spacing w:line="276" w:lineRule="auto"/>
        <w:rPr>
          <w:rFonts w:ascii="Times New Roman" w:hAnsi="Times New Roman"/>
          <w:noProof/>
          <w:lang w:val="hr-HR" w:eastAsia="de-DE"/>
        </w:rPr>
      </w:pPr>
      <w:r w:rsidRPr="00155F80">
        <w:rPr>
          <w:rFonts w:ascii="Times New Roman" w:hAnsi="Times New Roman"/>
          <w:noProof/>
          <w:lang w:val="hr-HR" w:eastAsia="de-DE"/>
        </w:rPr>
        <w:t>Ovo relativno zadovoljavajuće stanje međutim, podrazumijeva dalj</w:t>
      </w:r>
      <w:r w:rsidR="00A32D67">
        <w:rPr>
          <w:rFonts w:ascii="Times New Roman" w:hAnsi="Times New Roman"/>
          <w:noProof/>
          <w:lang w:val="hr-HR" w:eastAsia="de-DE"/>
        </w:rPr>
        <w:t>nj</w:t>
      </w:r>
      <w:r w:rsidRPr="00155F80">
        <w:rPr>
          <w:rFonts w:ascii="Times New Roman" w:hAnsi="Times New Roman"/>
          <w:noProof/>
          <w:lang w:val="hr-HR" w:eastAsia="de-DE"/>
        </w:rPr>
        <w:t xml:space="preserve">i angažman u cilju unapređenja  - promotivno preventivne mjere i aktivnosti za unapređenje </w:t>
      </w:r>
      <w:r w:rsidR="00EE5188">
        <w:rPr>
          <w:rFonts w:ascii="Times New Roman" w:hAnsi="Times New Roman"/>
          <w:noProof/>
          <w:lang w:val="hr-HR" w:eastAsia="de-DE"/>
        </w:rPr>
        <w:t>pre</w:t>
      </w:r>
      <w:r w:rsidRPr="00155F80">
        <w:rPr>
          <w:rFonts w:ascii="Times New Roman" w:hAnsi="Times New Roman"/>
          <w:noProof/>
          <w:lang w:val="hr-HR" w:eastAsia="de-DE"/>
        </w:rPr>
        <w:t xml:space="preserve">hrane, i unapređenje prehrambenog okruženja, uz obvezno provođenje periodičnih namjenskih istraživanja. </w:t>
      </w:r>
    </w:p>
    <w:p w:rsidR="00A131AD" w:rsidRPr="00155F80" w:rsidRDefault="00A131AD" w:rsidP="000C0138">
      <w:pPr>
        <w:spacing w:line="276" w:lineRule="auto"/>
        <w:rPr>
          <w:rFonts w:ascii="Times New Roman" w:hAnsi="Times New Roman"/>
          <w:lang w:val="bs-Latn-BA"/>
        </w:rPr>
      </w:pPr>
    </w:p>
    <w:p w:rsidR="00301140" w:rsidRDefault="00301140" w:rsidP="0050445F">
      <w:pPr>
        <w:pStyle w:val="Poglavlje3"/>
        <w:rPr>
          <w:lang w:val="bs-Latn-BA"/>
        </w:rPr>
      </w:pPr>
      <w:bookmarkStart w:id="317" w:name="_Toc456095926"/>
      <w:r>
        <w:rPr>
          <w:lang w:val="bs-Latn-BA"/>
        </w:rPr>
        <w:t>4.1.3</w:t>
      </w:r>
      <w:r w:rsidR="000E1376" w:rsidRPr="00155F80">
        <w:rPr>
          <w:lang w:val="bs-Latn-BA"/>
        </w:rPr>
        <w:t xml:space="preserve"> </w:t>
      </w:r>
      <w:r w:rsidR="00A131AD" w:rsidRPr="00155F80">
        <w:rPr>
          <w:lang w:val="bs-Latn-BA"/>
        </w:rPr>
        <w:t>Bolesti ovisnosti</w:t>
      </w:r>
      <w:bookmarkEnd w:id="317"/>
    </w:p>
    <w:p w:rsidR="00642A63" w:rsidRDefault="00642A63" w:rsidP="000C0138">
      <w:pPr>
        <w:pStyle w:val="Poglavlje2"/>
        <w:spacing w:line="276" w:lineRule="auto"/>
        <w:rPr>
          <w:lang w:val="bs-Latn-BA"/>
        </w:rPr>
      </w:pPr>
    </w:p>
    <w:p w:rsidR="00301140" w:rsidRPr="00EA6011" w:rsidRDefault="00301140" w:rsidP="00EA6011">
      <w:pPr>
        <w:spacing w:after="240"/>
        <w:rPr>
          <w:rFonts w:ascii="Times New Roman" w:hAnsi="Times New Roman"/>
          <w:b/>
          <w:lang w:val="bs-Latn-BA"/>
        </w:rPr>
      </w:pPr>
      <w:bookmarkStart w:id="318" w:name="_Toc453917754"/>
      <w:bookmarkStart w:id="319" w:name="_Toc454797855"/>
      <w:bookmarkStart w:id="320" w:name="_Toc454799752"/>
      <w:r w:rsidRPr="00EA6011">
        <w:rPr>
          <w:rFonts w:ascii="Times New Roman" w:hAnsi="Times New Roman"/>
          <w:b/>
          <w:lang w:val="bs-Latn-BA"/>
        </w:rPr>
        <w:t>Konzumacija duhana</w:t>
      </w:r>
      <w:bookmarkEnd w:id="318"/>
      <w:bookmarkEnd w:id="319"/>
      <w:bookmarkEnd w:id="320"/>
    </w:p>
    <w:p w:rsidR="00642A63" w:rsidRPr="00155F80" w:rsidRDefault="00A131AD" w:rsidP="00642A63">
      <w:pPr>
        <w:spacing w:after="240" w:line="276" w:lineRule="auto"/>
        <w:rPr>
          <w:rFonts w:ascii="Times New Roman" w:hAnsi="Times New Roman"/>
        </w:rPr>
      </w:pPr>
      <w:r w:rsidRPr="00155F80">
        <w:rPr>
          <w:rFonts w:ascii="Times New Roman" w:hAnsi="Times New Roman"/>
          <w:lang w:val="sv-SE"/>
        </w:rPr>
        <w:t>Brojne</w:t>
      </w:r>
      <w:r w:rsidRPr="00155F80">
        <w:rPr>
          <w:rFonts w:ascii="Times New Roman" w:hAnsi="Times New Roman"/>
        </w:rPr>
        <w:t xml:space="preserve"> </w:t>
      </w:r>
      <w:r w:rsidRPr="00155F80">
        <w:rPr>
          <w:rFonts w:ascii="Times New Roman" w:hAnsi="Times New Roman"/>
          <w:lang w:val="sv-SE"/>
        </w:rPr>
        <w:t>studije</w:t>
      </w:r>
      <w:r w:rsidRPr="00155F80">
        <w:rPr>
          <w:rFonts w:ascii="Times New Roman" w:hAnsi="Times New Roman"/>
        </w:rPr>
        <w:t xml:space="preserve"> </w:t>
      </w:r>
      <w:r w:rsidRPr="00155F80">
        <w:rPr>
          <w:rFonts w:ascii="Times New Roman" w:hAnsi="Times New Roman"/>
          <w:lang w:val="sv-SE"/>
        </w:rPr>
        <w:t>posljednjih</w:t>
      </w:r>
      <w:r w:rsidRPr="00155F80">
        <w:rPr>
          <w:rFonts w:ascii="Times New Roman" w:hAnsi="Times New Roman"/>
        </w:rPr>
        <w:t xml:space="preserve"> </w:t>
      </w:r>
      <w:r w:rsidRPr="00155F80">
        <w:rPr>
          <w:rFonts w:ascii="Times New Roman" w:hAnsi="Times New Roman"/>
          <w:lang w:val="sv-SE"/>
        </w:rPr>
        <w:t>desetlje</w:t>
      </w:r>
      <w:r w:rsidRPr="00155F80">
        <w:rPr>
          <w:rFonts w:ascii="Times New Roman" w:hAnsi="Times New Roman"/>
        </w:rPr>
        <w:t>ć</w:t>
      </w:r>
      <w:r w:rsidRPr="00155F80">
        <w:rPr>
          <w:rFonts w:ascii="Times New Roman" w:hAnsi="Times New Roman"/>
          <w:lang w:val="sv-SE"/>
        </w:rPr>
        <w:t>a</w:t>
      </w:r>
      <w:r w:rsidRPr="00155F80">
        <w:rPr>
          <w:rFonts w:ascii="Times New Roman" w:hAnsi="Times New Roman"/>
        </w:rPr>
        <w:t xml:space="preserve"> </w:t>
      </w:r>
      <w:r w:rsidRPr="00155F80">
        <w:rPr>
          <w:rFonts w:ascii="Times New Roman" w:hAnsi="Times New Roman"/>
          <w:lang w:val="sv-SE"/>
        </w:rPr>
        <w:t>potvrdile</w:t>
      </w:r>
      <w:r w:rsidRPr="00155F80">
        <w:rPr>
          <w:rFonts w:ascii="Times New Roman" w:hAnsi="Times New Roman"/>
        </w:rPr>
        <w:t xml:space="preserve"> </w:t>
      </w:r>
      <w:r w:rsidRPr="00155F80">
        <w:rPr>
          <w:rFonts w:ascii="Times New Roman" w:hAnsi="Times New Roman"/>
          <w:lang w:val="sv-SE"/>
        </w:rPr>
        <w:t>su</w:t>
      </w:r>
      <w:r w:rsidRPr="00155F80">
        <w:rPr>
          <w:rFonts w:ascii="Times New Roman" w:hAnsi="Times New Roman"/>
        </w:rPr>
        <w:t xml:space="preserve"> </w:t>
      </w:r>
      <w:r w:rsidRPr="00155F80">
        <w:rPr>
          <w:rFonts w:ascii="Times New Roman" w:hAnsi="Times New Roman"/>
          <w:lang w:val="sv-SE"/>
        </w:rPr>
        <w:t>da</w:t>
      </w:r>
      <w:r w:rsidRPr="00155F80">
        <w:rPr>
          <w:rFonts w:ascii="Times New Roman" w:hAnsi="Times New Roman"/>
        </w:rPr>
        <w:t xml:space="preserve"> </w:t>
      </w:r>
      <w:r w:rsidRPr="00155F80">
        <w:rPr>
          <w:rFonts w:ascii="Times New Roman" w:hAnsi="Times New Roman"/>
          <w:lang w:val="sv-SE"/>
        </w:rPr>
        <w:t>konzumiranje</w:t>
      </w:r>
      <w:r w:rsidRPr="00155F80">
        <w:rPr>
          <w:rFonts w:ascii="Times New Roman" w:hAnsi="Times New Roman"/>
        </w:rPr>
        <w:t xml:space="preserve"> </w:t>
      </w:r>
      <w:r w:rsidRPr="00155F80">
        <w:rPr>
          <w:rFonts w:ascii="Times New Roman" w:hAnsi="Times New Roman"/>
          <w:lang w:val="sv-SE"/>
        </w:rPr>
        <w:t>duhana</w:t>
      </w:r>
      <w:r w:rsidRPr="00155F80">
        <w:rPr>
          <w:rFonts w:ascii="Times New Roman" w:hAnsi="Times New Roman"/>
        </w:rPr>
        <w:t xml:space="preserve"> </w:t>
      </w:r>
      <w:r w:rsidRPr="00155F80">
        <w:rPr>
          <w:rFonts w:ascii="Times New Roman" w:hAnsi="Times New Roman"/>
          <w:lang w:val="sv-SE"/>
        </w:rPr>
        <w:t>i</w:t>
      </w:r>
      <w:r w:rsidRPr="00155F80">
        <w:rPr>
          <w:rFonts w:ascii="Times New Roman" w:hAnsi="Times New Roman"/>
        </w:rPr>
        <w:t xml:space="preserve"> </w:t>
      </w:r>
      <w:r w:rsidRPr="00155F80">
        <w:rPr>
          <w:rFonts w:ascii="Times New Roman" w:hAnsi="Times New Roman"/>
          <w:lang w:val="sv-SE"/>
        </w:rPr>
        <w:t>duhanskih</w:t>
      </w:r>
      <w:r w:rsidRPr="00155F80">
        <w:rPr>
          <w:rFonts w:ascii="Times New Roman" w:hAnsi="Times New Roman"/>
        </w:rPr>
        <w:t xml:space="preserve"> </w:t>
      </w:r>
      <w:r w:rsidRPr="00155F80">
        <w:rPr>
          <w:rFonts w:ascii="Times New Roman" w:hAnsi="Times New Roman"/>
          <w:lang w:val="sv-SE"/>
        </w:rPr>
        <w:t>proizvoda</w:t>
      </w:r>
      <w:r w:rsidRPr="00155F80">
        <w:rPr>
          <w:rFonts w:ascii="Times New Roman" w:hAnsi="Times New Roman"/>
        </w:rPr>
        <w:t xml:space="preserve">, </w:t>
      </w:r>
      <w:r w:rsidRPr="00155F80">
        <w:rPr>
          <w:rFonts w:ascii="Times New Roman" w:hAnsi="Times New Roman"/>
          <w:lang w:val="sv-SE"/>
        </w:rPr>
        <w:t>kao</w:t>
      </w:r>
      <w:r w:rsidRPr="00155F80">
        <w:rPr>
          <w:rFonts w:ascii="Times New Roman" w:hAnsi="Times New Roman"/>
        </w:rPr>
        <w:t xml:space="preserve"> </w:t>
      </w:r>
      <w:r w:rsidRPr="00155F80">
        <w:rPr>
          <w:rFonts w:ascii="Times New Roman" w:hAnsi="Times New Roman"/>
          <w:lang w:val="sv-SE"/>
        </w:rPr>
        <w:t>i</w:t>
      </w:r>
      <w:r w:rsidRPr="00155F80">
        <w:rPr>
          <w:rFonts w:ascii="Times New Roman" w:hAnsi="Times New Roman"/>
        </w:rPr>
        <w:t xml:space="preserve"> </w:t>
      </w:r>
      <w:r w:rsidRPr="00155F80">
        <w:rPr>
          <w:rFonts w:ascii="Times New Roman" w:hAnsi="Times New Roman"/>
          <w:lang w:val="sv-SE"/>
        </w:rPr>
        <w:t>izlaganje</w:t>
      </w:r>
      <w:r w:rsidRPr="00155F80">
        <w:rPr>
          <w:rFonts w:ascii="Times New Roman" w:hAnsi="Times New Roman"/>
        </w:rPr>
        <w:t xml:space="preserve"> </w:t>
      </w:r>
      <w:r w:rsidRPr="00155F80">
        <w:rPr>
          <w:rFonts w:ascii="Times New Roman" w:hAnsi="Times New Roman"/>
          <w:lang w:val="sv-SE"/>
        </w:rPr>
        <w:t>duhanskom</w:t>
      </w:r>
      <w:r w:rsidRPr="00155F80">
        <w:rPr>
          <w:rFonts w:ascii="Times New Roman" w:hAnsi="Times New Roman"/>
        </w:rPr>
        <w:t xml:space="preserve"> </w:t>
      </w:r>
      <w:r w:rsidRPr="00155F80">
        <w:rPr>
          <w:rFonts w:ascii="Times New Roman" w:hAnsi="Times New Roman"/>
          <w:lang w:val="sv-SE"/>
        </w:rPr>
        <w:t>dimu</w:t>
      </w:r>
      <w:r w:rsidRPr="00155F80">
        <w:rPr>
          <w:rFonts w:ascii="Times New Roman" w:hAnsi="Times New Roman"/>
        </w:rPr>
        <w:t xml:space="preserve"> </w:t>
      </w:r>
      <w:r w:rsidRPr="00155F80">
        <w:rPr>
          <w:rFonts w:ascii="Times New Roman" w:hAnsi="Times New Roman"/>
          <w:lang w:val="sv-SE"/>
        </w:rPr>
        <w:t>ili</w:t>
      </w:r>
      <w:r w:rsidRPr="00155F80">
        <w:rPr>
          <w:rFonts w:ascii="Times New Roman" w:hAnsi="Times New Roman"/>
        </w:rPr>
        <w:t xml:space="preserve">, </w:t>
      </w:r>
      <w:r w:rsidRPr="00155F80">
        <w:rPr>
          <w:rFonts w:ascii="Times New Roman" w:hAnsi="Times New Roman"/>
          <w:lang w:val="sv-SE"/>
        </w:rPr>
        <w:t>tzv</w:t>
      </w:r>
      <w:r w:rsidRPr="00155F80">
        <w:rPr>
          <w:rFonts w:ascii="Times New Roman" w:hAnsi="Times New Roman"/>
        </w:rPr>
        <w:t xml:space="preserve">. </w:t>
      </w:r>
      <w:r w:rsidRPr="00155F80">
        <w:rPr>
          <w:rFonts w:ascii="Times New Roman" w:hAnsi="Times New Roman"/>
          <w:lang w:val="sv-SE"/>
        </w:rPr>
        <w:t>pasivno</w:t>
      </w:r>
      <w:r w:rsidRPr="00155F80">
        <w:rPr>
          <w:rFonts w:ascii="Times New Roman" w:hAnsi="Times New Roman"/>
        </w:rPr>
        <w:t xml:space="preserve"> </w:t>
      </w:r>
      <w:r w:rsidRPr="00155F80">
        <w:rPr>
          <w:rFonts w:ascii="Times New Roman" w:hAnsi="Times New Roman"/>
          <w:lang w:val="sv-SE"/>
        </w:rPr>
        <w:t>pu</w:t>
      </w:r>
      <w:r w:rsidRPr="00155F80">
        <w:rPr>
          <w:rFonts w:ascii="Times New Roman" w:hAnsi="Times New Roman"/>
        </w:rPr>
        <w:t>š</w:t>
      </w:r>
      <w:r w:rsidRPr="00155F80">
        <w:rPr>
          <w:rFonts w:ascii="Times New Roman" w:hAnsi="Times New Roman"/>
          <w:lang w:val="sv-SE"/>
        </w:rPr>
        <w:t>enje</w:t>
      </w:r>
      <w:r w:rsidRPr="00155F80">
        <w:rPr>
          <w:rFonts w:ascii="Times New Roman" w:hAnsi="Times New Roman"/>
        </w:rPr>
        <w:t xml:space="preserve"> </w:t>
      </w:r>
      <w:r w:rsidRPr="00155F80">
        <w:rPr>
          <w:rFonts w:ascii="Times New Roman" w:hAnsi="Times New Roman"/>
          <w:lang w:val="sv-SE"/>
        </w:rPr>
        <w:t>znatno</w:t>
      </w:r>
      <w:r w:rsidRPr="00155F80">
        <w:rPr>
          <w:rFonts w:ascii="Times New Roman" w:hAnsi="Times New Roman"/>
        </w:rPr>
        <w:t xml:space="preserve"> </w:t>
      </w:r>
      <w:r w:rsidRPr="00155F80">
        <w:rPr>
          <w:rFonts w:ascii="Times New Roman" w:hAnsi="Times New Roman"/>
          <w:lang w:val="sv-SE"/>
        </w:rPr>
        <w:t>doprinose</w:t>
      </w:r>
      <w:r w:rsidRPr="00155F80">
        <w:rPr>
          <w:rFonts w:ascii="Times New Roman" w:hAnsi="Times New Roman"/>
        </w:rPr>
        <w:t xml:space="preserve"> </w:t>
      </w:r>
      <w:r w:rsidRPr="00155F80">
        <w:rPr>
          <w:rFonts w:ascii="Times New Roman" w:hAnsi="Times New Roman"/>
          <w:lang w:val="sv-SE"/>
        </w:rPr>
        <w:t>obol</w:t>
      </w:r>
      <w:r w:rsidR="00A32D67">
        <w:rPr>
          <w:rFonts w:ascii="Times New Roman" w:hAnsi="Times New Roman"/>
          <w:lang w:val="sv-SE"/>
        </w:rPr>
        <w:t>i</w:t>
      </w:r>
      <w:r w:rsidRPr="00155F80">
        <w:rPr>
          <w:rFonts w:ascii="Times New Roman" w:hAnsi="Times New Roman"/>
          <w:lang w:val="sv-SE"/>
        </w:rPr>
        <w:t>jevanju</w:t>
      </w:r>
      <w:r w:rsidRPr="00155F80">
        <w:rPr>
          <w:rFonts w:ascii="Times New Roman" w:hAnsi="Times New Roman"/>
        </w:rPr>
        <w:t xml:space="preserve">, </w:t>
      </w:r>
      <w:r w:rsidRPr="00155F80">
        <w:rPr>
          <w:rFonts w:ascii="Times New Roman" w:hAnsi="Times New Roman"/>
          <w:lang w:val="sv-SE"/>
        </w:rPr>
        <w:t>invalidnosti</w:t>
      </w:r>
      <w:r w:rsidRPr="00155F80">
        <w:rPr>
          <w:rFonts w:ascii="Times New Roman" w:hAnsi="Times New Roman"/>
        </w:rPr>
        <w:t xml:space="preserve"> </w:t>
      </w:r>
      <w:r w:rsidRPr="00155F80">
        <w:rPr>
          <w:rFonts w:ascii="Times New Roman" w:hAnsi="Times New Roman"/>
          <w:lang w:val="sv-SE"/>
        </w:rPr>
        <w:t>i</w:t>
      </w:r>
      <w:r w:rsidRPr="00155F80">
        <w:rPr>
          <w:rFonts w:ascii="Times New Roman" w:hAnsi="Times New Roman"/>
        </w:rPr>
        <w:t xml:space="preserve"> </w:t>
      </w:r>
      <w:r w:rsidRPr="00155F80">
        <w:rPr>
          <w:rFonts w:ascii="Times New Roman" w:hAnsi="Times New Roman"/>
          <w:lang w:val="sv-SE"/>
        </w:rPr>
        <w:t>prijevremenom</w:t>
      </w:r>
      <w:r w:rsidRPr="00155F80">
        <w:rPr>
          <w:rFonts w:ascii="Times New Roman" w:hAnsi="Times New Roman"/>
        </w:rPr>
        <w:t xml:space="preserve"> </w:t>
      </w:r>
      <w:r w:rsidRPr="00155F80">
        <w:rPr>
          <w:rFonts w:ascii="Times New Roman" w:hAnsi="Times New Roman"/>
          <w:lang w:val="sv-SE"/>
        </w:rPr>
        <w:t>umiranju</w:t>
      </w:r>
      <w:r w:rsidRPr="00155F80">
        <w:rPr>
          <w:rFonts w:ascii="Times New Roman" w:hAnsi="Times New Roman"/>
        </w:rPr>
        <w:t xml:space="preserve"> </w:t>
      </w:r>
      <w:r w:rsidRPr="00155F80">
        <w:rPr>
          <w:rFonts w:ascii="Times New Roman" w:hAnsi="Times New Roman"/>
          <w:lang w:val="sv-SE"/>
        </w:rPr>
        <w:t>u</w:t>
      </w:r>
      <w:r w:rsidRPr="00155F80">
        <w:rPr>
          <w:rFonts w:ascii="Times New Roman" w:hAnsi="Times New Roman"/>
        </w:rPr>
        <w:t xml:space="preserve"> </w:t>
      </w:r>
      <w:r w:rsidRPr="00155F80">
        <w:rPr>
          <w:rFonts w:ascii="Times New Roman" w:hAnsi="Times New Roman"/>
          <w:lang w:val="sv-SE"/>
        </w:rPr>
        <w:t>svim</w:t>
      </w:r>
      <w:r w:rsidRPr="00155F80">
        <w:rPr>
          <w:rFonts w:ascii="Times New Roman" w:hAnsi="Times New Roman"/>
        </w:rPr>
        <w:t xml:space="preserve"> </w:t>
      </w:r>
      <w:r w:rsidRPr="00155F80">
        <w:rPr>
          <w:rFonts w:ascii="Times New Roman" w:hAnsi="Times New Roman"/>
          <w:lang w:val="sv-SE"/>
        </w:rPr>
        <w:t>starosnim</w:t>
      </w:r>
      <w:r w:rsidRPr="00155F80">
        <w:rPr>
          <w:rFonts w:ascii="Times New Roman" w:hAnsi="Times New Roman"/>
        </w:rPr>
        <w:t xml:space="preserve"> </w:t>
      </w:r>
      <w:r w:rsidRPr="00155F80">
        <w:rPr>
          <w:rFonts w:ascii="Times New Roman" w:hAnsi="Times New Roman"/>
          <w:lang w:val="sv-SE"/>
        </w:rPr>
        <w:t>skupinama</w:t>
      </w:r>
      <w:r w:rsidRPr="00155F80">
        <w:rPr>
          <w:rFonts w:ascii="Times New Roman" w:hAnsi="Times New Roman"/>
        </w:rPr>
        <w:t xml:space="preserve">, </w:t>
      </w:r>
      <w:r w:rsidRPr="00155F80">
        <w:rPr>
          <w:rFonts w:ascii="Times New Roman" w:hAnsi="Times New Roman"/>
          <w:lang w:val="sv-SE"/>
        </w:rPr>
        <w:t>zbog</w:t>
      </w:r>
      <w:r w:rsidRPr="00155F80">
        <w:rPr>
          <w:rFonts w:ascii="Times New Roman" w:hAnsi="Times New Roman"/>
        </w:rPr>
        <w:t xml:space="preserve"> č</w:t>
      </w:r>
      <w:r w:rsidRPr="00155F80">
        <w:rPr>
          <w:rFonts w:ascii="Times New Roman" w:hAnsi="Times New Roman"/>
          <w:lang w:val="sv-SE"/>
        </w:rPr>
        <w:t>ega</w:t>
      </w:r>
      <w:r w:rsidRPr="00155F80">
        <w:rPr>
          <w:rFonts w:ascii="Times New Roman" w:hAnsi="Times New Roman"/>
        </w:rPr>
        <w:t xml:space="preserve"> </w:t>
      </w:r>
      <w:r w:rsidRPr="00155F80">
        <w:rPr>
          <w:rFonts w:ascii="Times New Roman" w:hAnsi="Times New Roman"/>
          <w:lang w:val="sv-SE"/>
        </w:rPr>
        <w:t>je</w:t>
      </w:r>
      <w:r w:rsidRPr="00155F80">
        <w:rPr>
          <w:rFonts w:ascii="Times New Roman" w:hAnsi="Times New Roman"/>
        </w:rPr>
        <w:t xml:space="preserve"> </w:t>
      </w:r>
      <w:r w:rsidRPr="00155F80">
        <w:rPr>
          <w:rFonts w:ascii="Times New Roman" w:hAnsi="Times New Roman"/>
          <w:lang w:val="sv-SE"/>
        </w:rPr>
        <w:t>prema</w:t>
      </w:r>
      <w:r w:rsidRPr="00155F80">
        <w:rPr>
          <w:rFonts w:ascii="Times New Roman" w:hAnsi="Times New Roman"/>
        </w:rPr>
        <w:t xml:space="preserve"> </w:t>
      </w:r>
      <w:r w:rsidRPr="00155F80">
        <w:rPr>
          <w:rFonts w:ascii="Times New Roman" w:hAnsi="Times New Roman"/>
          <w:lang w:val="sv-SE"/>
        </w:rPr>
        <w:t>MKB</w:t>
      </w:r>
      <w:r w:rsidRPr="00155F80">
        <w:rPr>
          <w:rFonts w:ascii="Times New Roman" w:hAnsi="Times New Roman"/>
        </w:rPr>
        <w:t xml:space="preserve"> </w:t>
      </w:r>
      <w:r w:rsidRPr="00155F80">
        <w:rPr>
          <w:rFonts w:ascii="Times New Roman" w:hAnsi="Times New Roman"/>
          <w:lang w:val="sv-SE"/>
        </w:rPr>
        <w:t>pu</w:t>
      </w:r>
      <w:r w:rsidRPr="00155F80">
        <w:rPr>
          <w:rFonts w:ascii="Times New Roman" w:hAnsi="Times New Roman"/>
        </w:rPr>
        <w:t>š</w:t>
      </w:r>
      <w:r w:rsidRPr="00155F80">
        <w:rPr>
          <w:rFonts w:ascii="Times New Roman" w:hAnsi="Times New Roman"/>
          <w:lang w:val="sv-SE"/>
        </w:rPr>
        <w:t>enje</w:t>
      </w:r>
      <w:r w:rsidRPr="00155F80">
        <w:rPr>
          <w:rFonts w:ascii="Times New Roman" w:hAnsi="Times New Roman"/>
        </w:rPr>
        <w:t xml:space="preserve"> </w:t>
      </w:r>
      <w:r w:rsidRPr="00155F80">
        <w:rPr>
          <w:rFonts w:ascii="Times New Roman" w:hAnsi="Times New Roman"/>
          <w:lang w:val="sv-SE"/>
        </w:rPr>
        <w:t>svrstano</w:t>
      </w:r>
      <w:r w:rsidRPr="00155F80">
        <w:rPr>
          <w:rFonts w:ascii="Times New Roman" w:hAnsi="Times New Roman"/>
        </w:rPr>
        <w:t xml:space="preserve"> </w:t>
      </w:r>
      <w:r w:rsidRPr="00155F80">
        <w:rPr>
          <w:rFonts w:ascii="Times New Roman" w:hAnsi="Times New Roman"/>
          <w:lang w:val="sv-SE"/>
        </w:rPr>
        <w:t>u</w:t>
      </w:r>
      <w:r w:rsidRPr="00155F80">
        <w:rPr>
          <w:rFonts w:ascii="Times New Roman" w:hAnsi="Times New Roman"/>
        </w:rPr>
        <w:t xml:space="preserve"> </w:t>
      </w:r>
      <w:r w:rsidRPr="00155F80">
        <w:rPr>
          <w:rFonts w:ascii="Times New Roman" w:hAnsi="Times New Roman"/>
          <w:lang w:val="sv-SE"/>
        </w:rPr>
        <w:t>bolesti</w:t>
      </w:r>
      <w:r w:rsidRPr="00155F80">
        <w:rPr>
          <w:rFonts w:ascii="Times New Roman" w:hAnsi="Times New Roman"/>
        </w:rPr>
        <w:t xml:space="preserve"> </w:t>
      </w:r>
      <w:r w:rsidRPr="00155F80">
        <w:rPr>
          <w:rFonts w:ascii="Times New Roman" w:hAnsi="Times New Roman"/>
          <w:lang w:val="sv-SE"/>
        </w:rPr>
        <w:t>pod</w:t>
      </w:r>
      <w:r w:rsidRPr="00155F80">
        <w:rPr>
          <w:rFonts w:ascii="Times New Roman" w:hAnsi="Times New Roman"/>
        </w:rPr>
        <w:t xml:space="preserve"> š</w:t>
      </w:r>
      <w:r w:rsidRPr="00155F80">
        <w:rPr>
          <w:rFonts w:ascii="Times New Roman" w:hAnsi="Times New Roman"/>
          <w:lang w:val="sv-SE"/>
        </w:rPr>
        <w:t>ifrom</w:t>
      </w:r>
      <w:r w:rsidRPr="00155F80">
        <w:rPr>
          <w:rFonts w:ascii="Times New Roman" w:hAnsi="Times New Roman"/>
        </w:rPr>
        <w:t xml:space="preserve"> </w:t>
      </w:r>
      <w:r w:rsidRPr="00155F80">
        <w:rPr>
          <w:rFonts w:ascii="Times New Roman" w:hAnsi="Times New Roman"/>
          <w:lang w:val="sv-SE"/>
        </w:rPr>
        <w:t>F</w:t>
      </w:r>
      <w:r w:rsidRPr="00155F80">
        <w:rPr>
          <w:rFonts w:ascii="Times New Roman" w:hAnsi="Times New Roman"/>
        </w:rPr>
        <w:t xml:space="preserve">17.2  </w:t>
      </w:r>
      <w:r w:rsidRPr="00155F80">
        <w:rPr>
          <w:rFonts w:ascii="Times New Roman" w:hAnsi="Times New Roman"/>
          <w:lang w:val="sv-SE"/>
        </w:rPr>
        <w:t>kao</w:t>
      </w:r>
      <w:r w:rsidRPr="00155F80">
        <w:rPr>
          <w:rFonts w:ascii="Times New Roman" w:hAnsi="Times New Roman"/>
        </w:rPr>
        <w:t xml:space="preserve"> "</w:t>
      </w:r>
      <w:r w:rsidRPr="00155F80">
        <w:rPr>
          <w:rFonts w:ascii="Times New Roman" w:hAnsi="Times New Roman"/>
          <w:lang w:val="sv-SE"/>
        </w:rPr>
        <w:t>sindrom</w:t>
      </w:r>
      <w:r w:rsidRPr="00155F80">
        <w:rPr>
          <w:rFonts w:ascii="Times New Roman" w:hAnsi="Times New Roman"/>
        </w:rPr>
        <w:t xml:space="preserve"> </w:t>
      </w:r>
      <w:r w:rsidRPr="00155F80">
        <w:rPr>
          <w:rFonts w:ascii="Times New Roman" w:hAnsi="Times New Roman"/>
          <w:lang w:val="sv-SE"/>
        </w:rPr>
        <w:t>ovisnosti</w:t>
      </w:r>
      <w:r w:rsidRPr="00155F80">
        <w:rPr>
          <w:rFonts w:ascii="Times New Roman" w:hAnsi="Times New Roman"/>
        </w:rPr>
        <w:t xml:space="preserve"> </w:t>
      </w:r>
      <w:r w:rsidRPr="00155F80">
        <w:rPr>
          <w:rFonts w:ascii="Times New Roman" w:hAnsi="Times New Roman"/>
          <w:lang w:val="sv-SE"/>
        </w:rPr>
        <w:t>o</w:t>
      </w:r>
      <w:r w:rsidRPr="00155F80">
        <w:rPr>
          <w:rFonts w:ascii="Times New Roman" w:hAnsi="Times New Roman"/>
        </w:rPr>
        <w:t xml:space="preserve"> </w:t>
      </w:r>
      <w:r w:rsidRPr="00155F80">
        <w:rPr>
          <w:rFonts w:ascii="Times New Roman" w:hAnsi="Times New Roman"/>
          <w:lang w:val="sv-SE"/>
        </w:rPr>
        <w:t>duhanu</w:t>
      </w:r>
      <w:r w:rsidRPr="00155F80">
        <w:rPr>
          <w:rFonts w:ascii="Times New Roman" w:hAnsi="Times New Roman"/>
        </w:rPr>
        <w:t xml:space="preserve">". </w:t>
      </w:r>
      <w:r w:rsidR="00A32D67">
        <w:rPr>
          <w:rFonts w:ascii="Times New Roman" w:hAnsi="Times New Roman"/>
          <w:lang w:val="sv-SE"/>
        </w:rPr>
        <w:t>Znanstveno</w:t>
      </w:r>
      <w:r w:rsidRPr="00155F80">
        <w:rPr>
          <w:rFonts w:ascii="Times New Roman" w:hAnsi="Times New Roman"/>
        </w:rPr>
        <w:t xml:space="preserve"> </w:t>
      </w:r>
      <w:r w:rsidRPr="00155F80">
        <w:rPr>
          <w:rFonts w:ascii="Times New Roman" w:hAnsi="Times New Roman"/>
          <w:lang w:val="sv-SE"/>
        </w:rPr>
        <w:t>su</w:t>
      </w:r>
      <w:r w:rsidRPr="00155F80">
        <w:rPr>
          <w:rFonts w:ascii="Times New Roman" w:hAnsi="Times New Roman"/>
        </w:rPr>
        <w:t xml:space="preserve"> </w:t>
      </w:r>
      <w:r w:rsidRPr="00155F80">
        <w:rPr>
          <w:rFonts w:ascii="Times New Roman" w:hAnsi="Times New Roman"/>
          <w:lang w:val="sv-SE"/>
        </w:rPr>
        <w:t>dokazane</w:t>
      </w:r>
      <w:r w:rsidRPr="00155F80">
        <w:rPr>
          <w:rFonts w:ascii="Times New Roman" w:hAnsi="Times New Roman"/>
        </w:rPr>
        <w:t xml:space="preserve"> </w:t>
      </w:r>
      <w:r w:rsidRPr="00155F80">
        <w:rPr>
          <w:rFonts w:ascii="Times New Roman" w:hAnsi="Times New Roman"/>
          <w:lang w:val="sl-SI"/>
        </w:rPr>
        <w:t>brojne posljedice upor</w:t>
      </w:r>
      <w:r w:rsidR="00A32D67">
        <w:rPr>
          <w:rFonts w:ascii="Times New Roman" w:hAnsi="Times New Roman"/>
          <w:lang w:val="sl-SI"/>
        </w:rPr>
        <w:t>a</w:t>
      </w:r>
      <w:r w:rsidRPr="00155F80">
        <w:rPr>
          <w:rFonts w:ascii="Times New Roman" w:hAnsi="Times New Roman"/>
          <w:lang w:val="sl-SI"/>
        </w:rPr>
        <w:t xml:space="preserve">be duhanskih proizvoda koje se sagledavaju kroz </w:t>
      </w:r>
      <w:r w:rsidR="00A32D67">
        <w:rPr>
          <w:rFonts w:ascii="Times New Roman" w:hAnsi="Times New Roman"/>
          <w:lang w:val="sl-SI"/>
        </w:rPr>
        <w:t>učinke</w:t>
      </w:r>
      <w:r w:rsidRPr="00155F80">
        <w:rPr>
          <w:rFonts w:ascii="Times New Roman" w:hAnsi="Times New Roman"/>
          <w:lang w:val="sl-SI"/>
        </w:rPr>
        <w:t xml:space="preserve"> na zdravlje pojedinca, stanovništva i zajednice u cijelini. </w:t>
      </w:r>
    </w:p>
    <w:p w:rsidR="00A131AD" w:rsidRPr="00155F80" w:rsidRDefault="00A131AD" w:rsidP="000C0138">
      <w:pPr>
        <w:pStyle w:val="Heading4"/>
        <w:spacing w:line="276" w:lineRule="auto"/>
        <w:rPr>
          <w:rFonts w:ascii="Times New Roman" w:hAnsi="Times New Roman" w:cs="Times New Roman"/>
          <w:b/>
          <w:i w:val="0"/>
          <w:color w:val="auto"/>
          <w:lang w:val="bs-Latn-BA"/>
        </w:rPr>
      </w:pPr>
      <w:r w:rsidRPr="00155F80">
        <w:rPr>
          <w:rFonts w:ascii="Times New Roman" w:hAnsi="Times New Roman" w:cs="Times New Roman"/>
          <w:b/>
          <w:i w:val="0"/>
          <w:color w:val="auto"/>
          <w:lang w:val="bs-Latn-BA"/>
        </w:rPr>
        <w:t>Prevalenc</w:t>
      </w:r>
      <w:r w:rsidR="00A32D67">
        <w:rPr>
          <w:rFonts w:ascii="Times New Roman" w:hAnsi="Times New Roman" w:cs="Times New Roman"/>
          <w:b/>
          <w:i w:val="0"/>
          <w:color w:val="auto"/>
          <w:lang w:val="bs-Latn-BA"/>
        </w:rPr>
        <w:t>ij</w:t>
      </w:r>
      <w:r w:rsidRPr="00155F80">
        <w:rPr>
          <w:rFonts w:ascii="Times New Roman" w:hAnsi="Times New Roman" w:cs="Times New Roman"/>
          <w:b/>
          <w:i w:val="0"/>
          <w:color w:val="auto"/>
          <w:lang w:val="bs-Latn-BA"/>
        </w:rPr>
        <w:t xml:space="preserve">a pušenja u Federaciji BiH </w:t>
      </w:r>
    </w:p>
    <w:p w:rsidR="00A131AD" w:rsidRPr="00155F80" w:rsidRDefault="00A131AD" w:rsidP="000C0138">
      <w:pPr>
        <w:pStyle w:val="Heading4"/>
        <w:spacing w:line="276" w:lineRule="auto"/>
        <w:rPr>
          <w:rFonts w:ascii="Times New Roman" w:hAnsi="Times New Roman" w:cs="Times New Roman"/>
          <w:i w:val="0"/>
          <w:color w:val="auto"/>
          <w:lang w:val="bs-Latn-BA"/>
        </w:rPr>
      </w:pPr>
      <w:r w:rsidRPr="00155F80">
        <w:rPr>
          <w:rFonts w:ascii="Times New Roman" w:hAnsi="Times New Roman" w:cs="Times New Roman"/>
          <w:i w:val="0"/>
          <w:color w:val="auto"/>
          <w:lang w:val="bs-Latn-BA"/>
        </w:rPr>
        <w:t xml:space="preserve">U procjeni raširenosti pušenja kao bolesti ovisnosti, koriste se pokazatelji populacijskih istraživanja urađenih u Federaciji BiH za </w:t>
      </w:r>
      <w:r w:rsidR="00A32D67">
        <w:rPr>
          <w:rFonts w:ascii="Times New Roman" w:hAnsi="Times New Roman" w:cs="Times New Roman"/>
          <w:i w:val="0"/>
          <w:color w:val="auto"/>
          <w:lang w:val="bs-Latn-BA"/>
        </w:rPr>
        <w:t>razdoblje</w:t>
      </w:r>
      <w:r w:rsidRPr="00155F80">
        <w:rPr>
          <w:rFonts w:ascii="Times New Roman" w:hAnsi="Times New Roman" w:cs="Times New Roman"/>
          <w:i w:val="0"/>
          <w:color w:val="auto"/>
          <w:lang w:val="bs-Latn-BA"/>
        </w:rPr>
        <w:t xml:space="preserve"> 2010</w:t>
      </w:r>
      <w:r w:rsidR="00EC077A">
        <w:rPr>
          <w:rFonts w:ascii="Times New Roman" w:hAnsi="Times New Roman" w:cs="Times New Roman"/>
          <w:i w:val="0"/>
          <w:color w:val="auto"/>
          <w:lang w:val="bs-Latn-BA"/>
        </w:rPr>
        <w:t>.</w:t>
      </w:r>
      <w:r w:rsidRPr="00155F80">
        <w:rPr>
          <w:rFonts w:ascii="Times New Roman" w:hAnsi="Times New Roman" w:cs="Times New Roman"/>
          <w:i w:val="0"/>
          <w:color w:val="auto"/>
          <w:lang w:val="bs-Latn-BA"/>
        </w:rPr>
        <w:t>-2015</w:t>
      </w:r>
      <w:r w:rsidR="00EC077A">
        <w:rPr>
          <w:rFonts w:ascii="Times New Roman" w:hAnsi="Times New Roman" w:cs="Times New Roman"/>
          <w:i w:val="0"/>
          <w:color w:val="auto"/>
          <w:lang w:val="bs-Latn-BA"/>
        </w:rPr>
        <w:t>.</w:t>
      </w:r>
      <w:r w:rsidRPr="00155F80">
        <w:rPr>
          <w:rFonts w:ascii="Times New Roman" w:hAnsi="Times New Roman" w:cs="Times New Roman"/>
          <w:i w:val="0"/>
          <w:color w:val="auto"/>
          <w:lang w:val="bs-Latn-BA"/>
        </w:rPr>
        <w:t xml:space="preserve"> god</w:t>
      </w:r>
      <w:r w:rsidR="00EC077A">
        <w:rPr>
          <w:rFonts w:ascii="Times New Roman" w:hAnsi="Times New Roman" w:cs="Times New Roman"/>
          <w:i w:val="0"/>
          <w:color w:val="auto"/>
          <w:lang w:val="bs-Latn-BA"/>
        </w:rPr>
        <w:t>ina</w:t>
      </w:r>
      <w:r w:rsidRPr="00155F80">
        <w:rPr>
          <w:rFonts w:ascii="Times New Roman" w:hAnsi="Times New Roman" w:cs="Times New Roman"/>
          <w:i w:val="0"/>
          <w:color w:val="auto"/>
          <w:lang w:val="bs-Latn-BA"/>
        </w:rPr>
        <w:t xml:space="preserve"> sa izvjesnim razlikama u odnosu na uzorak, starosnu skupinu i godinu istraživanja.</w:t>
      </w:r>
    </w:p>
    <w:p w:rsidR="00A131AD" w:rsidRPr="00155F80" w:rsidRDefault="00A131AD" w:rsidP="00250204">
      <w:pPr>
        <w:pStyle w:val="TEKST"/>
        <w:rPr>
          <w:i/>
        </w:rPr>
      </w:pPr>
      <w:r w:rsidRPr="00155F80">
        <w:t>Tako po rezultatima MICS4 istraživanja iz 2011</w:t>
      </w:r>
      <w:r w:rsidR="00EC077A">
        <w:t>. godine</w:t>
      </w:r>
      <w:r w:rsidRPr="00155F80">
        <w:t xml:space="preserve"> bilježi se 33,4% žena stalnih pušača u urbanim područjima i 24,9% žena u ruralnim sredinama,  kao i 45% muškaraca stalnih pušača u urbanim i 41,1% muškaraca u ruralnim sredinama. Značajna je visoka ovisnosti o nikotinu koja je izraženija kod muškaraca pušača, pri čemu 68,4% muškarca i 39% žena dnevno puši preko 20 cigareta. </w:t>
      </w:r>
    </w:p>
    <w:p w:rsidR="00B37E7E" w:rsidRDefault="00A131AD" w:rsidP="00250204">
      <w:pPr>
        <w:pStyle w:val="TEKST"/>
      </w:pPr>
      <w:r w:rsidRPr="00155F80">
        <w:t>I rezultati Studije o stanju zdravlja odrasloga stanovništva u Federaciji BiH u 2012</w:t>
      </w:r>
      <w:r w:rsidR="00EC077A">
        <w:t>. godini</w:t>
      </w:r>
      <w:r w:rsidRPr="00155F80">
        <w:t xml:space="preserve"> potvrđuju da je pušenje vodeća bolest ovisnosti stanovništva u Federaciji BiH. Stalno pušenje potvrđuje 44,1% ispitanika </w:t>
      </w:r>
      <w:r w:rsidRPr="007E20B3">
        <w:t>od čega 56,3% muškaraca a 31,6% žena</w:t>
      </w:r>
      <w:r w:rsidR="007E20B3" w:rsidRPr="007E20B3">
        <w:t>.</w:t>
      </w:r>
    </w:p>
    <w:p w:rsidR="00642A63" w:rsidRPr="00155F80" w:rsidRDefault="00642A63" w:rsidP="00250204">
      <w:pPr>
        <w:pStyle w:val="TEKST"/>
      </w:pPr>
    </w:p>
    <w:p w:rsidR="00A131AD" w:rsidRPr="000D7840" w:rsidRDefault="00642A63" w:rsidP="00642A63">
      <w:pPr>
        <w:pStyle w:val="refererere"/>
        <w:jc w:val="left"/>
      </w:pPr>
      <w:r>
        <w:rPr>
          <w:noProof/>
          <w:lang w:val="bs-Latn-BA" w:eastAsia="bs-Latn-BA"/>
        </w:rPr>
        <w:lastRenderedPageBreak/>
        <mc:AlternateContent>
          <mc:Choice Requires="wps">
            <w:drawing>
              <wp:anchor distT="0" distB="0" distL="114300" distR="114300" simplePos="0" relativeHeight="251676672" behindDoc="0" locked="0" layoutInCell="1" allowOverlap="1" wp14:anchorId="2938A6DA" wp14:editId="7D65B55C">
                <wp:simplePos x="0" y="0"/>
                <wp:positionH relativeFrom="margin">
                  <wp:posOffset>0</wp:posOffset>
                </wp:positionH>
                <wp:positionV relativeFrom="paragraph">
                  <wp:posOffset>165925</wp:posOffset>
                </wp:positionV>
                <wp:extent cx="5735320" cy="1531620"/>
                <wp:effectExtent l="0" t="0" r="17780" b="11430"/>
                <wp:wrapNone/>
                <wp:docPr id="90" name="Rectangle 90"/>
                <wp:cNvGraphicFramePr/>
                <a:graphic xmlns:a="http://schemas.openxmlformats.org/drawingml/2006/main">
                  <a:graphicData uri="http://schemas.microsoft.com/office/word/2010/wordprocessingShape">
                    <wps:wsp>
                      <wps:cNvSpPr/>
                      <wps:spPr>
                        <a:xfrm>
                          <a:off x="0" y="0"/>
                          <a:ext cx="5735320" cy="153162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57305266" id="Rectangle 90" o:spid="_x0000_s1026" style="position:absolute;margin-left:0;margin-top:13.05pt;width:451.6pt;height:120.6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" filled="f" strokecolor="black [3213]" strokeweight="1pt">
                <w10:wrap anchorx="margin"/>
              </v:rect>
            </w:pict>
          </mc:Fallback>
        </mc:AlternateContent>
      </w:r>
      <w:r w:rsidR="00623475">
        <w:t xml:space="preserve">Grafikon </w:t>
      </w:r>
      <w:r w:rsidR="00A131AD" w:rsidRPr="00155F80">
        <w:t>78: Stalni pušači, Federacija BiH 2012. godina, indeks strukture</w:t>
      </w:r>
      <w:r w:rsidR="007E20B3">
        <w:rPr>
          <w:noProof/>
          <w:lang w:val="bs-Latn-BA" w:eastAsia="bs-Latn-BA"/>
        </w:rPr>
        <w:drawing>
          <wp:inline distT="0" distB="0" distL="0" distR="0" wp14:anchorId="41EB8528" wp14:editId="03601764">
            <wp:extent cx="5648325" cy="1496291"/>
            <wp:effectExtent l="0" t="0" r="9525" b="8890"/>
            <wp:docPr id="87" name="Chart 87"/>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r w:rsidR="00A131AD" w:rsidRPr="00155F80">
        <w:t xml:space="preserve">Izvor: Studija stanja zdravlja stanovništva Federacije BiH 2012. god. </w:t>
      </w:r>
    </w:p>
    <w:p w:rsidR="00A131AD" w:rsidRPr="00155F80" w:rsidRDefault="00A87C61" w:rsidP="000C0138">
      <w:pPr>
        <w:spacing w:before="120" w:after="120" w:line="276" w:lineRule="auto"/>
        <w:rPr>
          <w:rFonts w:ascii="Times New Roman" w:hAnsi="Times New Roman"/>
          <w:noProof/>
          <w:lang w:val="hr-HR" w:eastAsia="de-DE"/>
        </w:rPr>
      </w:pPr>
      <w:r>
        <w:rPr>
          <w:rFonts w:ascii="Times New Roman" w:hAnsi="Times New Roman"/>
          <w:noProof/>
          <w:lang w:val="hr-HR" w:eastAsia="de-DE"/>
        </w:rPr>
        <w:t>Po rezultatima iste Studije,</w:t>
      </w:r>
      <w:r w:rsidR="00A131AD" w:rsidRPr="00155F80">
        <w:rPr>
          <w:rFonts w:ascii="Times New Roman" w:hAnsi="Times New Roman"/>
          <w:noProof/>
          <w:lang w:val="hr-HR" w:eastAsia="de-DE"/>
        </w:rPr>
        <w:t xml:space="preserve"> ispitanici u FBiH navode da dnevno popuše u prosjeku 16,9 cigareta, bez značajnih razlika u odnosu na urbana i ruralna područja. U odnosu na spolnu i starosnu strukturu, muškarci (18,2) navode veću dnevnu konzumaciju cigareta u odnosu na žene (14,8) dok se najveća dnevna konzumacija cigareta bilježi u starosnoj skupini 45-54 (17,8) a najmanja u starosnoj skupini 65 i više god. (12,8).</w:t>
      </w:r>
    </w:p>
    <w:p w:rsidR="00A131AD" w:rsidRPr="00155F80" w:rsidRDefault="00A131AD" w:rsidP="00B37E7E">
      <w:pPr>
        <w:pStyle w:val="refererere"/>
        <w:rPr>
          <w:i/>
        </w:rPr>
      </w:pPr>
      <w:r w:rsidRPr="00155F80">
        <w:t xml:space="preserve">Grafikon  79 : Prosječna dnevna konzumacija cigareta prema spolu i starosnim skupinama, Federacija BiH 2012. godina </w:t>
      </w:r>
      <w:r w:rsidR="00BD3246">
        <w:rPr>
          <w:noProof/>
          <w:lang w:val="bs-Latn-BA" w:eastAsia="bs-Latn-BA"/>
        </w:rPr>
        <w:drawing>
          <wp:inline distT="0" distB="0" distL="0" distR="0" wp14:anchorId="186E1239" wp14:editId="51BDE5B4">
            <wp:extent cx="5676265" cy="2196935"/>
            <wp:effectExtent l="0" t="0" r="635" b="13335"/>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rsidR="00BD3246" w:rsidRDefault="00A131AD" w:rsidP="00250204">
      <w:pPr>
        <w:pStyle w:val="TEKST"/>
        <w:rPr>
          <w:i/>
        </w:rPr>
      </w:pPr>
      <w:r w:rsidRPr="00155F80">
        <w:t xml:space="preserve">Izvor: Studija stanja zdravlja stanovništva Federacije BiH 2012. god. </w:t>
      </w:r>
    </w:p>
    <w:p w:rsidR="00642A63" w:rsidRDefault="00A131AD" w:rsidP="00250204">
      <w:pPr>
        <w:pStyle w:val="TEKST"/>
        <w:rPr>
          <w:lang w:val="bs-Latn-BA"/>
        </w:rPr>
      </w:pPr>
      <w:r w:rsidRPr="00BD3246">
        <w:t>Po rezultatima iste Studije,  izloženost pasivnom pušenju u kući potvrđuje  preko polovine ispitanika u FBiH (54,1%),  ispod polovine ispitanika u FBiH (44,4%) navodi izloženost duhanskom dimu od strane drugih pušača na radnom mjestu, a preko polovine ispitanika u FBiH (52,7%) navodi izloženost duhanskom dimu od strane drugih pušača na javnom mjestu</w:t>
      </w:r>
      <w:r w:rsidRPr="00F83CAD">
        <w:t>.</w:t>
      </w:r>
      <w:r w:rsidR="00D304A7" w:rsidRPr="00F83CAD">
        <w:rPr>
          <w:lang w:val="bs-Latn-BA"/>
        </w:rPr>
        <w:t xml:space="preserve"> (9</w:t>
      </w:r>
      <w:r w:rsidRPr="00F83CAD">
        <w:rPr>
          <w:lang w:val="bs-Latn-BA"/>
        </w:rPr>
        <w:t>)</w:t>
      </w:r>
    </w:p>
    <w:p w:rsidR="00404963" w:rsidRDefault="00404963" w:rsidP="00250204">
      <w:pPr>
        <w:pStyle w:val="TEKST"/>
        <w:rPr>
          <w:i/>
        </w:rPr>
      </w:pPr>
    </w:p>
    <w:p w:rsidR="00662AE4" w:rsidRPr="00155F80" w:rsidRDefault="00A131AD" w:rsidP="00B37E7E">
      <w:pPr>
        <w:pStyle w:val="refererere"/>
        <w:jc w:val="left"/>
      </w:pPr>
      <w:r w:rsidRPr="00155F80">
        <w:lastRenderedPageBreak/>
        <w:t>Grafikon  80: Izloženost pasivnom pušenju,  Federacija BiH 2012. godina, indeks strukture</w:t>
      </w:r>
      <w:r w:rsidR="00662AE4">
        <w:rPr>
          <w:noProof/>
          <w:lang w:val="bs-Latn-BA" w:eastAsia="bs-Latn-BA"/>
        </w:rPr>
        <w:drawing>
          <wp:inline distT="0" distB="0" distL="0" distR="0" wp14:anchorId="7D2211CA" wp14:editId="1F1165B3">
            <wp:extent cx="5772150" cy="2276475"/>
            <wp:effectExtent l="0" t="0" r="0" b="9525"/>
            <wp:docPr id="82" name="Chart 82"/>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rsidR="00A131AD" w:rsidRPr="000D7840" w:rsidRDefault="00A131AD" w:rsidP="00250204">
      <w:pPr>
        <w:pStyle w:val="TEKST"/>
        <w:rPr>
          <w:i/>
        </w:rPr>
      </w:pPr>
      <w:r w:rsidRPr="00155F80">
        <w:t xml:space="preserve">Izvor: Studija stanja zdravlja stanovništva Federacije BiH 2012. god. </w:t>
      </w:r>
    </w:p>
    <w:p w:rsidR="00A131AD" w:rsidRDefault="00A131AD" w:rsidP="00250204">
      <w:pPr>
        <w:pStyle w:val="TEKST"/>
      </w:pPr>
      <w:r w:rsidRPr="00155F80">
        <w:t>U odnosu na zdravlje školske djece i mladeži, prema rezultatima Gl</w:t>
      </w:r>
      <w:r w:rsidR="00AA0D77" w:rsidRPr="00155F80">
        <w:t xml:space="preserve">obalnog istraživanja pušenja kod </w:t>
      </w:r>
      <w:r w:rsidRPr="00155F80">
        <w:t xml:space="preserve"> školske djece (GYTS)  provedenog tijekom 2013. evidentirano  je 12,7% pušača, od toga 15,</w:t>
      </w:r>
      <w:r w:rsidR="00230D7E">
        <w:t xml:space="preserve">5% dječaka i 9,7 % djevojčica. </w:t>
      </w:r>
    </w:p>
    <w:p w:rsidR="00642A63" w:rsidRDefault="00642A63" w:rsidP="00250204">
      <w:pPr>
        <w:pStyle w:val="TEKST"/>
      </w:pPr>
    </w:p>
    <w:p w:rsidR="00642A63" w:rsidRDefault="00642A63" w:rsidP="00250204">
      <w:pPr>
        <w:pStyle w:val="TEKST"/>
      </w:pPr>
    </w:p>
    <w:p w:rsidR="00A131AD" w:rsidRPr="00155F80" w:rsidRDefault="00A131AD" w:rsidP="000C0138">
      <w:pPr>
        <w:spacing w:line="276" w:lineRule="auto"/>
        <w:ind w:right="26"/>
        <w:jc w:val="left"/>
        <w:rPr>
          <w:rFonts w:ascii="Times New Roman" w:hAnsi="Times New Roman"/>
          <w:b/>
          <w:bCs/>
          <w:iCs/>
          <w:lang w:val="bs-Latn-BA"/>
        </w:rPr>
      </w:pPr>
      <w:r w:rsidRPr="00155F80">
        <w:rPr>
          <w:rFonts w:ascii="Times New Roman" w:hAnsi="Times New Roman"/>
          <w:b/>
          <w:bCs/>
          <w:iCs/>
          <w:lang w:val="bs-Latn-BA"/>
        </w:rPr>
        <w:t xml:space="preserve">Pušenje i zdravlje stanovništva u Federaciji BiH </w:t>
      </w:r>
    </w:p>
    <w:p w:rsidR="00A131AD" w:rsidRPr="00155F80" w:rsidRDefault="00A131AD" w:rsidP="00250204">
      <w:pPr>
        <w:pStyle w:val="TEKST"/>
        <w:rPr>
          <w:i/>
        </w:rPr>
      </w:pPr>
      <w:r w:rsidRPr="00155F80">
        <w:t>Visoki p</w:t>
      </w:r>
      <w:r w:rsidR="00C861DA">
        <w:t>rocenti</w:t>
      </w:r>
      <w:r w:rsidRPr="00155F80">
        <w:t xml:space="preserve"> prevalenc</w:t>
      </w:r>
      <w:r w:rsidR="00CE0186">
        <w:t>ij</w:t>
      </w:r>
      <w:r w:rsidRPr="00155F80">
        <w:t xml:space="preserve">e pušenja povezuju se s trendom različitih oboljenja i stanja izravno uzrokovanih štetnim </w:t>
      </w:r>
      <w:r w:rsidR="00CE0186">
        <w:t>učincima</w:t>
      </w:r>
      <w:r w:rsidRPr="00155F80">
        <w:t xml:space="preserve"> po zdravlje ove vodeće bolesti ovisnosti. </w:t>
      </w:r>
    </w:p>
    <w:p w:rsidR="00DE2289" w:rsidRPr="00155F80" w:rsidRDefault="00A131AD" w:rsidP="00250204">
      <w:pPr>
        <w:pStyle w:val="TEKST"/>
        <w:rPr>
          <w:i/>
        </w:rPr>
      </w:pPr>
      <w:r w:rsidRPr="00155F80">
        <w:t>Za  procjenu posljedica pušenja po zdravlje stanovništva od izuzetnog značaja predstavlja monitoring malignih neoplazmi (C00-C97) koje bilježe trend porasta od stope registriranih 52/10.000 stanovnika u 2010.  godin</w:t>
      </w:r>
      <w:r w:rsidR="00CE0186">
        <w:t>i</w:t>
      </w:r>
      <w:r w:rsidRPr="00155F80">
        <w:t xml:space="preserve">, do 62,1/10.000 stanovnika u 2015. godini, registriranih u PZZ. Posebno su značajni i trendovi stopa malignih neoplazmi bronha i pluća, pri čemu se bilježi povećanje stope obolijevanja od maligne neoplazme bronha i pluća (C34) od 4,8/10.000 u 2010. godini do 5,1/10.000 u 2015. godini. </w:t>
      </w:r>
    </w:p>
    <w:p w:rsidR="00A131AD" w:rsidRPr="00155F80" w:rsidRDefault="00A131AD" w:rsidP="00B37E7E">
      <w:pPr>
        <w:pStyle w:val="refererere"/>
      </w:pPr>
      <w:r w:rsidRPr="00155F80">
        <w:t xml:space="preserve">Grafikon  81: Stope obolijevanja od malignih neoplazmi (C00-C97) i maligne neoplazme bronha i pluća (C34) na 10.000 stanovnika u Federaciji BiH, za </w:t>
      </w:r>
      <w:r w:rsidR="00CE0186">
        <w:t>razdoblje</w:t>
      </w:r>
      <w:r w:rsidRPr="00155F80">
        <w:t xml:space="preserve"> 2010. – 2015. godina</w:t>
      </w:r>
    </w:p>
    <w:p w:rsidR="00A131AD" w:rsidRPr="00155F80" w:rsidRDefault="00A131AD" w:rsidP="000C0138">
      <w:pPr>
        <w:spacing w:line="276" w:lineRule="auto"/>
        <w:rPr>
          <w:rFonts w:ascii="Times New Roman" w:hAnsi="Times New Roman"/>
          <w:b/>
          <w:lang w:val="pl-PL"/>
        </w:rPr>
      </w:pPr>
      <w:r w:rsidRPr="00155F80">
        <w:rPr>
          <w:rFonts w:ascii="Times New Roman" w:hAnsi="Times New Roman"/>
          <w:noProof/>
          <w:lang w:val="bs-Latn-BA" w:eastAsia="bs-Latn-BA"/>
        </w:rPr>
        <w:drawing>
          <wp:inline distT="0" distB="0" distL="0" distR="0" wp14:anchorId="79774C7B" wp14:editId="70BDFD52">
            <wp:extent cx="5638800" cy="2333625"/>
            <wp:effectExtent l="0" t="0" r="0" b="9525"/>
            <wp:docPr id="38" name="Chart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rsidR="00A131AD" w:rsidRDefault="00A131AD" w:rsidP="000C0138">
      <w:pPr>
        <w:spacing w:line="276" w:lineRule="auto"/>
        <w:rPr>
          <w:rFonts w:ascii="Times New Roman" w:hAnsi="Times New Roman"/>
          <w:b/>
          <w:lang w:val="pl-PL"/>
        </w:rPr>
      </w:pPr>
    </w:p>
    <w:p w:rsidR="00A131AD" w:rsidRPr="00155F80" w:rsidRDefault="00A131AD" w:rsidP="000C0138">
      <w:pPr>
        <w:spacing w:line="276" w:lineRule="auto"/>
        <w:rPr>
          <w:rFonts w:ascii="Times New Roman" w:hAnsi="Times New Roman"/>
          <w:b/>
          <w:lang w:val="bs-Latn-BA"/>
        </w:rPr>
      </w:pPr>
      <w:r w:rsidRPr="00155F80">
        <w:rPr>
          <w:rFonts w:ascii="Times New Roman" w:hAnsi="Times New Roman"/>
          <w:b/>
          <w:lang w:val="pl-PL"/>
        </w:rPr>
        <w:t>Alkohol</w:t>
      </w:r>
      <w:r w:rsidRPr="00155F80">
        <w:rPr>
          <w:rFonts w:ascii="Times New Roman" w:hAnsi="Times New Roman"/>
          <w:b/>
          <w:lang w:val="bs-Latn-BA"/>
        </w:rPr>
        <w:t xml:space="preserve">, </w:t>
      </w:r>
      <w:r w:rsidRPr="00155F80">
        <w:rPr>
          <w:rFonts w:ascii="Times New Roman" w:hAnsi="Times New Roman"/>
          <w:b/>
          <w:lang w:val="pl-PL"/>
        </w:rPr>
        <w:t>droge</w:t>
      </w:r>
      <w:r w:rsidRPr="00155F80">
        <w:rPr>
          <w:rFonts w:ascii="Times New Roman" w:hAnsi="Times New Roman"/>
          <w:b/>
          <w:lang w:val="bs-Latn-BA"/>
        </w:rPr>
        <w:t xml:space="preserve"> </w:t>
      </w:r>
      <w:r w:rsidRPr="00155F80">
        <w:rPr>
          <w:rFonts w:ascii="Times New Roman" w:hAnsi="Times New Roman"/>
          <w:b/>
          <w:lang w:val="pl-PL"/>
        </w:rPr>
        <w:t>i</w:t>
      </w:r>
      <w:r w:rsidRPr="00155F80">
        <w:rPr>
          <w:rFonts w:ascii="Times New Roman" w:hAnsi="Times New Roman"/>
          <w:b/>
          <w:lang w:val="bs-Latn-BA"/>
        </w:rPr>
        <w:t xml:space="preserve"> </w:t>
      </w:r>
      <w:r w:rsidRPr="00155F80">
        <w:rPr>
          <w:rFonts w:ascii="Times New Roman" w:hAnsi="Times New Roman"/>
          <w:b/>
          <w:lang w:val="pl-PL"/>
        </w:rPr>
        <w:t>psihotropne</w:t>
      </w:r>
      <w:r w:rsidRPr="00155F80">
        <w:rPr>
          <w:rFonts w:ascii="Times New Roman" w:hAnsi="Times New Roman"/>
          <w:b/>
          <w:lang w:val="bs-Latn-BA"/>
        </w:rPr>
        <w:t xml:space="preserve"> </w:t>
      </w:r>
      <w:r w:rsidRPr="00155F80">
        <w:rPr>
          <w:rFonts w:ascii="Times New Roman" w:hAnsi="Times New Roman"/>
          <w:b/>
          <w:lang w:val="pl-PL"/>
        </w:rPr>
        <w:t>supstance</w:t>
      </w:r>
      <w:r w:rsidRPr="00155F80">
        <w:rPr>
          <w:rFonts w:ascii="Times New Roman" w:hAnsi="Times New Roman"/>
          <w:b/>
          <w:lang w:val="bs-Latn-BA"/>
        </w:rPr>
        <w:t xml:space="preserve"> </w:t>
      </w:r>
    </w:p>
    <w:p w:rsidR="00A131AD" w:rsidRPr="00155F80" w:rsidRDefault="00A131AD" w:rsidP="000C0138">
      <w:pPr>
        <w:spacing w:line="276" w:lineRule="auto"/>
        <w:rPr>
          <w:rFonts w:ascii="Times New Roman" w:hAnsi="Times New Roman"/>
          <w:b/>
          <w:lang w:val="bs-Latn-BA"/>
        </w:rPr>
      </w:pPr>
    </w:p>
    <w:p w:rsidR="00A131AD" w:rsidRPr="00155F80" w:rsidRDefault="00A131AD" w:rsidP="000C0138">
      <w:pPr>
        <w:spacing w:line="276" w:lineRule="auto"/>
        <w:rPr>
          <w:rFonts w:ascii="Times New Roman" w:hAnsi="Times New Roman"/>
          <w:b/>
          <w:bCs/>
          <w:lang w:val="bs-Latn-BA"/>
        </w:rPr>
      </w:pPr>
      <w:r w:rsidRPr="00155F80">
        <w:rPr>
          <w:rFonts w:ascii="Times New Roman" w:hAnsi="Times New Roman"/>
          <w:b/>
          <w:lang w:val="bs-Latn-BA"/>
        </w:rPr>
        <w:lastRenderedPageBreak/>
        <w:t xml:space="preserve">Potrošnja alkohola u populacijskim skupinama </w:t>
      </w:r>
    </w:p>
    <w:p w:rsidR="00EC077A" w:rsidRPr="00155F80" w:rsidRDefault="00A131AD" w:rsidP="00250204">
      <w:pPr>
        <w:pStyle w:val="TEKST"/>
      </w:pPr>
      <w:r w:rsidRPr="00155F80">
        <w:t>Prema rezultatima MICS4 istraživanja iz 2011</w:t>
      </w:r>
      <w:r w:rsidR="00EC077A">
        <w:t>. godine</w:t>
      </w:r>
      <w:r w:rsidRPr="00155F80">
        <w:t xml:space="preserve"> potrošnja alkohola predstavlja značajan </w:t>
      </w:r>
      <w:r w:rsidR="00CE0186">
        <w:t>čimbenik</w:t>
      </w:r>
      <w:r w:rsidRPr="00155F80">
        <w:t xml:space="preserve"> rizika po zdravlje u svim populacijskim skupinama stanovništva Federacije BiH. U odnosu na spolnu strukturu, ukupno 45,8% muškaraca i 12,4% žena navodi da su konzumirali najmanje jedno alkoholno piće tijekom jednog ili više dana tijekom prethodnoga mjeseca. Po rezultatima ovog istraživanja  najveća konzumacija alkohola bilježi kod starosnih skupina 20-24 god. (34,9%) i 25-29 god. (35%), te 40-49 god. (30,4%).</w:t>
      </w:r>
    </w:p>
    <w:p w:rsidR="00A131AD" w:rsidRPr="00155F80" w:rsidRDefault="00A131AD" w:rsidP="00B37E7E">
      <w:pPr>
        <w:pStyle w:val="refererere"/>
        <w:jc w:val="left"/>
      </w:pPr>
      <w:r w:rsidRPr="00155F80">
        <w:t>Grafikon 82: Konzumacija jednog ili više alkoholnih pića tijekom prošlog mjeseca, p</w:t>
      </w:r>
      <w:r w:rsidR="00B37E7E">
        <w:t xml:space="preserve">regled po starosnoj strukturi </w:t>
      </w:r>
      <w:r w:rsidRPr="00155F80">
        <w:t>Federacija BiH 2011. godina</w:t>
      </w:r>
      <w:r w:rsidRPr="00155F80">
        <w:rPr>
          <w:noProof/>
          <w:lang w:val="bs-Latn-BA" w:eastAsia="bs-Latn-BA"/>
        </w:rPr>
        <w:drawing>
          <wp:inline distT="0" distB="0" distL="0" distR="0" wp14:anchorId="43AC2FB2" wp14:editId="3FAE91B6">
            <wp:extent cx="5581650" cy="1752600"/>
            <wp:effectExtent l="0" t="0" r="0" b="0"/>
            <wp:docPr id="39" name="Chart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rsidR="00A131AD" w:rsidRPr="00DE2289" w:rsidRDefault="00A131AD" w:rsidP="000C0138">
      <w:pPr>
        <w:spacing w:line="276" w:lineRule="auto"/>
        <w:rPr>
          <w:rFonts w:ascii="Times New Roman" w:hAnsi="Times New Roman"/>
          <w:sz w:val="20"/>
          <w:szCs w:val="20"/>
          <w:lang w:val="bs-Latn-BA"/>
        </w:rPr>
      </w:pPr>
      <w:r w:rsidRPr="00DE2289">
        <w:rPr>
          <w:rFonts w:ascii="Times New Roman" w:hAnsi="Times New Roman"/>
          <w:sz w:val="20"/>
          <w:szCs w:val="20"/>
        </w:rPr>
        <w:t>Izvor</w:t>
      </w:r>
      <w:r w:rsidRPr="00DE2289">
        <w:rPr>
          <w:rFonts w:ascii="Times New Roman" w:hAnsi="Times New Roman"/>
          <w:sz w:val="20"/>
          <w:szCs w:val="20"/>
          <w:lang w:val="bs-Latn-BA"/>
        </w:rPr>
        <w:t xml:space="preserve">: </w:t>
      </w:r>
      <w:r w:rsidRPr="00DE2289">
        <w:rPr>
          <w:rFonts w:ascii="Times New Roman" w:hAnsi="Times New Roman"/>
          <w:sz w:val="20"/>
          <w:szCs w:val="20"/>
        </w:rPr>
        <w:t>Istra</w:t>
      </w:r>
      <w:r w:rsidRPr="00DE2289">
        <w:rPr>
          <w:rFonts w:ascii="Times New Roman" w:hAnsi="Times New Roman"/>
          <w:sz w:val="20"/>
          <w:szCs w:val="20"/>
          <w:lang w:val="bs-Latn-BA"/>
        </w:rPr>
        <w:t>ž</w:t>
      </w:r>
      <w:r w:rsidRPr="00DE2289">
        <w:rPr>
          <w:rFonts w:ascii="Times New Roman" w:hAnsi="Times New Roman"/>
          <w:sz w:val="20"/>
          <w:szCs w:val="20"/>
        </w:rPr>
        <w:t>ivanje</w:t>
      </w:r>
      <w:r w:rsidRPr="00DE2289">
        <w:rPr>
          <w:rFonts w:ascii="Times New Roman" w:hAnsi="Times New Roman"/>
          <w:sz w:val="20"/>
          <w:szCs w:val="20"/>
          <w:lang w:val="bs-Latn-BA"/>
        </w:rPr>
        <w:t xml:space="preserve"> </w:t>
      </w:r>
      <w:r w:rsidRPr="00DE2289">
        <w:rPr>
          <w:rFonts w:ascii="Times New Roman" w:hAnsi="Times New Roman"/>
          <w:sz w:val="20"/>
          <w:szCs w:val="20"/>
        </w:rPr>
        <w:t>vi</w:t>
      </w:r>
      <w:r w:rsidRPr="00DE2289">
        <w:rPr>
          <w:rFonts w:ascii="Times New Roman" w:hAnsi="Times New Roman"/>
          <w:sz w:val="20"/>
          <w:szCs w:val="20"/>
          <w:lang w:val="bs-Latn-BA"/>
        </w:rPr>
        <w:t>š</w:t>
      </w:r>
      <w:r w:rsidRPr="00DE2289">
        <w:rPr>
          <w:rFonts w:ascii="Times New Roman" w:hAnsi="Times New Roman"/>
          <w:sz w:val="20"/>
          <w:szCs w:val="20"/>
        </w:rPr>
        <w:t>estrukih</w:t>
      </w:r>
      <w:r w:rsidRPr="00DE2289">
        <w:rPr>
          <w:rFonts w:ascii="Times New Roman" w:hAnsi="Times New Roman"/>
          <w:sz w:val="20"/>
          <w:szCs w:val="20"/>
          <w:lang w:val="bs-Latn-BA"/>
        </w:rPr>
        <w:t xml:space="preserve"> </w:t>
      </w:r>
      <w:r w:rsidRPr="00DE2289">
        <w:rPr>
          <w:rFonts w:ascii="Times New Roman" w:hAnsi="Times New Roman"/>
          <w:sz w:val="20"/>
          <w:szCs w:val="20"/>
        </w:rPr>
        <w:t>pokazatelja</w:t>
      </w:r>
      <w:r w:rsidRPr="00DE2289">
        <w:rPr>
          <w:rFonts w:ascii="Times New Roman" w:hAnsi="Times New Roman"/>
          <w:sz w:val="20"/>
          <w:szCs w:val="20"/>
          <w:lang w:val="bs-Latn-BA"/>
        </w:rPr>
        <w:t xml:space="preserve"> </w:t>
      </w:r>
      <w:r w:rsidRPr="00DE2289">
        <w:rPr>
          <w:rFonts w:ascii="Times New Roman" w:hAnsi="Times New Roman"/>
          <w:sz w:val="20"/>
          <w:szCs w:val="20"/>
        </w:rPr>
        <w:t>u</w:t>
      </w:r>
      <w:r w:rsidRPr="00DE2289">
        <w:rPr>
          <w:rFonts w:ascii="Times New Roman" w:hAnsi="Times New Roman"/>
          <w:sz w:val="20"/>
          <w:szCs w:val="20"/>
          <w:lang w:val="bs-Latn-BA"/>
        </w:rPr>
        <w:t xml:space="preserve"> </w:t>
      </w:r>
      <w:r w:rsidRPr="00DE2289">
        <w:rPr>
          <w:rFonts w:ascii="Times New Roman" w:hAnsi="Times New Roman"/>
          <w:sz w:val="20"/>
          <w:szCs w:val="20"/>
        </w:rPr>
        <w:t>Federaciji</w:t>
      </w:r>
      <w:r w:rsidRPr="00DE2289">
        <w:rPr>
          <w:rFonts w:ascii="Times New Roman" w:hAnsi="Times New Roman"/>
          <w:sz w:val="20"/>
          <w:szCs w:val="20"/>
          <w:lang w:val="bs-Latn-BA"/>
        </w:rPr>
        <w:t xml:space="preserve"> </w:t>
      </w:r>
      <w:r w:rsidRPr="00DE2289">
        <w:rPr>
          <w:rFonts w:ascii="Times New Roman" w:hAnsi="Times New Roman"/>
          <w:sz w:val="20"/>
          <w:szCs w:val="20"/>
        </w:rPr>
        <w:t>BiH</w:t>
      </w:r>
      <w:r w:rsidRPr="00DE2289">
        <w:rPr>
          <w:rFonts w:ascii="Times New Roman" w:hAnsi="Times New Roman"/>
          <w:sz w:val="20"/>
          <w:szCs w:val="20"/>
          <w:lang w:val="bs-Latn-BA"/>
        </w:rPr>
        <w:t xml:space="preserve">, </w:t>
      </w:r>
      <w:r w:rsidRPr="00DE2289">
        <w:rPr>
          <w:rFonts w:ascii="Times New Roman" w:hAnsi="Times New Roman"/>
          <w:sz w:val="20"/>
          <w:szCs w:val="20"/>
        </w:rPr>
        <w:t>MIC</w:t>
      </w:r>
      <w:r w:rsidRPr="00DE2289">
        <w:rPr>
          <w:rFonts w:ascii="Times New Roman" w:hAnsi="Times New Roman"/>
          <w:sz w:val="20"/>
          <w:szCs w:val="20"/>
          <w:lang w:val="bs-Latn-BA"/>
        </w:rPr>
        <w:t xml:space="preserve">4, 2011.-2012. </w:t>
      </w:r>
      <w:r w:rsidRPr="00DE2289">
        <w:rPr>
          <w:rFonts w:ascii="Times New Roman" w:hAnsi="Times New Roman"/>
          <w:sz w:val="20"/>
          <w:szCs w:val="20"/>
        </w:rPr>
        <w:t>god</w:t>
      </w:r>
      <w:r w:rsidRPr="00DE2289">
        <w:rPr>
          <w:rFonts w:ascii="Times New Roman" w:hAnsi="Times New Roman"/>
          <w:sz w:val="20"/>
          <w:szCs w:val="20"/>
          <w:lang w:val="bs-Latn-BA"/>
        </w:rPr>
        <w:t xml:space="preserve">. </w:t>
      </w:r>
    </w:p>
    <w:p w:rsidR="00A131AD" w:rsidRPr="00155F80" w:rsidRDefault="00A131AD" w:rsidP="000C0138">
      <w:pPr>
        <w:spacing w:line="276" w:lineRule="auto"/>
        <w:rPr>
          <w:rFonts w:ascii="Times New Roman" w:hAnsi="Times New Roman"/>
          <w:noProof/>
          <w:lang w:val="hr-HR" w:eastAsia="de-DE"/>
        </w:rPr>
      </w:pPr>
    </w:p>
    <w:p w:rsidR="00A131AD" w:rsidRDefault="00A131AD" w:rsidP="000C0138">
      <w:pPr>
        <w:spacing w:line="276" w:lineRule="auto"/>
        <w:rPr>
          <w:rFonts w:ascii="Times New Roman" w:hAnsi="Times New Roman"/>
          <w:noProof/>
          <w:lang w:val="hr-HR" w:eastAsia="de-DE"/>
        </w:rPr>
      </w:pPr>
      <w:r w:rsidRPr="00155F80">
        <w:rPr>
          <w:rFonts w:ascii="Times New Roman" w:hAnsi="Times New Roman"/>
          <w:noProof/>
          <w:lang w:val="hr-HR" w:eastAsia="de-DE"/>
        </w:rPr>
        <w:t>I po rezultatima Studije o stanju zdravlja u Federaciji BiH iz 2012</w:t>
      </w:r>
      <w:r w:rsidR="00EC077A">
        <w:rPr>
          <w:rFonts w:ascii="Times New Roman" w:hAnsi="Times New Roman"/>
          <w:noProof/>
          <w:lang w:val="hr-HR" w:eastAsia="de-DE"/>
        </w:rPr>
        <w:t>. godine</w:t>
      </w:r>
      <w:r w:rsidRPr="00155F80">
        <w:rPr>
          <w:rFonts w:ascii="Times New Roman" w:hAnsi="Times New Roman"/>
          <w:noProof/>
          <w:lang w:val="hr-HR" w:eastAsia="de-DE"/>
        </w:rPr>
        <w:t xml:space="preserve"> konzumacija alkohola predstavlja </w:t>
      </w:r>
      <w:r w:rsidR="00CE0186">
        <w:rPr>
          <w:rFonts w:ascii="Times New Roman" w:hAnsi="Times New Roman"/>
          <w:noProof/>
          <w:lang w:val="hr-HR" w:eastAsia="de-DE"/>
        </w:rPr>
        <w:t>važan</w:t>
      </w:r>
      <w:r w:rsidRPr="00155F80">
        <w:rPr>
          <w:rFonts w:ascii="Times New Roman" w:hAnsi="Times New Roman"/>
          <w:noProof/>
          <w:lang w:val="hr-HR" w:eastAsia="de-DE"/>
        </w:rPr>
        <w:t xml:space="preserve"> javnozdravstveni problem odraslog stanovništva u Federaciji BiH. Preko četvrtine ispitanika u FBiH (28,8%) potvrđuje da su konzumirali neko od alkoholnih pića t</w:t>
      </w:r>
      <w:r w:rsidR="00CE0186">
        <w:rPr>
          <w:rFonts w:ascii="Times New Roman" w:hAnsi="Times New Roman"/>
          <w:noProof/>
          <w:lang w:val="hr-HR" w:eastAsia="de-DE"/>
        </w:rPr>
        <w:t>ije</w:t>
      </w:r>
      <w:r w:rsidRPr="00155F80">
        <w:rPr>
          <w:rFonts w:ascii="Times New Roman" w:hAnsi="Times New Roman"/>
          <w:noProof/>
          <w:lang w:val="hr-HR" w:eastAsia="de-DE"/>
        </w:rPr>
        <w:t>kom proteklih 12 mjeseci (pivo, vino, rakiju), od čega 29,7% u urbanim i 28,1% u ruralnim područjima.T</w:t>
      </w:r>
      <w:r w:rsidR="00CE0186">
        <w:rPr>
          <w:rFonts w:ascii="Times New Roman" w:hAnsi="Times New Roman"/>
          <w:noProof/>
          <w:lang w:val="hr-HR" w:eastAsia="de-DE"/>
        </w:rPr>
        <w:t>ije</w:t>
      </w:r>
      <w:r w:rsidRPr="00155F80">
        <w:rPr>
          <w:rFonts w:ascii="Times New Roman" w:hAnsi="Times New Roman"/>
          <w:noProof/>
          <w:lang w:val="hr-HR" w:eastAsia="de-DE"/>
        </w:rPr>
        <w:t xml:space="preserve">kom prethodnih 12 mjeseci alkohol je konzumiralo skoro polovina muškaraca (46,1%) pri čemu najviše (54,3%) muškarci starosti 25-34 godine a najmanje (30,0%) starosti 65 i više (p=0,000).Konzumaciju alkohola navodi 11,0% žena, pri čemu najviše (20,5%) žena starosti 18-24 godine a najmanje (5,0%) žena starosti 55-64 godina. Konzumaciju bilo koje vrste alkohola potvrđuje najmanje ispitanika bez škole (9,4%) a najviše ispitanika sa visokim obrazovanjem (39,5%).  </w:t>
      </w:r>
    </w:p>
    <w:p w:rsidR="00B37E7E" w:rsidRPr="00155F80" w:rsidRDefault="00B37E7E" w:rsidP="000C0138">
      <w:pPr>
        <w:spacing w:line="276" w:lineRule="auto"/>
        <w:rPr>
          <w:rFonts w:ascii="Times New Roman" w:hAnsi="Times New Roman"/>
          <w:noProof/>
          <w:lang w:val="hr-HR" w:eastAsia="de-DE"/>
        </w:rPr>
      </w:pPr>
    </w:p>
    <w:p w:rsidR="00A131AD" w:rsidRPr="003773EC" w:rsidRDefault="00A131AD" w:rsidP="00DE2289">
      <w:pPr>
        <w:pStyle w:val="refererere"/>
        <w:spacing w:after="240"/>
        <w:jc w:val="left"/>
      </w:pPr>
      <w:r w:rsidRPr="00155F80">
        <w:t>Grafikon  83: Konzumacija jednog ili više alkoholnih pića tijekom proteklih 12 mjeseci, prema spolu i starosti, Federacija BiH 2012.godina, in</w:t>
      </w:r>
      <w:r w:rsidR="00CE0186">
        <w:t>d</w:t>
      </w:r>
      <w:r w:rsidRPr="00155F80">
        <w:t>eks strukture</w:t>
      </w:r>
      <w:r w:rsidR="00662AE4">
        <w:rPr>
          <w:noProof/>
          <w:lang w:val="bs-Latn-BA" w:eastAsia="bs-Latn-BA"/>
        </w:rPr>
        <w:drawing>
          <wp:inline distT="0" distB="0" distL="0" distR="0" wp14:anchorId="2718C8FD" wp14:editId="7CE34B87">
            <wp:extent cx="5676405" cy="1659453"/>
            <wp:effectExtent l="0" t="0" r="635" b="17145"/>
            <wp:docPr id="86" name="Chart 86"/>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r w:rsidRPr="00155F80">
        <w:t xml:space="preserve">Izvor: Studija stanja zdravlja stanovništva Federacije BiH 2012. god. </w:t>
      </w:r>
    </w:p>
    <w:p w:rsidR="00A131AD" w:rsidRPr="00155F80" w:rsidRDefault="00A131AD" w:rsidP="000C0138">
      <w:pPr>
        <w:spacing w:line="276" w:lineRule="auto"/>
        <w:rPr>
          <w:rFonts w:ascii="Times New Roman" w:hAnsi="Times New Roman"/>
          <w:noProof/>
          <w:lang w:val="hr-HR" w:eastAsia="de-DE"/>
        </w:rPr>
      </w:pPr>
      <w:r w:rsidRPr="00155F80">
        <w:rPr>
          <w:rFonts w:ascii="Times New Roman" w:hAnsi="Times New Roman"/>
          <w:noProof/>
          <w:lang w:val="hr-HR" w:eastAsia="de-DE"/>
        </w:rPr>
        <w:t xml:space="preserve">Po rezultatima istog istraživanja, u odnosu na učestalost konzumacije bilo kojih alkoholnih pića u proteklih 12 mjeseci, najveći procenat ispitanika (29,0%) navodi konzumaciju alkohola nekoliko puta mjesečno. Konzumaciju alkohola nekoliko puta </w:t>
      </w:r>
      <w:r w:rsidR="00C861DA">
        <w:rPr>
          <w:rFonts w:ascii="Times New Roman" w:hAnsi="Times New Roman"/>
          <w:noProof/>
          <w:lang w:val="hr-HR" w:eastAsia="de-DE"/>
        </w:rPr>
        <w:t>tjedno</w:t>
      </w:r>
      <w:r w:rsidRPr="00155F80">
        <w:rPr>
          <w:rFonts w:ascii="Times New Roman" w:hAnsi="Times New Roman"/>
          <w:noProof/>
          <w:lang w:val="hr-HR" w:eastAsia="de-DE"/>
        </w:rPr>
        <w:t xml:space="preserve"> navodi 23,5% ispitanika, konzumaciju alkohola </w:t>
      </w:r>
      <w:r w:rsidRPr="00155F80">
        <w:rPr>
          <w:rFonts w:ascii="Times New Roman" w:hAnsi="Times New Roman"/>
          <w:noProof/>
          <w:lang w:val="hr-HR" w:eastAsia="de-DE"/>
        </w:rPr>
        <w:lastRenderedPageBreak/>
        <w:t>nekoliko puta godišnje potvrđuje 21,5% ispitanika, dok svakodnevnu konzumacij</w:t>
      </w:r>
      <w:r w:rsidR="00CE0186">
        <w:rPr>
          <w:rFonts w:ascii="Times New Roman" w:hAnsi="Times New Roman"/>
          <w:noProof/>
          <w:lang w:val="hr-HR" w:eastAsia="de-DE"/>
        </w:rPr>
        <w:t>u</w:t>
      </w:r>
      <w:r w:rsidRPr="00155F80">
        <w:rPr>
          <w:rFonts w:ascii="Times New Roman" w:hAnsi="Times New Roman"/>
          <w:noProof/>
          <w:lang w:val="hr-HR" w:eastAsia="de-DE"/>
        </w:rPr>
        <w:t xml:space="preserve"> alkohola  navodi 11,6% ispitanika. </w:t>
      </w:r>
    </w:p>
    <w:p w:rsidR="00301140" w:rsidRDefault="00301140" w:rsidP="000C0138">
      <w:pPr>
        <w:spacing w:line="276" w:lineRule="auto"/>
        <w:rPr>
          <w:rFonts w:ascii="Times New Roman" w:hAnsi="Times New Roman"/>
          <w:b/>
          <w:lang w:val="bs-Latn-BA"/>
        </w:rPr>
      </w:pPr>
    </w:p>
    <w:p w:rsidR="00A131AD" w:rsidRPr="00155F80" w:rsidRDefault="00A131AD" w:rsidP="000C0138">
      <w:pPr>
        <w:spacing w:line="276" w:lineRule="auto"/>
        <w:rPr>
          <w:rFonts w:ascii="Times New Roman" w:hAnsi="Times New Roman"/>
          <w:b/>
          <w:bCs/>
          <w:lang w:val="bs-Latn-BA"/>
        </w:rPr>
      </w:pPr>
      <w:r w:rsidRPr="00155F80">
        <w:rPr>
          <w:rFonts w:ascii="Times New Roman" w:hAnsi="Times New Roman"/>
          <w:b/>
          <w:lang w:val="bs-Latn-BA"/>
        </w:rPr>
        <w:t xml:space="preserve">Utjecaj alkohola, droga i psihotropnih supstanci na zdravlje stanovništva Federacije BiH </w:t>
      </w:r>
    </w:p>
    <w:p w:rsidR="00A131AD" w:rsidRPr="00155F80" w:rsidRDefault="00A131AD" w:rsidP="00250204">
      <w:pPr>
        <w:pStyle w:val="TEKST"/>
        <w:rPr>
          <w:i/>
        </w:rPr>
      </w:pPr>
      <w:r w:rsidRPr="00155F80">
        <w:t>Prema poda</w:t>
      </w:r>
      <w:r w:rsidR="00CE0186">
        <w:t>t</w:t>
      </w:r>
      <w:r w:rsidRPr="00155F80">
        <w:t xml:space="preserve">cima ambulantno-polikliničkih službi, bilježi se trend opadanja obolijevanja u svim skupinama oboljenja povezanih s uporabom alkohola, droga i psihotropnih supstanci. Tako u skupini mentalnih poremećaja i poremećaja ponašanja uzrokovanih alkoholom (F10) bilježi se trend opadanja  od 2.518 broja oboljelih (stopa od 10,8/10.000 st.) u 2010. godini, do 2.277 oboljelih (stopa od 9,8/10.000 st.) u 2015. godini. </w:t>
      </w:r>
    </w:p>
    <w:p w:rsidR="00A131AD" w:rsidRPr="00155F80" w:rsidRDefault="00A131AD" w:rsidP="00250204">
      <w:pPr>
        <w:pStyle w:val="TEKST"/>
        <w:rPr>
          <w:i/>
        </w:rPr>
      </w:pPr>
      <w:r w:rsidRPr="00155F80">
        <w:t>Obolijevanje od mentalnih poremećaja i poremećaja ponašanja uzrokovanih upor</w:t>
      </w:r>
      <w:r w:rsidR="00CE0186">
        <w:t>a</w:t>
      </w:r>
      <w:r w:rsidRPr="00155F80">
        <w:t xml:space="preserve">bom psihoaktivnih supstanci (F11-F19) bilježi trend porasta, s brojem oboljelih od 1.398 (stopa od 6,0/10.000 st.) u 2010. godini, do 1.768 oboljelih (stopa od 7,6/10.000 st.) u 2015. godini. </w:t>
      </w:r>
    </w:p>
    <w:p w:rsidR="00A131AD" w:rsidRDefault="00A131AD" w:rsidP="00250204">
      <w:pPr>
        <w:pStyle w:val="TEKST"/>
      </w:pPr>
      <w:r w:rsidRPr="00155F80">
        <w:t>Bilježi se opadanje broja alkoholnih oboljenja jetre (K70) od 958 oboljelih (stopa 4,1/10.000 st.) u 2010</w:t>
      </w:r>
      <w:r w:rsidR="00EC077A">
        <w:t>.</w:t>
      </w:r>
      <w:r w:rsidRPr="00155F80">
        <w:t xml:space="preserve"> godini, do 601 oboljelih (stopa od 2,6/10.000 st.) u 2015. godini. </w:t>
      </w:r>
    </w:p>
    <w:p w:rsidR="00DE2289" w:rsidRDefault="00DE2289" w:rsidP="00250204">
      <w:pPr>
        <w:pStyle w:val="TEKST"/>
      </w:pPr>
    </w:p>
    <w:p w:rsidR="00DE2289" w:rsidRDefault="00DE2289" w:rsidP="00250204">
      <w:pPr>
        <w:pStyle w:val="TEKST"/>
      </w:pPr>
    </w:p>
    <w:p w:rsidR="00DE2289" w:rsidRDefault="00DE2289" w:rsidP="00250204">
      <w:pPr>
        <w:pStyle w:val="TEKST"/>
      </w:pPr>
    </w:p>
    <w:p w:rsidR="0012669F" w:rsidRPr="00155F80" w:rsidRDefault="0012669F" w:rsidP="00250204">
      <w:pPr>
        <w:pStyle w:val="TEKST"/>
      </w:pPr>
    </w:p>
    <w:p w:rsidR="00A131AD" w:rsidRPr="00155F80" w:rsidRDefault="00A131AD" w:rsidP="000C0138">
      <w:pPr>
        <w:spacing w:line="276" w:lineRule="auto"/>
        <w:rPr>
          <w:rFonts w:ascii="Times New Roman" w:hAnsi="Times New Roman"/>
        </w:rPr>
      </w:pPr>
    </w:p>
    <w:p w:rsidR="00A131AD" w:rsidRPr="00155F80" w:rsidRDefault="00EC077A" w:rsidP="00B37E7E">
      <w:pPr>
        <w:pStyle w:val="refererere"/>
      </w:pPr>
      <w:bookmarkStart w:id="321" w:name="_Toc173135557"/>
      <w:r>
        <w:t>Tabl</w:t>
      </w:r>
      <w:r w:rsidR="00CE0186">
        <w:t>ic</w:t>
      </w:r>
      <w:r>
        <w:t>a 16</w:t>
      </w:r>
      <w:r w:rsidR="00A131AD" w:rsidRPr="00155F80">
        <w:t xml:space="preserve">: Mentalni poremećaji i poremećaji ponašanja uzrokovani alkoholom i uporabom psihoaktivnih supstanci i alkoholna oboljenja jetre u Federaciji BiH, za </w:t>
      </w:r>
      <w:r w:rsidR="00CE0186">
        <w:t xml:space="preserve">razdoblje </w:t>
      </w:r>
      <w:r w:rsidR="00A131AD" w:rsidRPr="00155F80">
        <w:t>2010.- 2015.</w:t>
      </w:r>
      <w:bookmarkEnd w:id="321"/>
      <w:r w:rsidR="00A131AD" w:rsidRPr="00155F80">
        <w:t xml:space="preserve"> godina</w:t>
      </w:r>
    </w:p>
    <w:tbl>
      <w:tblPr>
        <w:tblW w:w="94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94"/>
        <w:gridCol w:w="647"/>
        <w:gridCol w:w="649"/>
        <w:gridCol w:w="648"/>
        <w:gridCol w:w="649"/>
        <w:gridCol w:w="649"/>
        <w:gridCol w:w="650"/>
        <w:gridCol w:w="648"/>
        <w:gridCol w:w="650"/>
        <w:gridCol w:w="649"/>
        <w:gridCol w:w="649"/>
        <w:gridCol w:w="649"/>
        <w:gridCol w:w="649"/>
        <w:gridCol w:w="6"/>
      </w:tblGrid>
      <w:tr w:rsidR="00A131AD" w:rsidRPr="00A87C61" w:rsidTr="00A87C61">
        <w:trPr>
          <w:trHeight w:val="423"/>
        </w:trPr>
        <w:tc>
          <w:tcPr>
            <w:tcW w:w="1696" w:type="dxa"/>
            <w:vMerge w:val="restart"/>
            <w:tcBorders>
              <w:top w:val="single" w:sz="4" w:space="0" w:color="auto"/>
              <w:left w:val="single" w:sz="4" w:space="0" w:color="auto"/>
              <w:bottom w:val="single" w:sz="4" w:space="0" w:color="auto"/>
              <w:right w:val="single" w:sz="4" w:space="0" w:color="auto"/>
            </w:tcBorders>
            <w:shd w:val="clear" w:color="auto" w:fill="D9D9D9"/>
            <w:textDirection w:val="btLr"/>
          </w:tcPr>
          <w:p w:rsidR="00A131AD" w:rsidRPr="00A87C61" w:rsidRDefault="00A131AD" w:rsidP="000C0138">
            <w:pPr>
              <w:pStyle w:val="NoSpacing"/>
              <w:spacing w:line="276" w:lineRule="auto"/>
              <w:ind w:left="113" w:right="113"/>
              <w:rPr>
                <w:sz w:val="16"/>
                <w:szCs w:val="16"/>
                <w:lang w:val="hr-HR"/>
              </w:rPr>
            </w:pPr>
          </w:p>
          <w:p w:rsidR="00A131AD" w:rsidRPr="00A87C61" w:rsidRDefault="00A131AD" w:rsidP="000C0138">
            <w:pPr>
              <w:pStyle w:val="NoSpacing"/>
              <w:spacing w:line="276" w:lineRule="auto"/>
              <w:ind w:left="113" w:right="113"/>
              <w:rPr>
                <w:sz w:val="16"/>
                <w:szCs w:val="16"/>
              </w:rPr>
            </w:pPr>
            <w:r w:rsidRPr="00A87C61">
              <w:rPr>
                <w:sz w:val="16"/>
                <w:szCs w:val="16"/>
              </w:rPr>
              <w:t>Oboljenja</w:t>
            </w:r>
          </w:p>
        </w:tc>
        <w:tc>
          <w:tcPr>
            <w:tcW w:w="1298" w:type="dxa"/>
            <w:gridSpan w:val="2"/>
            <w:tcBorders>
              <w:top w:val="single" w:sz="4" w:space="0" w:color="auto"/>
              <w:left w:val="single" w:sz="4" w:space="0" w:color="auto"/>
              <w:bottom w:val="single" w:sz="4" w:space="0" w:color="auto"/>
              <w:right w:val="single" w:sz="4" w:space="0" w:color="auto"/>
            </w:tcBorders>
            <w:shd w:val="clear" w:color="auto" w:fill="D9D9D9"/>
            <w:vAlign w:val="center"/>
          </w:tcPr>
          <w:p w:rsidR="00A131AD" w:rsidRPr="00A87C61" w:rsidRDefault="00A131AD" w:rsidP="000C0138">
            <w:pPr>
              <w:pStyle w:val="NoSpacing"/>
              <w:spacing w:line="276" w:lineRule="auto"/>
              <w:jc w:val="center"/>
              <w:rPr>
                <w:sz w:val="18"/>
                <w:szCs w:val="18"/>
              </w:rPr>
            </w:pPr>
            <w:r w:rsidRPr="00A87C61">
              <w:rPr>
                <w:sz w:val="18"/>
                <w:szCs w:val="18"/>
              </w:rPr>
              <w:t>2010.</w:t>
            </w:r>
          </w:p>
        </w:tc>
        <w:tc>
          <w:tcPr>
            <w:tcW w:w="1298" w:type="dxa"/>
            <w:gridSpan w:val="2"/>
            <w:tcBorders>
              <w:top w:val="single" w:sz="4" w:space="0" w:color="auto"/>
              <w:left w:val="single" w:sz="4" w:space="0" w:color="auto"/>
              <w:bottom w:val="single" w:sz="4" w:space="0" w:color="auto"/>
              <w:right w:val="single" w:sz="4" w:space="0" w:color="auto"/>
            </w:tcBorders>
            <w:shd w:val="clear" w:color="auto" w:fill="D9D9D9"/>
            <w:vAlign w:val="center"/>
          </w:tcPr>
          <w:p w:rsidR="00A131AD" w:rsidRPr="00A87C61" w:rsidRDefault="00A131AD" w:rsidP="000C0138">
            <w:pPr>
              <w:pStyle w:val="NoSpacing"/>
              <w:spacing w:line="276" w:lineRule="auto"/>
              <w:jc w:val="center"/>
              <w:rPr>
                <w:sz w:val="18"/>
                <w:szCs w:val="18"/>
              </w:rPr>
            </w:pPr>
            <w:r w:rsidRPr="00A87C61">
              <w:rPr>
                <w:sz w:val="18"/>
                <w:szCs w:val="18"/>
              </w:rPr>
              <w:t>2011.</w:t>
            </w:r>
          </w:p>
        </w:tc>
        <w:tc>
          <w:tcPr>
            <w:tcW w:w="1299" w:type="dxa"/>
            <w:gridSpan w:val="2"/>
            <w:tcBorders>
              <w:top w:val="single" w:sz="4" w:space="0" w:color="auto"/>
              <w:left w:val="single" w:sz="4" w:space="0" w:color="auto"/>
              <w:bottom w:val="single" w:sz="4" w:space="0" w:color="auto"/>
              <w:right w:val="single" w:sz="4" w:space="0" w:color="auto"/>
            </w:tcBorders>
            <w:shd w:val="clear" w:color="auto" w:fill="D9D9D9"/>
            <w:vAlign w:val="center"/>
          </w:tcPr>
          <w:p w:rsidR="00A131AD" w:rsidRPr="00A87C61" w:rsidRDefault="00A131AD" w:rsidP="000C0138">
            <w:pPr>
              <w:pStyle w:val="NoSpacing"/>
              <w:spacing w:line="276" w:lineRule="auto"/>
              <w:jc w:val="center"/>
              <w:rPr>
                <w:sz w:val="18"/>
                <w:szCs w:val="18"/>
              </w:rPr>
            </w:pPr>
            <w:r w:rsidRPr="00A87C61">
              <w:rPr>
                <w:sz w:val="18"/>
                <w:szCs w:val="18"/>
              </w:rPr>
              <w:t>2012.</w:t>
            </w:r>
          </w:p>
        </w:tc>
        <w:tc>
          <w:tcPr>
            <w:tcW w:w="1298" w:type="dxa"/>
            <w:gridSpan w:val="2"/>
            <w:tcBorders>
              <w:top w:val="single" w:sz="4" w:space="0" w:color="auto"/>
              <w:left w:val="single" w:sz="4" w:space="0" w:color="auto"/>
              <w:bottom w:val="single" w:sz="4" w:space="0" w:color="auto"/>
              <w:right w:val="single" w:sz="4" w:space="0" w:color="auto"/>
            </w:tcBorders>
            <w:shd w:val="clear" w:color="auto" w:fill="D9D9D9"/>
            <w:vAlign w:val="center"/>
          </w:tcPr>
          <w:p w:rsidR="00A131AD" w:rsidRPr="00A87C61" w:rsidRDefault="00A131AD" w:rsidP="000C0138">
            <w:pPr>
              <w:pStyle w:val="NoSpacing"/>
              <w:spacing w:line="276" w:lineRule="auto"/>
              <w:jc w:val="center"/>
              <w:rPr>
                <w:sz w:val="18"/>
                <w:szCs w:val="18"/>
              </w:rPr>
            </w:pPr>
            <w:r w:rsidRPr="00A87C61">
              <w:rPr>
                <w:sz w:val="18"/>
                <w:szCs w:val="18"/>
              </w:rPr>
              <w:t>2013.</w:t>
            </w:r>
          </w:p>
        </w:tc>
        <w:tc>
          <w:tcPr>
            <w:tcW w:w="1298" w:type="dxa"/>
            <w:gridSpan w:val="2"/>
            <w:tcBorders>
              <w:top w:val="single" w:sz="4" w:space="0" w:color="auto"/>
              <w:left w:val="single" w:sz="4" w:space="0" w:color="auto"/>
              <w:bottom w:val="single" w:sz="4" w:space="0" w:color="auto"/>
              <w:right w:val="single" w:sz="4" w:space="0" w:color="auto"/>
            </w:tcBorders>
            <w:shd w:val="clear" w:color="auto" w:fill="D9D9D9"/>
            <w:vAlign w:val="center"/>
          </w:tcPr>
          <w:p w:rsidR="00A131AD" w:rsidRPr="00A87C61" w:rsidRDefault="00A131AD" w:rsidP="000C0138">
            <w:pPr>
              <w:pStyle w:val="NoSpacing"/>
              <w:spacing w:line="276" w:lineRule="auto"/>
              <w:jc w:val="center"/>
              <w:rPr>
                <w:sz w:val="18"/>
                <w:szCs w:val="18"/>
              </w:rPr>
            </w:pPr>
            <w:r w:rsidRPr="00A87C61">
              <w:rPr>
                <w:sz w:val="18"/>
                <w:szCs w:val="18"/>
              </w:rPr>
              <w:t>2014.</w:t>
            </w:r>
          </w:p>
        </w:tc>
        <w:tc>
          <w:tcPr>
            <w:tcW w:w="1299" w:type="dxa"/>
            <w:gridSpan w:val="3"/>
            <w:tcBorders>
              <w:top w:val="single" w:sz="4" w:space="0" w:color="auto"/>
              <w:left w:val="single" w:sz="4" w:space="0" w:color="auto"/>
              <w:bottom w:val="single" w:sz="4" w:space="0" w:color="auto"/>
              <w:right w:val="single" w:sz="4" w:space="0" w:color="auto"/>
            </w:tcBorders>
            <w:shd w:val="clear" w:color="auto" w:fill="D9D9D9"/>
            <w:vAlign w:val="center"/>
          </w:tcPr>
          <w:p w:rsidR="00A131AD" w:rsidRPr="00A87C61" w:rsidRDefault="00A131AD" w:rsidP="000C0138">
            <w:pPr>
              <w:pStyle w:val="NoSpacing"/>
              <w:spacing w:line="276" w:lineRule="auto"/>
              <w:jc w:val="center"/>
              <w:rPr>
                <w:sz w:val="18"/>
                <w:szCs w:val="18"/>
              </w:rPr>
            </w:pPr>
            <w:r w:rsidRPr="00A87C61">
              <w:rPr>
                <w:sz w:val="18"/>
                <w:szCs w:val="18"/>
              </w:rPr>
              <w:t>2015.</w:t>
            </w:r>
          </w:p>
        </w:tc>
      </w:tr>
      <w:tr w:rsidR="00A131AD" w:rsidRPr="00A87C61" w:rsidTr="00A87C61">
        <w:trPr>
          <w:gridAfter w:val="1"/>
          <w:wAfter w:w="6" w:type="dxa"/>
          <w:cantSplit/>
          <w:trHeight w:val="1134"/>
        </w:trPr>
        <w:tc>
          <w:tcPr>
            <w:tcW w:w="1696" w:type="dxa"/>
            <w:vMerge/>
            <w:tcBorders>
              <w:top w:val="single" w:sz="4" w:space="0" w:color="auto"/>
              <w:left w:val="single" w:sz="4" w:space="0" w:color="auto"/>
              <w:bottom w:val="single" w:sz="4" w:space="0" w:color="auto"/>
              <w:right w:val="single" w:sz="4" w:space="0" w:color="auto"/>
            </w:tcBorders>
            <w:textDirection w:val="btLr"/>
            <w:vAlign w:val="center"/>
          </w:tcPr>
          <w:p w:rsidR="00A131AD" w:rsidRPr="00A87C61" w:rsidRDefault="00A131AD" w:rsidP="000C0138">
            <w:pPr>
              <w:pStyle w:val="NoSpacing"/>
              <w:spacing w:line="276" w:lineRule="auto"/>
              <w:ind w:left="113" w:right="113"/>
              <w:rPr>
                <w:sz w:val="16"/>
                <w:szCs w:val="16"/>
              </w:rPr>
            </w:pPr>
          </w:p>
        </w:tc>
        <w:tc>
          <w:tcPr>
            <w:tcW w:w="648" w:type="dxa"/>
            <w:tcBorders>
              <w:top w:val="single" w:sz="4" w:space="0" w:color="auto"/>
              <w:left w:val="single" w:sz="4" w:space="0" w:color="auto"/>
              <w:bottom w:val="single" w:sz="4" w:space="0" w:color="auto"/>
              <w:right w:val="single" w:sz="4" w:space="0" w:color="auto"/>
            </w:tcBorders>
            <w:shd w:val="clear" w:color="auto" w:fill="D9D9D9"/>
            <w:textDirection w:val="btLr"/>
            <w:vAlign w:val="center"/>
          </w:tcPr>
          <w:p w:rsidR="00A131AD" w:rsidRPr="00A87C61" w:rsidRDefault="00A131AD" w:rsidP="000C0138">
            <w:pPr>
              <w:pStyle w:val="NoSpacing"/>
              <w:spacing w:line="276" w:lineRule="auto"/>
              <w:ind w:left="113" w:right="113"/>
              <w:rPr>
                <w:sz w:val="16"/>
                <w:szCs w:val="16"/>
              </w:rPr>
            </w:pPr>
            <w:r w:rsidRPr="00A87C61">
              <w:rPr>
                <w:sz w:val="16"/>
                <w:szCs w:val="16"/>
              </w:rPr>
              <w:t>Broj</w:t>
            </w:r>
          </w:p>
        </w:tc>
        <w:tc>
          <w:tcPr>
            <w:tcW w:w="649" w:type="dxa"/>
            <w:tcBorders>
              <w:top w:val="single" w:sz="4" w:space="0" w:color="auto"/>
              <w:left w:val="single" w:sz="4" w:space="0" w:color="auto"/>
              <w:bottom w:val="single" w:sz="4" w:space="0" w:color="auto"/>
              <w:right w:val="single" w:sz="4" w:space="0" w:color="auto"/>
            </w:tcBorders>
            <w:shd w:val="clear" w:color="auto" w:fill="D9D9D9"/>
            <w:textDirection w:val="btLr"/>
            <w:vAlign w:val="center"/>
          </w:tcPr>
          <w:p w:rsidR="00A131AD" w:rsidRPr="00A87C61" w:rsidRDefault="00A131AD" w:rsidP="000C0138">
            <w:pPr>
              <w:pStyle w:val="NoSpacing"/>
              <w:spacing w:line="276" w:lineRule="auto"/>
              <w:ind w:left="113" w:right="113"/>
              <w:rPr>
                <w:sz w:val="18"/>
                <w:szCs w:val="18"/>
              </w:rPr>
            </w:pPr>
            <w:r w:rsidRPr="00A87C61">
              <w:rPr>
                <w:sz w:val="18"/>
                <w:szCs w:val="18"/>
              </w:rPr>
              <w:t>Stopa/  10.000</w:t>
            </w:r>
          </w:p>
        </w:tc>
        <w:tc>
          <w:tcPr>
            <w:tcW w:w="649" w:type="dxa"/>
            <w:tcBorders>
              <w:top w:val="single" w:sz="4" w:space="0" w:color="auto"/>
              <w:left w:val="single" w:sz="4" w:space="0" w:color="auto"/>
              <w:bottom w:val="single" w:sz="4" w:space="0" w:color="auto"/>
              <w:right w:val="single" w:sz="4" w:space="0" w:color="auto"/>
            </w:tcBorders>
            <w:shd w:val="clear" w:color="auto" w:fill="D9D9D9"/>
            <w:textDirection w:val="btLr"/>
            <w:vAlign w:val="center"/>
          </w:tcPr>
          <w:p w:rsidR="00A131AD" w:rsidRPr="00A87C61" w:rsidRDefault="00A131AD" w:rsidP="000C0138">
            <w:pPr>
              <w:pStyle w:val="NoSpacing"/>
              <w:spacing w:line="276" w:lineRule="auto"/>
              <w:ind w:left="113" w:right="113"/>
              <w:rPr>
                <w:sz w:val="18"/>
                <w:szCs w:val="18"/>
              </w:rPr>
            </w:pPr>
            <w:r w:rsidRPr="00A87C61">
              <w:rPr>
                <w:sz w:val="18"/>
                <w:szCs w:val="18"/>
              </w:rPr>
              <w:t>Broj</w:t>
            </w:r>
          </w:p>
        </w:tc>
        <w:tc>
          <w:tcPr>
            <w:tcW w:w="648" w:type="dxa"/>
            <w:tcBorders>
              <w:top w:val="single" w:sz="4" w:space="0" w:color="auto"/>
              <w:left w:val="single" w:sz="4" w:space="0" w:color="auto"/>
              <w:bottom w:val="single" w:sz="4" w:space="0" w:color="auto"/>
              <w:right w:val="single" w:sz="4" w:space="0" w:color="auto"/>
            </w:tcBorders>
            <w:shd w:val="clear" w:color="auto" w:fill="D9D9D9"/>
            <w:textDirection w:val="btLr"/>
            <w:vAlign w:val="center"/>
          </w:tcPr>
          <w:p w:rsidR="00A131AD" w:rsidRPr="00A87C61" w:rsidRDefault="00A131AD" w:rsidP="000C0138">
            <w:pPr>
              <w:pStyle w:val="NoSpacing"/>
              <w:spacing w:line="276" w:lineRule="auto"/>
              <w:ind w:left="113" w:right="113"/>
              <w:rPr>
                <w:sz w:val="18"/>
                <w:szCs w:val="18"/>
              </w:rPr>
            </w:pPr>
            <w:r w:rsidRPr="00A87C61">
              <w:rPr>
                <w:sz w:val="18"/>
                <w:szCs w:val="18"/>
              </w:rPr>
              <w:t>Stopa/</w:t>
            </w:r>
          </w:p>
          <w:p w:rsidR="00A131AD" w:rsidRPr="00A87C61" w:rsidRDefault="00A131AD" w:rsidP="000C0138">
            <w:pPr>
              <w:pStyle w:val="NoSpacing"/>
              <w:spacing w:line="276" w:lineRule="auto"/>
              <w:ind w:left="113" w:right="113"/>
              <w:rPr>
                <w:sz w:val="18"/>
                <w:szCs w:val="18"/>
              </w:rPr>
            </w:pPr>
            <w:r w:rsidRPr="00A87C61">
              <w:rPr>
                <w:sz w:val="18"/>
                <w:szCs w:val="18"/>
              </w:rPr>
              <w:t>10.000</w:t>
            </w:r>
          </w:p>
        </w:tc>
        <w:tc>
          <w:tcPr>
            <w:tcW w:w="649" w:type="dxa"/>
            <w:tcBorders>
              <w:top w:val="single" w:sz="4" w:space="0" w:color="auto"/>
              <w:left w:val="single" w:sz="4" w:space="0" w:color="auto"/>
              <w:bottom w:val="single" w:sz="4" w:space="0" w:color="auto"/>
              <w:right w:val="single" w:sz="4" w:space="0" w:color="auto"/>
            </w:tcBorders>
            <w:shd w:val="clear" w:color="auto" w:fill="D9D9D9"/>
            <w:textDirection w:val="btLr"/>
          </w:tcPr>
          <w:p w:rsidR="00A131AD" w:rsidRPr="00A87C61" w:rsidRDefault="00A131AD" w:rsidP="000C0138">
            <w:pPr>
              <w:pStyle w:val="NoSpacing"/>
              <w:spacing w:line="276" w:lineRule="auto"/>
              <w:ind w:left="113" w:right="113"/>
              <w:rPr>
                <w:sz w:val="18"/>
                <w:szCs w:val="18"/>
              </w:rPr>
            </w:pPr>
            <w:r w:rsidRPr="00A87C61">
              <w:rPr>
                <w:sz w:val="18"/>
                <w:szCs w:val="18"/>
              </w:rPr>
              <w:t>Broj</w:t>
            </w:r>
          </w:p>
        </w:tc>
        <w:tc>
          <w:tcPr>
            <w:tcW w:w="649" w:type="dxa"/>
            <w:tcBorders>
              <w:top w:val="single" w:sz="4" w:space="0" w:color="auto"/>
              <w:left w:val="single" w:sz="4" w:space="0" w:color="auto"/>
              <w:bottom w:val="single" w:sz="4" w:space="0" w:color="auto"/>
              <w:right w:val="single" w:sz="4" w:space="0" w:color="auto"/>
            </w:tcBorders>
            <w:shd w:val="clear" w:color="auto" w:fill="D9D9D9"/>
            <w:textDirection w:val="btLr"/>
          </w:tcPr>
          <w:p w:rsidR="00A131AD" w:rsidRPr="00A87C61" w:rsidRDefault="00A131AD" w:rsidP="000C0138">
            <w:pPr>
              <w:pStyle w:val="NoSpacing"/>
              <w:spacing w:line="276" w:lineRule="auto"/>
              <w:ind w:left="113" w:right="113"/>
              <w:rPr>
                <w:sz w:val="18"/>
                <w:szCs w:val="18"/>
              </w:rPr>
            </w:pPr>
            <w:r w:rsidRPr="00A87C61">
              <w:rPr>
                <w:sz w:val="18"/>
                <w:szCs w:val="18"/>
              </w:rPr>
              <w:t>Stopa/  10.000</w:t>
            </w:r>
          </w:p>
        </w:tc>
        <w:tc>
          <w:tcPr>
            <w:tcW w:w="648" w:type="dxa"/>
            <w:tcBorders>
              <w:top w:val="single" w:sz="4" w:space="0" w:color="auto"/>
              <w:left w:val="single" w:sz="4" w:space="0" w:color="auto"/>
              <w:bottom w:val="single" w:sz="4" w:space="0" w:color="auto"/>
              <w:right w:val="single" w:sz="4" w:space="0" w:color="auto"/>
            </w:tcBorders>
            <w:shd w:val="clear" w:color="auto" w:fill="D9D9D9"/>
            <w:textDirection w:val="btLr"/>
            <w:vAlign w:val="center"/>
          </w:tcPr>
          <w:p w:rsidR="00A131AD" w:rsidRPr="00A87C61" w:rsidRDefault="00A131AD" w:rsidP="000C0138">
            <w:pPr>
              <w:pStyle w:val="NoSpacing"/>
              <w:spacing w:line="276" w:lineRule="auto"/>
              <w:ind w:left="113" w:right="113"/>
              <w:rPr>
                <w:sz w:val="18"/>
                <w:szCs w:val="18"/>
              </w:rPr>
            </w:pPr>
            <w:r w:rsidRPr="00A87C61">
              <w:rPr>
                <w:sz w:val="18"/>
                <w:szCs w:val="18"/>
              </w:rPr>
              <w:t>Broj</w:t>
            </w:r>
          </w:p>
        </w:tc>
        <w:tc>
          <w:tcPr>
            <w:tcW w:w="649" w:type="dxa"/>
            <w:tcBorders>
              <w:top w:val="single" w:sz="4" w:space="0" w:color="auto"/>
              <w:left w:val="single" w:sz="4" w:space="0" w:color="auto"/>
              <w:bottom w:val="single" w:sz="4" w:space="0" w:color="auto"/>
              <w:right w:val="single" w:sz="4" w:space="0" w:color="auto"/>
            </w:tcBorders>
            <w:shd w:val="clear" w:color="auto" w:fill="D9D9D9"/>
            <w:textDirection w:val="btLr"/>
            <w:vAlign w:val="center"/>
          </w:tcPr>
          <w:p w:rsidR="00A131AD" w:rsidRPr="00A87C61" w:rsidRDefault="00A131AD" w:rsidP="000C0138">
            <w:pPr>
              <w:pStyle w:val="NoSpacing"/>
              <w:spacing w:line="276" w:lineRule="auto"/>
              <w:ind w:left="113" w:right="113"/>
              <w:rPr>
                <w:sz w:val="18"/>
                <w:szCs w:val="18"/>
              </w:rPr>
            </w:pPr>
            <w:r w:rsidRPr="00A87C61">
              <w:rPr>
                <w:sz w:val="18"/>
                <w:szCs w:val="18"/>
              </w:rPr>
              <w:t>Stopa/</w:t>
            </w:r>
          </w:p>
          <w:p w:rsidR="00A131AD" w:rsidRPr="00A87C61" w:rsidRDefault="00A131AD" w:rsidP="000C0138">
            <w:pPr>
              <w:pStyle w:val="NoSpacing"/>
              <w:spacing w:line="276" w:lineRule="auto"/>
              <w:ind w:left="113" w:right="113"/>
              <w:rPr>
                <w:sz w:val="18"/>
                <w:szCs w:val="18"/>
              </w:rPr>
            </w:pPr>
            <w:r w:rsidRPr="00A87C61">
              <w:rPr>
                <w:sz w:val="18"/>
                <w:szCs w:val="18"/>
              </w:rPr>
              <w:t>10.000</w:t>
            </w:r>
          </w:p>
        </w:tc>
        <w:tc>
          <w:tcPr>
            <w:tcW w:w="649" w:type="dxa"/>
            <w:tcBorders>
              <w:top w:val="single" w:sz="4" w:space="0" w:color="auto"/>
              <w:left w:val="single" w:sz="4" w:space="0" w:color="auto"/>
              <w:bottom w:val="single" w:sz="4" w:space="0" w:color="auto"/>
              <w:right w:val="single" w:sz="4" w:space="0" w:color="auto"/>
            </w:tcBorders>
            <w:shd w:val="clear" w:color="auto" w:fill="D9D9D9"/>
            <w:textDirection w:val="btLr"/>
            <w:vAlign w:val="center"/>
          </w:tcPr>
          <w:p w:rsidR="00A131AD" w:rsidRPr="00A87C61" w:rsidRDefault="00A131AD" w:rsidP="000C0138">
            <w:pPr>
              <w:pStyle w:val="NoSpacing"/>
              <w:spacing w:line="276" w:lineRule="auto"/>
              <w:ind w:left="113" w:right="113"/>
              <w:rPr>
                <w:sz w:val="18"/>
                <w:szCs w:val="18"/>
              </w:rPr>
            </w:pPr>
            <w:r w:rsidRPr="00A87C61">
              <w:rPr>
                <w:sz w:val="18"/>
                <w:szCs w:val="18"/>
              </w:rPr>
              <w:t>Broj</w:t>
            </w:r>
          </w:p>
        </w:tc>
        <w:tc>
          <w:tcPr>
            <w:tcW w:w="648" w:type="dxa"/>
            <w:tcBorders>
              <w:top w:val="single" w:sz="4" w:space="0" w:color="auto"/>
              <w:left w:val="single" w:sz="4" w:space="0" w:color="auto"/>
              <w:bottom w:val="single" w:sz="4" w:space="0" w:color="auto"/>
              <w:right w:val="single" w:sz="4" w:space="0" w:color="auto"/>
            </w:tcBorders>
            <w:shd w:val="clear" w:color="auto" w:fill="D9D9D9"/>
            <w:textDirection w:val="btLr"/>
            <w:vAlign w:val="center"/>
          </w:tcPr>
          <w:p w:rsidR="00A131AD" w:rsidRPr="00A87C61" w:rsidRDefault="00A131AD" w:rsidP="000C0138">
            <w:pPr>
              <w:pStyle w:val="NoSpacing"/>
              <w:spacing w:line="276" w:lineRule="auto"/>
              <w:ind w:left="113" w:right="113"/>
              <w:rPr>
                <w:sz w:val="18"/>
                <w:szCs w:val="18"/>
              </w:rPr>
            </w:pPr>
            <w:r w:rsidRPr="00A87C61">
              <w:rPr>
                <w:sz w:val="18"/>
                <w:szCs w:val="18"/>
              </w:rPr>
              <w:t>Stopa/</w:t>
            </w:r>
            <w:r w:rsidRPr="00A87C61">
              <w:rPr>
                <w:sz w:val="18"/>
                <w:szCs w:val="18"/>
              </w:rPr>
              <w:br/>
              <w:t>10.000</w:t>
            </w:r>
          </w:p>
        </w:tc>
        <w:tc>
          <w:tcPr>
            <w:tcW w:w="649" w:type="dxa"/>
            <w:tcBorders>
              <w:top w:val="single" w:sz="4" w:space="0" w:color="auto"/>
              <w:left w:val="single" w:sz="4" w:space="0" w:color="auto"/>
              <w:bottom w:val="single" w:sz="4" w:space="0" w:color="auto"/>
              <w:right w:val="single" w:sz="4" w:space="0" w:color="auto"/>
            </w:tcBorders>
            <w:shd w:val="clear" w:color="auto" w:fill="D9D9D9"/>
            <w:textDirection w:val="btLr"/>
          </w:tcPr>
          <w:p w:rsidR="00A131AD" w:rsidRPr="00A87C61" w:rsidRDefault="00A131AD" w:rsidP="000C0138">
            <w:pPr>
              <w:pStyle w:val="NoSpacing"/>
              <w:spacing w:line="276" w:lineRule="auto"/>
              <w:ind w:left="113" w:right="113"/>
              <w:rPr>
                <w:sz w:val="18"/>
                <w:szCs w:val="18"/>
              </w:rPr>
            </w:pPr>
            <w:r w:rsidRPr="00A87C61">
              <w:rPr>
                <w:sz w:val="18"/>
                <w:szCs w:val="18"/>
              </w:rPr>
              <w:t>Broj</w:t>
            </w:r>
          </w:p>
        </w:tc>
        <w:tc>
          <w:tcPr>
            <w:tcW w:w="649" w:type="dxa"/>
            <w:tcBorders>
              <w:top w:val="single" w:sz="4" w:space="0" w:color="auto"/>
              <w:left w:val="single" w:sz="4" w:space="0" w:color="auto"/>
              <w:bottom w:val="single" w:sz="4" w:space="0" w:color="auto"/>
              <w:right w:val="single" w:sz="4" w:space="0" w:color="auto"/>
            </w:tcBorders>
            <w:shd w:val="clear" w:color="auto" w:fill="D9D9D9"/>
            <w:textDirection w:val="btLr"/>
          </w:tcPr>
          <w:p w:rsidR="00A131AD" w:rsidRPr="00A87C61" w:rsidRDefault="00A131AD" w:rsidP="000C0138">
            <w:pPr>
              <w:pStyle w:val="NoSpacing"/>
              <w:spacing w:line="276" w:lineRule="auto"/>
              <w:ind w:left="113" w:right="113"/>
              <w:rPr>
                <w:sz w:val="18"/>
                <w:szCs w:val="18"/>
              </w:rPr>
            </w:pPr>
            <w:r w:rsidRPr="00A87C61">
              <w:rPr>
                <w:sz w:val="18"/>
                <w:szCs w:val="18"/>
              </w:rPr>
              <w:t>Stopa/  10.000</w:t>
            </w:r>
          </w:p>
        </w:tc>
      </w:tr>
      <w:tr w:rsidR="00A131AD" w:rsidRPr="00A87C61" w:rsidTr="00A87C61">
        <w:trPr>
          <w:gridAfter w:val="1"/>
          <w:wAfter w:w="6" w:type="dxa"/>
          <w:cantSplit/>
          <w:trHeight w:val="935"/>
        </w:trPr>
        <w:tc>
          <w:tcPr>
            <w:tcW w:w="1696" w:type="dxa"/>
            <w:tcBorders>
              <w:top w:val="single" w:sz="4" w:space="0" w:color="auto"/>
              <w:left w:val="single" w:sz="4" w:space="0" w:color="auto"/>
              <w:bottom w:val="single" w:sz="4" w:space="0" w:color="auto"/>
              <w:right w:val="single" w:sz="4" w:space="0" w:color="auto"/>
            </w:tcBorders>
          </w:tcPr>
          <w:p w:rsidR="00A131AD" w:rsidRPr="00A87C61" w:rsidRDefault="00A131AD" w:rsidP="00A87C61">
            <w:pPr>
              <w:pStyle w:val="NoSpacing"/>
              <w:spacing w:line="276" w:lineRule="auto"/>
              <w:rPr>
                <w:sz w:val="16"/>
                <w:szCs w:val="16"/>
              </w:rPr>
            </w:pPr>
            <w:r w:rsidRPr="00A87C61">
              <w:rPr>
                <w:sz w:val="16"/>
                <w:szCs w:val="16"/>
              </w:rPr>
              <w:t xml:space="preserve">Mentalni poremećaji i </w:t>
            </w:r>
          </w:p>
          <w:p w:rsidR="00A131AD" w:rsidRPr="00A87C61" w:rsidRDefault="00A131AD" w:rsidP="00A87C61">
            <w:pPr>
              <w:pStyle w:val="NoSpacing"/>
              <w:spacing w:line="276" w:lineRule="auto"/>
              <w:rPr>
                <w:sz w:val="16"/>
                <w:szCs w:val="16"/>
              </w:rPr>
            </w:pPr>
            <w:r w:rsidRPr="00A87C61">
              <w:rPr>
                <w:sz w:val="16"/>
                <w:szCs w:val="16"/>
              </w:rPr>
              <w:t xml:space="preserve">poremećaji ponašanja </w:t>
            </w:r>
          </w:p>
          <w:p w:rsidR="00A131AD" w:rsidRPr="00A87C61" w:rsidRDefault="00A131AD" w:rsidP="00A87C61">
            <w:pPr>
              <w:pStyle w:val="NoSpacing"/>
              <w:spacing w:line="276" w:lineRule="auto"/>
              <w:rPr>
                <w:sz w:val="16"/>
                <w:szCs w:val="16"/>
              </w:rPr>
            </w:pPr>
            <w:r w:rsidRPr="00A87C61">
              <w:rPr>
                <w:sz w:val="16"/>
                <w:szCs w:val="16"/>
              </w:rPr>
              <w:t>uzrokovanih alkoholom (F10)</w:t>
            </w:r>
          </w:p>
        </w:tc>
        <w:tc>
          <w:tcPr>
            <w:tcW w:w="648" w:type="dxa"/>
            <w:tcBorders>
              <w:top w:val="single" w:sz="4" w:space="0" w:color="auto"/>
              <w:left w:val="single" w:sz="4" w:space="0" w:color="auto"/>
              <w:bottom w:val="single" w:sz="4" w:space="0" w:color="auto"/>
              <w:right w:val="single" w:sz="4" w:space="0" w:color="auto"/>
            </w:tcBorders>
            <w:vAlign w:val="center"/>
          </w:tcPr>
          <w:p w:rsidR="00A131AD" w:rsidRPr="00A87C61" w:rsidRDefault="00A131AD" w:rsidP="00A87C61">
            <w:pPr>
              <w:pStyle w:val="NoSpacing"/>
              <w:spacing w:line="276" w:lineRule="auto"/>
              <w:jc w:val="center"/>
              <w:rPr>
                <w:sz w:val="16"/>
                <w:szCs w:val="16"/>
              </w:rPr>
            </w:pPr>
            <w:r w:rsidRPr="00A87C61">
              <w:rPr>
                <w:sz w:val="16"/>
                <w:szCs w:val="16"/>
              </w:rPr>
              <w:t>2.518</w:t>
            </w:r>
          </w:p>
        </w:tc>
        <w:tc>
          <w:tcPr>
            <w:tcW w:w="649" w:type="dxa"/>
            <w:tcBorders>
              <w:top w:val="single" w:sz="4" w:space="0" w:color="auto"/>
              <w:left w:val="single" w:sz="4" w:space="0" w:color="auto"/>
              <w:bottom w:val="single" w:sz="4" w:space="0" w:color="auto"/>
              <w:right w:val="single" w:sz="4" w:space="0" w:color="auto"/>
            </w:tcBorders>
            <w:vAlign w:val="center"/>
          </w:tcPr>
          <w:p w:rsidR="00A131AD" w:rsidRPr="00A87C61" w:rsidRDefault="00A131AD" w:rsidP="00A87C61">
            <w:pPr>
              <w:pStyle w:val="NoSpacing"/>
              <w:spacing w:line="276" w:lineRule="auto"/>
              <w:jc w:val="center"/>
              <w:rPr>
                <w:sz w:val="18"/>
                <w:szCs w:val="18"/>
              </w:rPr>
            </w:pPr>
            <w:r w:rsidRPr="00A87C61">
              <w:rPr>
                <w:sz w:val="18"/>
                <w:szCs w:val="18"/>
              </w:rPr>
              <w:t>10,8</w:t>
            </w:r>
          </w:p>
        </w:tc>
        <w:tc>
          <w:tcPr>
            <w:tcW w:w="649" w:type="dxa"/>
            <w:tcBorders>
              <w:top w:val="single" w:sz="4" w:space="0" w:color="auto"/>
              <w:left w:val="single" w:sz="4" w:space="0" w:color="auto"/>
              <w:bottom w:val="single" w:sz="4" w:space="0" w:color="auto"/>
              <w:right w:val="single" w:sz="4" w:space="0" w:color="auto"/>
            </w:tcBorders>
            <w:vAlign w:val="center"/>
          </w:tcPr>
          <w:p w:rsidR="00A131AD" w:rsidRPr="00A87C61" w:rsidRDefault="00A131AD" w:rsidP="00A87C61">
            <w:pPr>
              <w:pStyle w:val="NoSpacing"/>
              <w:spacing w:line="276" w:lineRule="auto"/>
              <w:jc w:val="center"/>
              <w:rPr>
                <w:sz w:val="18"/>
                <w:szCs w:val="18"/>
              </w:rPr>
            </w:pPr>
            <w:r w:rsidRPr="00A87C61">
              <w:rPr>
                <w:sz w:val="18"/>
                <w:szCs w:val="18"/>
              </w:rPr>
              <w:t>2.885</w:t>
            </w:r>
          </w:p>
        </w:tc>
        <w:tc>
          <w:tcPr>
            <w:tcW w:w="648" w:type="dxa"/>
            <w:tcBorders>
              <w:top w:val="single" w:sz="4" w:space="0" w:color="auto"/>
              <w:left w:val="single" w:sz="4" w:space="0" w:color="auto"/>
              <w:bottom w:val="single" w:sz="4" w:space="0" w:color="auto"/>
              <w:right w:val="single" w:sz="4" w:space="0" w:color="auto"/>
            </w:tcBorders>
            <w:vAlign w:val="center"/>
          </w:tcPr>
          <w:p w:rsidR="00A131AD" w:rsidRPr="00A87C61" w:rsidRDefault="00A131AD" w:rsidP="00A87C61">
            <w:pPr>
              <w:pStyle w:val="NoSpacing"/>
              <w:spacing w:line="276" w:lineRule="auto"/>
              <w:jc w:val="center"/>
              <w:rPr>
                <w:sz w:val="18"/>
                <w:szCs w:val="18"/>
              </w:rPr>
            </w:pPr>
            <w:r w:rsidRPr="00A87C61">
              <w:rPr>
                <w:sz w:val="18"/>
                <w:szCs w:val="18"/>
              </w:rPr>
              <w:t>12,3</w:t>
            </w:r>
          </w:p>
        </w:tc>
        <w:tc>
          <w:tcPr>
            <w:tcW w:w="649" w:type="dxa"/>
            <w:tcBorders>
              <w:top w:val="single" w:sz="4" w:space="0" w:color="auto"/>
              <w:left w:val="single" w:sz="4" w:space="0" w:color="auto"/>
              <w:bottom w:val="single" w:sz="4" w:space="0" w:color="auto"/>
              <w:right w:val="single" w:sz="4" w:space="0" w:color="auto"/>
            </w:tcBorders>
            <w:vAlign w:val="center"/>
          </w:tcPr>
          <w:p w:rsidR="00A131AD" w:rsidRPr="00A87C61" w:rsidRDefault="00A131AD" w:rsidP="00A87C61">
            <w:pPr>
              <w:pStyle w:val="NoSpacing"/>
              <w:spacing w:line="276" w:lineRule="auto"/>
              <w:jc w:val="center"/>
              <w:rPr>
                <w:sz w:val="18"/>
                <w:szCs w:val="18"/>
              </w:rPr>
            </w:pPr>
            <w:r w:rsidRPr="00A87C61">
              <w:rPr>
                <w:sz w:val="18"/>
                <w:szCs w:val="18"/>
              </w:rPr>
              <w:t>2.827</w:t>
            </w:r>
          </w:p>
        </w:tc>
        <w:tc>
          <w:tcPr>
            <w:tcW w:w="649" w:type="dxa"/>
            <w:tcBorders>
              <w:top w:val="single" w:sz="4" w:space="0" w:color="auto"/>
              <w:left w:val="single" w:sz="4" w:space="0" w:color="auto"/>
              <w:bottom w:val="single" w:sz="4" w:space="0" w:color="auto"/>
              <w:right w:val="single" w:sz="4" w:space="0" w:color="auto"/>
            </w:tcBorders>
            <w:vAlign w:val="center"/>
          </w:tcPr>
          <w:p w:rsidR="00A131AD" w:rsidRPr="00A87C61" w:rsidRDefault="00A131AD" w:rsidP="00A87C61">
            <w:pPr>
              <w:pStyle w:val="NoSpacing"/>
              <w:spacing w:line="276" w:lineRule="auto"/>
              <w:jc w:val="center"/>
              <w:rPr>
                <w:sz w:val="18"/>
                <w:szCs w:val="18"/>
              </w:rPr>
            </w:pPr>
            <w:r w:rsidRPr="00A87C61">
              <w:rPr>
                <w:sz w:val="18"/>
                <w:szCs w:val="18"/>
              </w:rPr>
              <w:t>12,1</w:t>
            </w:r>
          </w:p>
        </w:tc>
        <w:tc>
          <w:tcPr>
            <w:tcW w:w="648" w:type="dxa"/>
            <w:tcBorders>
              <w:top w:val="single" w:sz="4" w:space="0" w:color="auto"/>
              <w:left w:val="single" w:sz="4" w:space="0" w:color="auto"/>
              <w:bottom w:val="single" w:sz="4" w:space="0" w:color="auto"/>
              <w:right w:val="single" w:sz="4" w:space="0" w:color="auto"/>
            </w:tcBorders>
            <w:vAlign w:val="center"/>
          </w:tcPr>
          <w:p w:rsidR="00A131AD" w:rsidRPr="00A87C61" w:rsidRDefault="00A131AD" w:rsidP="00A87C61">
            <w:pPr>
              <w:pStyle w:val="NoSpacing"/>
              <w:spacing w:line="276" w:lineRule="auto"/>
              <w:jc w:val="center"/>
              <w:rPr>
                <w:sz w:val="18"/>
                <w:szCs w:val="18"/>
              </w:rPr>
            </w:pPr>
            <w:r w:rsidRPr="00A87C61">
              <w:rPr>
                <w:sz w:val="18"/>
                <w:szCs w:val="18"/>
              </w:rPr>
              <w:t>2.777</w:t>
            </w:r>
          </w:p>
        </w:tc>
        <w:tc>
          <w:tcPr>
            <w:tcW w:w="649" w:type="dxa"/>
            <w:tcBorders>
              <w:top w:val="single" w:sz="4" w:space="0" w:color="auto"/>
              <w:left w:val="single" w:sz="4" w:space="0" w:color="auto"/>
              <w:bottom w:val="single" w:sz="4" w:space="0" w:color="auto"/>
              <w:right w:val="single" w:sz="4" w:space="0" w:color="auto"/>
            </w:tcBorders>
            <w:vAlign w:val="center"/>
          </w:tcPr>
          <w:p w:rsidR="00A131AD" w:rsidRPr="00A87C61" w:rsidRDefault="00A131AD" w:rsidP="00A87C61">
            <w:pPr>
              <w:pStyle w:val="NoSpacing"/>
              <w:spacing w:line="276" w:lineRule="auto"/>
              <w:jc w:val="center"/>
              <w:rPr>
                <w:sz w:val="18"/>
                <w:szCs w:val="18"/>
              </w:rPr>
            </w:pPr>
            <w:r w:rsidRPr="00A87C61">
              <w:rPr>
                <w:sz w:val="18"/>
                <w:szCs w:val="18"/>
              </w:rPr>
              <w:t>11,9</w:t>
            </w:r>
          </w:p>
        </w:tc>
        <w:tc>
          <w:tcPr>
            <w:tcW w:w="649" w:type="dxa"/>
            <w:tcBorders>
              <w:top w:val="single" w:sz="4" w:space="0" w:color="auto"/>
              <w:left w:val="single" w:sz="4" w:space="0" w:color="auto"/>
              <w:bottom w:val="single" w:sz="4" w:space="0" w:color="auto"/>
              <w:right w:val="single" w:sz="4" w:space="0" w:color="auto"/>
            </w:tcBorders>
            <w:vAlign w:val="center"/>
          </w:tcPr>
          <w:p w:rsidR="00A131AD" w:rsidRPr="00A87C61" w:rsidRDefault="00A131AD" w:rsidP="00A87C61">
            <w:pPr>
              <w:pStyle w:val="NoSpacing"/>
              <w:spacing w:line="276" w:lineRule="auto"/>
              <w:jc w:val="center"/>
              <w:rPr>
                <w:sz w:val="18"/>
                <w:szCs w:val="18"/>
              </w:rPr>
            </w:pPr>
            <w:r w:rsidRPr="00A87C61">
              <w:rPr>
                <w:sz w:val="18"/>
                <w:szCs w:val="18"/>
              </w:rPr>
              <w:t>2.686</w:t>
            </w:r>
          </w:p>
        </w:tc>
        <w:tc>
          <w:tcPr>
            <w:tcW w:w="648" w:type="dxa"/>
            <w:tcBorders>
              <w:top w:val="single" w:sz="4" w:space="0" w:color="auto"/>
              <w:left w:val="single" w:sz="4" w:space="0" w:color="auto"/>
              <w:bottom w:val="single" w:sz="4" w:space="0" w:color="auto"/>
              <w:right w:val="single" w:sz="4" w:space="0" w:color="auto"/>
            </w:tcBorders>
            <w:vAlign w:val="center"/>
          </w:tcPr>
          <w:p w:rsidR="00A131AD" w:rsidRPr="00A87C61" w:rsidRDefault="00A131AD" w:rsidP="00A87C61">
            <w:pPr>
              <w:pStyle w:val="NoSpacing"/>
              <w:spacing w:line="276" w:lineRule="auto"/>
              <w:jc w:val="center"/>
              <w:rPr>
                <w:sz w:val="18"/>
                <w:szCs w:val="18"/>
              </w:rPr>
            </w:pPr>
            <w:r w:rsidRPr="00A87C61">
              <w:rPr>
                <w:sz w:val="18"/>
                <w:szCs w:val="18"/>
              </w:rPr>
              <w:t>11,5</w:t>
            </w:r>
          </w:p>
        </w:tc>
        <w:tc>
          <w:tcPr>
            <w:tcW w:w="649" w:type="dxa"/>
            <w:tcBorders>
              <w:top w:val="single" w:sz="4" w:space="0" w:color="auto"/>
              <w:left w:val="single" w:sz="4" w:space="0" w:color="auto"/>
              <w:bottom w:val="single" w:sz="4" w:space="0" w:color="auto"/>
              <w:right w:val="single" w:sz="4" w:space="0" w:color="auto"/>
            </w:tcBorders>
            <w:vAlign w:val="center"/>
          </w:tcPr>
          <w:p w:rsidR="00A131AD" w:rsidRPr="00A87C61" w:rsidRDefault="00A131AD" w:rsidP="00A87C61">
            <w:pPr>
              <w:pStyle w:val="NoSpacing"/>
              <w:spacing w:line="276" w:lineRule="auto"/>
              <w:jc w:val="center"/>
              <w:rPr>
                <w:sz w:val="18"/>
                <w:szCs w:val="18"/>
              </w:rPr>
            </w:pPr>
            <w:r w:rsidRPr="00A87C61">
              <w:rPr>
                <w:sz w:val="18"/>
                <w:szCs w:val="18"/>
              </w:rPr>
              <w:t>2.277</w:t>
            </w:r>
          </w:p>
        </w:tc>
        <w:tc>
          <w:tcPr>
            <w:tcW w:w="649" w:type="dxa"/>
            <w:tcBorders>
              <w:top w:val="single" w:sz="4" w:space="0" w:color="auto"/>
              <w:left w:val="single" w:sz="4" w:space="0" w:color="auto"/>
              <w:bottom w:val="single" w:sz="4" w:space="0" w:color="auto"/>
              <w:right w:val="single" w:sz="4" w:space="0" w:color="auto"/>
            </w:tcBorders>
            <w:vAlign w:val="center"/>
          </w:tcPr>
          <w:p w:rsidR="00A131AD" w:rsidRPr="00A87C61" w:rsidRDefault="00A131AD" w:rsidP="00A87C61">
            <w:pPr>
              <w:pStyle w:val="NoSpacing"/>
              <w:spacing w:line="276" w:lineRule="auto"/>
              <w:jc w:val="center"/>
              <w:rPr>
                <w:sz w:val="18"/>
                <w:szCs w:val="18"/>
              </w:rPr>
            </w:pPr>
            <w:r w:rsidRPr="00A87C61">
              <w:rPr>
                <w:sz w:val="18"/>
                <w:szCs w:val="18"/>
              </w:rPr>
              <w:t>9.8</w:t>
            </w:r>
          </w:p>
        </w:tc>
      </w:tr>
      <w:tr w:rsidR="00A131AD" w:rsidRPr="00A87C61" w:rsidTr="00A87C61">
        <w:trPr>
          <w:gridAfter w:val="1"/>
          <w:wAfter w:w="6" w:type="dxa"/>
          <w:cantSplit/>
          <w:trHeight w:val="1257"/>
        </w:trPr>
        <w:tc>
          <w:tcPr>
            <w:tcW w:w="1696" w:type="dxa"/>
            <w:tcBorders>
              <w:top w:val="single" w:sz="4" w:space="0" w:color="auto"/>
              <w:left w:val="single" w:sz="4" w:space="0" w:color="auto"/>
              <w:bottom w:val="single" w:sz="4" w:space="0" w:color="auto"/>
              <w:right w:val="single" w:sz="4" w:space="0" w:color="auto"/>
            </w:tcBorders>
          </w:tcPr>
          <w:p w:rsidR="00A131AD" w:rsidRPr="00A87C61" w:rsidRDefault="00A131AD" w:rsidP="00A87C61">
            <w:pPr>
              <w:pStyle w:val="NoSpacing"/>
              <w:spacing w:line="276" w:lineRule="auto"/>
              <w:rPr>
                <w:sz w:val="16"/>
                <w:szCs w:val="16"/>
                <w:lang w:val="pl-PL"/>
              </w:rPr>
            </w:pPr>
            <w:r w:rsidRPr="00A87C61">
              <w:rPr>
                <w:sz w:val="16"/>
                <w:szCs w:val="16"/>
                <w:lang w:val="pl-PL"/>
              </w:rPr>
              <w:t xml:space="preserve">Mentalni poremećaji i </w:t>
            </w:r>
          </w:p>
          <w:p w:rsidR="00A131AD" w:rsidRPr="00A87C61" w:rsidRDefault="00A131AD" w:rsidP="00A87C61">
            <w:pPr>
              <w:pStyle w:val="NoSpacing"/>
              <w:spacing w:line="276" w:lineRule="auto"/>
              <w:rPr>
                <w:sz w:val="16"/>
                <w:szCs w:val="16"/>
                <w:lang w:val="pl-PL"/>
              </w:rPr>
            </w:pPr>
            <w:r w:rsidRPr="00A87C61">
              <w:rPr>
                <w:sz w:val="16"/>
                <w:szCs w:val="16"/>
                <w:lang w:val="pl-PL"/>
              </w:rPr>
              <w:t xml:space="preserve">poremećaji ponašanja </w:t>
            </w:r>
          </w:p>
          <w:p w:rsidR="00A131AD" w:rsidRPr="00A87C61" w:rsidRDefault="00A131AD" w:rsidP="00A87C61">
            <w:pPr>
              <w:pStyle w:val="NoSpacing"/>
              <w:spacing w:line="276" w:lineRule="auto"/>
              <w:rPr>
                <w:sz w:val="16"/>
                <w:szCs w:val="16"/>
                <w:lang w:val="pl-PL"/>
              </w:rPr>
            </w:pPr>
            <w:r w:rsidRPr="00A87C61">
              <w:rPr>
                <w:sz w:val="16"/>
                <w:szCs w:val="16"/>
                <w:lang w:val="pl-PL"/>
              </w:rPr>
              <w:t>uzrokovanih uporabom</w:t>
            </w:r>
          </w:p>
          <w:p w:rsidR="00A131AD" w:rsidRPr="00A87C61" w:rsidRDefault="00A131AD" w:rsidP="00A87C61">
            <w:pPr>
              <w:pStyle w:val="NoSpacing"/>
              <w:spacing w:line="276" w:lineRule="auto"/>
              <w:rPr>
                <w:sz w:val="16"/>
                <w:szCs w:val="16"/>
              </w:rPr>
            </w:pPr>
            <w:r w:rsidRPr="00A87C61">
              <w:rPr>
                <w:sz w:val="16"/>
                <w:szCs w:val="16"/>
              </w:rPr>
              <w:t>psihoaktivnih supstanci (F11-F19)</w:t>
            </w:r>
          </w:p>
        </w:tc>
        <w:tc>
          <w:tcPr>
            <w:tcW w:w="648" w:type="dxa"/>
            <w:tcBorders>
              <w:top w:val="single" w:sz="4" w:space="0" w:color="auto"/>
              <w:left w:val="single" w:sz="4" w:space="0" w:color="auto"/>
              <w:bottom w:val="single" w:sz="4" w:space="0" w:color="auto"/>
              <w:right w:val="single" w:sz="4" w:space="0" w:color="auto"/>
            </w:tcBorders>
            <w:vAlign w:val="center"/>
          </w:tcPr>
          <w:p w:rsidR="00A131AD" w:rsidRPr="00A87C61" w:rsidRDefault="00A131AD" w:rsidP="00A87C61">
            <w:pPr>
              <w:pStyle w:val="NoSpacing"/>
              <w:spacing w:line="276" w:lineRule="auto"/>
              <w:jc w:val="center"/>
              <w:rPr>
                <w:sz w:val="16"/>
                <w:szCs w:val="16"/>
              </w:rPr>
            </w:pPr>
            <w:r w:rsidRPr="00A87C61">
              <w:rPr>
                <w:sz w:val="16"/>
                <w:szCs w:val="16"/>
              </w:rPr>
              <w:t>1.398</w:t>
            </w:r>
          </w:p>
        </w:tc>
        <w:tc>
          <w:tcPr>
            <w:tcW w:w="649" w:type="dxa"/>
            <w:tcBorders>
              <w:top w:val="single" w:sz="4" w:space="0" w:color="auto"/>
              <w:left w:val="single" w:sz="4" w:space="0" w:color="auto"/>
              <w:bottom w:val="single" w:sz="4" w:space="0" w:color="auto"/>
              <w:right w:val="single" w:sz="4" w:space="0" w:color="auto"/>
            </w:tcBorders>
            <w:vAlign w:val="center"/>
          </w:tcPr>
          <w:p w:rsidR="00A131AD" w:rsidRPr="00A87C61" w:rsidRDefault="00A131AD" w:rsidP="00A87C61">
            <w:pPr>
              <w:pStyle w:val="NoSpacing"/>
              <w:spacing w:line="276" w:lineRule="auto"/>
              <w:jc w:val="center"/>
              <w:rPr>
                <w:sz w:val="18"/>
                <w:szCs w:val="18"/>
              </w:rPr>
            </w:pPr>
            <w:r w:rsidRPr="00A87C61">
              <w:rPr>
                <w:sz w:val="18"/>
                <w:szCs w:val="18"/>
              </w:rPr>
              <w:t>6,0</w:t>
            </w:r>
          </w:p>
        </w:tc>
        <w:tc>
          <w:tcPr>
            <w:tcW w:w="649" w:type="dxa"/>
            <w:tcBorders>
              <w:top w:val="single" w:sz="4" w:space="0" w:color="auto"/>
              <w:left w:val="single" w:sz="4" w:space="0" w:color="auto"/>
              <w:bottom w:val="single" w:sz="4" w:space="0" w:color="auto"/>
              <w:right w:val="single" w:sz="4" w:space="0" w:color="auto"/>
            </w:tcBorders>
            <w:vAlign w:val="center"/>
          </w:tcPr>
          <w:p w:rsidR="00A131AD" w:rsidRPr="00A87C61" w:rsidRDefault="00A131AD" w:rsidP="00A87C61">
            <w:pPr>
              <w:pStyle w:val="NoSpacing"/>
              <w:spacing w:line="276" w:lineRule="auto"/>
              <w:jc w:val="center"/>
              <w:rPr>
                <w:sz w:val="18"/>
                <w:szCs w:val="18"/>
              </w:rPr>
            </w:pPr>
            <w:r w:rsidRPr="00A87C61">
              <w:rPr>
                <w:sz w:val="18"/>
                <w:szCs w:val="18"/>
              </w:rPr>
              <w:t>1.633</w:t>
            </w:r>
          </w:p>
        </w:tc>
        <w:tc>
          <w:tcPr>
            <w:tcW w:w="648" w:type="dxa"/>
            <w:tcBorders>
              <w:top w:val="single" w:sz="4" w:space="0" w:color="auto"/>
              <w:left w:val="single" w:sz="4" w:space="0" w:color="auto"/>
              <w:bottom w:val="single" w:sz="4" w:space="0" w:color="auto"/>
              <w:right w:val="single" w:sz="4" w:space="0" w:color="auto"/>
            </w:tcBorders>
            <w:vAlign w:val="center"/>
          </w:tcPr>
          <w:p w:rsidR="00A131AD" w:rsidRPr="00A87C61" w:rsidRDefault="00A131AD" w:rsidP="00A87C61">
            <w:pPr>
              <w:pStyle w:val="NoSpacing"/>
              <w:spacing w:line="276" w:lineRule="auto"/>
              <w:jc w:val="center"/>
              <w:rPr>
                <w:sz w:val="18"/>
                <w:szCs w:val="18"/>
              </w:rPr>
            </w:pPr>
            <w:r w:rsidRPr="00A87C61">
              <w:rPr>
                <w:sz w:val="18"/>
                <w:szCs w:val="18"/>
              </w:rPr>
              <w:t>7,0</w:t>
            </w:r>
          </w:p>
        </w:tc>
        <w:tc>
          <w:tcPr>
            <w:tcW w:w="649" w:type="dxa"/>
            <w:tcBorders>
              <w:top w:val="single" w:sz="4" w:space="0" w:color="auto"/>
              <w:left w:val="single" w:sz="4" w:space="0" w:color="auto"/>
              <w:bottom w:val="single" w:sz="4" w:space="0" w:color="auto"/>
              <w:right w:val="single" w:sz="4" w:space="0" w:color="auto"/>
            </w:tcBorders>
            <w:vAlign w:val="center"/>
          </w:tcPr>
          <w:p w:rsidR="00A131AD" w:rsidRPr="00A87C61" w:rsidRDefault="00A131AD" w:rsidP="00A87C61">
            <w:pPr>
              <w:pStyle w:val="NoSpacing"/>
              <w:spacing w:line="276" w:lineRule="auto"/>
              <w:jc w:val="center"/>
              <w:rPr>
                <w:sz w:val="18"/>
                <w:szCs w:val="18"/>
              </w:rPr>
            </w:pPr>
            <w:r w:rsidRPr="00A87C61">
              <w:rPr>
                <w:sz w:val="18"/>
                <w:szCs w:val="18"/>
              </w:rPr>
              <w:t>1.942</w:t>
            </w:r>
          </w:p>
        </w:tc>
        <w:tc>
          <w:tcPr>
            <w:tcW w:w="649" w:type="dxa"/>
            <w:tcBorders>
              <w:top w:val="single" w:sz="4" w:space="0" w:color="auto"/>
              <w:left w:val="single" w:sz="4" w:space="0" w:color="auto"/>
              <w:bottom w:val="single" w:sz="4" w:space="0" w:color="auto"/>
              <w:right w:val="single" w:sz="4" w:space="0" w:color="auto"/>
            </w:tcBorders>
            <w:vAlign w:val="center"/>
          </w:tcPr>
          <w:p w:rsidR="00A131AD" w:rsidRPr="00A87C61" w:rsidRDefault="00A131AD" w:rsidP="00A87C61">
            <w:pPr>
              <w:pStyle w:val="NoSpacing"/>
              <w:spacing w:line="276" w:lineRule="auto"/>
              <w:jc w:val="center"/>
              <w:rPr>
                <w:sz w:val="18"/>
                <w:szCs w:val="18"/>
              </w:rPr>
            </w:pPr>
            <w:r w:rsidRPr="00A87C61">
              <w:rPr>
                <w:sz w:val="18"/>
                <w:szCs w:val="18"/>
              </w:rPr>
              <w:t>8,3</w:t>
            </w:r>
          </w:p>
        </w:tc>
        <w:tc>
          <w:tcPr>
            <w:tcW w:w="648" w:type="dxa"/>
            <w:tcBorders>
              <w:top w:val="single" w:sz="4" w:space="0" w:color="auto"/>
              <w:left w:val="single" w:sz="4" w:space="0" w:color="auto"/>
              <w:bottom w:val="single" w:sz="4" w:space="0" w:color="auto"/>
              <w:right w:val="single" w:sz="4" w:space="0" w:color="auto"/>
            </w:tcBorders>
            <w:vAlign w:val="center"/>
          </w:tcPr>
          <w:p w:rsidR="00A131AD" w:rsidRPr="00A87C61" w:rsidRDefault="00A131AD" w:rsidP="00A87C61">
            <w:pPr>
              <w:pStyle w:val="NoSpacing"/>
              <w:spacing w:line="276" w:lineRule="auto"/>
              <w:jc w:val="center"/>
              <w:rPr>
                <w:sz w:val="18"/>
                <w:szCs w:val="18"/>
              </w:rPr>
            </w:pPr>
            <w:r w:rsidRPr="00A87C61">
              <w:rPr>
                <w:sz w:val="18"/>
                <w:szCs w:val="18"/>
              </w:rPr>
              <w:t>1.747</w:t>
            </w:r>
          </w:p>
        </w:tc>
        <w:tc>
          <w:tcPr>
            <w:tcW w:w="649" w:type="dxa"/>
            <w:tcBorders>
              <w:top w:val="single" w:sz="4" w:space="0" w:color="auto"/>
              <w:left w:val="single" w:sz="4" w:space="0" w:color="auto"/>
              <w:bottom w:val="single" w:sz="4" w:space="0" w:color="auto"/>
              <w:right w:val="single" w:sz="4" w:space="0" w:color="auto"/>
            </w:tcBorders>
            <w:vAlign w:val="center"/>
          </w:tcPr>
          <w:p w:rsidR="00A131AD" w:rsidRPr="00A87C61" w:rsidRDefault="00A131AD" w:rsidP="00A87C61">
            <w:pPr>
              <w:pStyle w:val="NoSpacing"/>
              <w:spacing w:line="276" w:lineRule="auto"/>
              <w:jc w:val="center"/>
              <w:rPr>
                <w:sz w:val="18"/>
                <w:szCs w:val="18"/>
              </w:rPr>
            </w:pPr>
            <w:r w:rsidRPr="00A87C61">
              <w:rPr>
                <w:sz w:val="18"/>
                <w:szCs w:val="18"/>
              </w:rPr>
              <w:t>7,5</w:t>
            </w:r>
          </w:p>
        </w:tc>
        <w:tc>
          <w:tcPr>
            <w:tcW w:w="649" w:type="dxa"/>
            <w:tcBorders>
              <w:top w:val="single" w:sz="4" w:space="0" w:color="auto"/>
              <w:left w:val="single" w:sz="4" w:space="0" w:color="auto"/>
              <w:bottom w:val="single" w:sz="4" w:space="0" w:color="auto"/>
              <w:right w:val="single" w:sz="4" w:space="0" w:color="auto"/>
            </w:tcBorders>
            <w:vAlign w:val="center"/>
          </w:tcPr>
          <w:p w:rsidR="00A131AD" w:rsidRPr="00A87C61" w:rsidRDefault="00A131AD" w:rsidP="00A87C61">
            <w:pPr>
              <w:pStyle w:val="NoSpacing"/>
              <w:spacing w:line="276" w:lineRule="auto"/>
              <w:jc w:val="center"/>
              <w:rPr>
                <w:sz w:val="18"/>
                <w:szCs w:val="18"/>
              </w:rPr>
            </w:pPr>
            <w:r w:rsidRPr="00A87C61">
              <w:rPr>
                <w:sz w:val="18"/>
                <w:szCs w:val="18"/>
              </w:rPr>
              <w:t>1.888</w:t>
            </w:r>
          </w:p>
        </w:tc>
        <w:tc>
          <w:tcPr>
            <w:tcW w:w="648" w:type="dxa"/>
            <w:tcBorders>
              <w:top w:val="single" w:sz="4" w:space="0" w:color="auto"/>
              <w:left w:val="single" w:sz="4" w:space="0" w:color="auto"/>
              <w:bottom w:val="single" w:sz="4" w:space="0" w:color="auto"/>
              <w:right w:val="single" w:sz="4" w:space="0" w:color="auto"/>
            </w:tcBorders>
            <w:vAlign w:val="center"/>
          </w:tcPr>
          <w:p w:rsidR="00A131AD" w:rsidRPr="00A87C61" w:rsidRDefault="00A131AD" w:rsidP="00A87C61">
            <w:pPr>
              <w:pStyle w:val="NoSpacing"/>
              <w:spacing w:line="276" w:lineRule="auto"/>
              <w:jc w:val="center"/>
              <w:rPr>
                <w:sz w:val="18"/>
                <w:szCs w:val="18"/>
              </w:rPr>
            </w:pPr>
            <w:r w:rsidRPr="00A87C61">
              <w:rPr>
                <w:sz w:val="18"/>
                <w:szCs w:val="18"/>
              </w:rPr>
              <w:t>8,1</w:t>
            </w:r>
          </w:p>
        </w:tc>
        <w:tc>
          <w:tcPr>
            <w:tcW w:w="649" w:type="dxa"/>
            <w:tcBorders>
              <w:top w:val="single" w:sz="4" w:space="0" w:color="auto"/>
              <w:left w:val="single" w:sz="4" w:space="0" w:color="auto"/>
              <w:bottom w:val="single" w:sz="4" w:space="0" w:color="auto"/>
              <w:right w:val="single" w:sz="4" w:space="0" w:color="auto"/>
            </w:tcBorders>
            <w:vAlign w:val="center"/>
          </w:tcPr>
          <w:p w:rsidR="00A131AD" w:rsidRPr="00A87C61" w:rsidRDefault="00A131AD" w:rsidP="00A87C61">
            <w:pPr>
              <w:pStyle w:val="NoSpacing"/>
              <w:spacing w:line="276" w:lineRule="auto"/>
              <w:jc w:val="center"/>
              <w:rPr>
                <w:sz w:val="18"/>
                <w:szCs w:val="18"/>
              </w:rPr>
            </w:pPr>
            <w:r w:rsidRPr="00A87C61">
              <w:rPr>
                <w:sz w:val="18"/>
                <w:szCs w:val="18"/>
              </w:rPr>
              <w:t>1.768</w:t>
            </w:r>
          </w:p>
        </w:tc>
        <w:tc>
          <w:tcPr>
            <w:tcW w:w="649" w:type="dxa"/>
            <w:tcBorders>
              <w:top w:val="single" w:sz="4" w:space="0" w:color="auto"/>
              <w:left w:val="single" w:sz="4" w:space="0" w:color="auto"/>
              <w:bottom w:val="single" w:sz="4" w:space="0" w:color="auto"/>
              <w:right w:val="single" w:sz="4" w:space="0" w:color="auto"/>
            </w:tcBorders>
            <w:vAlign w:val="center"/>
          </w:tcPr>
          <w:p w:rsidR="00A131AD" w:rsidRPr="00A87C61" w:rsidRDefault="00A131AD" w:rsidP="00A87C61">
            <w:pPr>
              <w:pStyle w:val="NoSpacing"/>
              <w:spacing w:line="276" w:lineRule="auto"/>
              <w:jc w:val="center"/>
              <w:rPr>
                <w:sz w:val="18"/>
                <w:szCs w:val="18"/>
              </w:rPr>
            </w:pPr>
            <w:r w:rsidRPr="00A87C61">
              <w:rPr>
                <w:sz w:val="18"/>
                <w:szCs w:val="18"/>
              </w:rPr>
              <w:t>7,6</w:t>
            </w:r>
          </w:p>
        </w:tc>
      </w:tr>
      <w:tr w:rsidR="00A131AD" w:rsidRPr="00A87C61" w:rsidTr="00A87C61">
        <w:trPr>
          <w:gridAfter w:val="1"/>
          <w:wAfter w:w="6" w:type="dxa"/>
          <w:cantSplit/>
          <w:trHeight w:val="839"/>
        </w:trPr>
        <w:tc>
          <w:tcPr>
            <w:tcW w:w="1696" w:type="dxa"/>
            <w:tcBorders>
              <w:top w:val="single" w:sz="4" w:space="0" w:color="auto"/>
              <w:left w:val="single" w:sz="4" w:space="0" w:color="auto"/>
              <w:bottom w:val="single" w:sz="4" w:space="0" w:color="auto"/>
              <w:right w:val="single" w:sz="4" w:space="0" w:color="auto"/>
            </w:tcBorders>
          </w:tcPr>
          <w:p w:rsidR="00A131AD" w:rsidRPr="00A87C61" w:rsidRDefault="00A131AD" w:rsidP="00A87C61">
            <w:pPr>
              <w:pStyle w:val="NoSpacing"/>
              <w:spacing w:line="276" w:lineRule="auto"/>
              <w:rPr>
                <w:sz w:val="16"/>
                <w:szCs w:val="16"/>
              </w:rPr>
            </w:pPr>
            <w:r w:rsidRPr="00A87C61">
              <w:rPr>
                <w:sz w:val="16"/>
                <w:szCs w:val="16"/>
              </w:rPr>
              <w:t>Alkoholna oboljenja jetre (K70)</w:t>
            </w:r>
          </w:p>
        </w:tc>
        <w:tc>
          <w:tcPr>
            <w:tcW w:w="648" w:type="dxa"/>
            <w:tcBorders>
              <w:top w:val="single" w:sz="4" w:space="0" w:color="auto"/>
              <w:left w:val="single" w:sz="4" w:space="0" w:color="auto"/>
              <w:bottom w:val="single" w:sz="4" w:space="0" w:color="auto"/>
              <w:right w:val="single" w:sz="4" w:space="0" w:color="auto"/>
            </w:tcBorders>
            <w:vAlign w:val="center"/>
          </w:tcPr>
          <w:p w:rsidR="00A131AD" w:rsidRPr="00A87C61" w:rsidRDefault="00A131AD" w:rsidP="00A87C61">
            <w:pPr>
              <w:pStyle w:val="NoSpacing"/>
              <w:spacing w:line="276" w:lineRule="auto"/>
              <w:jc w:val="center"/>
              <w:rPr>
                <w:sz w:val="16"/>
                <w:szCs w:val="16"/>
              </w:rPr>
            </w:pPr>
            <w:r w:rsidRPr="00A87C61">
              <w:rPr>
                <w:sz w:val="16"/>
                <w:szCs w:val="16"/>
              </w:rPr>
              <w:t>958</w:t>
            </w:r>
          </w:p>
        </w:tc>
        <w:tc>
          <w:tcPr>
            <w:tcW w:w="649" w:type="dxa"/>
            <w:tcBorders>
              <w:top w:val="single" w:sz="4" w:space="0" w:color="auto"/>
              <w:left w:val="single" w:sz="4" w:space="0" w:color="auto"/>
              <w:bottom w:val="single" w:sz="4" w:space="0" w:color="auto"/>
              <w:right w:val="single" w:sz="4" w:space="0" w:color="auto"/>
            </w:tcBorders>
            <w:vAlign w:val="center"/>
          </w:tcPr>
          <w:p w:rsidR="00A131AD" w:rsidRPr="00A87C61" w:rsidRDefault="00A131AD" w:rsidP="00A87C61">
            <w:pPr>
              <w:pStyle w:val="NoSpacing"/>
              <w:spacing w:line="276" w:lineRule="auto"/>
              <w:jc w:val="center"/>
              <w:rPr>
                <w:sz w:val="18"/>
                <w:szCs w:val="18"/>
              </w:rPr>
            </w:pPr>
            <w:r w:rsidRPr="00A87C61">
              <w:rPr>
                <w:sz w:val="18"/>
                <w:szCs w:val="18"/>
              </w:rPr>
              <w:t>4,1</w:t>
            </w:r>
          </w:p>
        </w:tc>
        <w:tc>
          <w:tcPr>
            <w:tcW w:w="649" w:type="dxa"/>
            <w:tcBorders>
              <w:top w:val="single" w:sz="4" w:space="0" w:color="auto"/>
              <w:left w:val="single" w:sz="4" w:space="0" w:color="auto"/>
              <w:bottom w:val="single" w:sz="4" w:space="0" w:color="auto"/>
              <w:right w:val="single" w:sz="4" w:space="0" w:color="auto"/>
            </w:tcBorders>
            <w:vAlign w:val="center"/>
          </w:tcPr>
          <w:p w:rsidR="00A131AD" w:rsidRPr="00A87C61" w:rsidRDefault="00A131AD" w:rsidP="00A87C61">
            <w:pPr>
              <w:pStyle w:val="NoSpacing"/>
              <w:spacing w:line="276" w:lineRule="auto"/>
              <w:jc w:val="center"/>
              <w:rPr>
                <w:sz w:val="18"/>
                <w:szCs w:val="18"/>
              </w:rPr>
            </w:pPr>
            <w:r w:rsidRPr="00A87C61">
              <w:rPr>
                <w:sz w:val="18"/>
                <w:szCs w:val="18"/>
              </w:rPr>
              <w:t>1.033</w:t>
            </w:r>
          </w:p>
        </w:tc>
        <w:tc>
          <w:tcPr>
            <w:tcW w:w="648" w:type="dxa"/>
            <w:tcBorders>
              <w:top w:val="single" w:sz="4" w:space="0" w:color="auto"/>
              <w:left w:val="single" w:sz="4" w:space="0" w:color="auto"/>
              <w:bottom w:val="single" w:sz="4" w:space="0" w:color="auto"/>
              <w:right w:val="single" w:sz="4" w:space="0" w:color="auto"/>
            </w:tcBorders>
            <w:vAlign w:val="center"/>
          </w:tcPr>
          <w:p w:rsidR="00A131AD" w:rsidRPr="00A87C61" w:rsidRDefault="00A131AD" w:rsidP="00A87C61">
            <w:pPr>
              <w:pStyle w:val="NoSpacing"/>
              <w:spacing w:line="276" w:lineRule="auto"/>
              <w:jc w:val="center"/>
              <w:rPr>
                <w:sz w:val="18"/>
                <w:szCs w:val="18"/>
              </w:rPr>
            </w:pPr>
            <w:r w:rsidRPr="00A87C61">
              <w:rPr>
                <w:sz w:val="18"/>
                <w:szCs w:val="18"/>
              </w:rPr>
              <w:t>4,4</w:t>
            </w:r>
          </w:p>
        </w:tc>
        <w:tc>
          <w:tcPr>
            <w:tcW w:w="649" w:type="dxa"/>
            <w:tcBorders>
              <w:top w:val="single" w:sz="4" w:space="0" w:color="auto"/>
              <w:left w:val="single" w:sz="4" w:space="0" w:color="auto"/>
              <w:bottom w:val="single" w:sz="4" w:space="0" w:color="auto"/>
              <w:right w:val="single" w:sz="4" w:space="0" w:color="auto"/>
            </w:tcBorders>
            <w:vAlign w:val="center"/>
          </w:tcPr>
          <w:p w:rsidR="00A131AD" w:rsidRPr="00A87C61" w:rsidRDefault="00A87C61" w:rsidP="00A87C61">
            <w:pPr>
              <w:pStyle w:val="NoSpacing"/>
              <w:spacing w:line="276" w:lineRule="auto"/>
              <w:jc w:val="center"/>
              <w:rPr>
                <w:sz w:val="18"/>
                <w:szCs w:val="18"/>
              </w:rPr>
            </w:pPr>
            <w:r w:rsidRPr="00A87C61">
              <w:rPr>
                <w:sz w:val="18"/>
                <w:szCs w:val="18"/>
              </w:rPr>
              <w:t>861</w:t>
            </w:r>
          </w:p>
        </w:tc>
        <w:tc>
          <w:tcPr>
            <w:tcW w:w="649" w:type="dxa"/>
            <w:tcBorders>
              <w:top w:val="single" w:sz="4" w:space="0" w:color="auto"/>
              <w:left w:val="single" w:sz="4" w:space="0" w:color="auto"/>
              <w:bottom w:val="single" w:sz="4" w:space="0" w:color="auto"/>
              <w:right w:val="single" w:sz="4" w:space="0" w:color="auto"/>
            </w:tcBorders>
            <w:vAlign w:val="center"/>
          </w:tcPr>
          <w:p w:rsidR="00A131AD" w:rsidRPr="00A87C61" w:rsidRDefault="00A131AD" w:rsidP="00A87C61">
            <w:pPr>
              <w:pStyle w:val="NoSpacing"/>
              <w:spacing w:line="276" w:lineRule="auto"/>
              <w:jc w:val="center"/>
              <w:rPr>
                <w:sz w:val="18"/>
                <w:szCs w:val="18"/>
              </w:rPr>
            </w:pPr>
            <w:r w:rsidRPr="00A87C61">
              <w:rPr>
                <w:sz w:val="18"/>
                <w:szCs w:val="18"/>
              </w:rPr>
              <w:t>3,7</w:t>
            </w:r>
          </w:p>
        </w:tc>
        <w:tc>
          <w:tcPr>
            <w:tcW w:w="648" w:type="dxa"/>
            <w:tcBorders>
              <w:top w:val="single" w:sz="4" w:space="0" w:color="auto"/>
              <w:left w:val="single" w:sz="4" w:space="0" w:color="auto"/>
              <w:bottom w:val="single" w:sz="4" w:space="0" w:color="auto"/>
              <w:right w:val="single" w:sz="4" w:space="0" w:color="auto"/>
            </w:tcBorders>
            <w:vAlign w:val="center"/>
          </w:tcPr>
          <w:p w:rsidR="00A131AD" w:rsidRPr="00A87C61" w:rsidRDefault="00A131AD" w:rsidP="00A87C61">
            <w:pPr>
              <w:pStyle w:val="NoSpacing"/>
              <w:spacing w:line="276" w:lineRule="auto"/>
              <w:jc w:val="center"/>
              <w:rPr>
                <w:sz w:val="18"/>
                <w:szCs w:val="18"/>
              </w:rPr>
            </w:pPr>
            <w:r w:rsidRPr="00A87C61">
              <w:rPr>
                <w:sz w:val="18"/>
                <w:szCs w:val="18"/>
              </w:rPr>
              <w:t>1.070</w:t>
            </w:r>
          </w:p>
        </w:tc>
        <w:tc>
          <w:tcPr>
            <w:tcW w:w="649" w:type="dxa"/>
            <w:tcBorders>
              <w:top w:val="single" w:sz="4" w:space="0" w:color="auto"/>
              <w:left w:val="single" w:sz="4" w:space="0" w:color="auto"/>
              <w:bottom w:val="single" w:sz="4" w:space="0" w:color="auto"/>
              <w:right w:val="single" w:sz="4" w:space="0" w:color="auto"/>
            </w:tcBorders>
            <w:vAlign w:val="center"/>
          </w:tcPr>
          <w:p w:rsidR="00A131AD" w:rsidRPr="00A87C61" w:rsidRDefault="00A131AD" w:rsidP="00A87C61">
            <w:pPr>
              <w:pStyle w:val="NoSpacing"/>
              <w:spacing w:line="276" w:lineRule="auto"/>
              <w:jc w:val="center"/>
              <w:rPr>
                <w:sz w:val="18"/>
                <w:szCs w:val="18"/>
              </w:rPr>
            </w:pPr>
            <w:r w:rsidRPr="00A87C61">
              <w:rPr>
                <w:sz w:val="18"/>
                <w:szCs w:val="18"/>
              </w:rPr>
              <w:t>4,6</w:t>
            </w:r>
          </w:p>
        </w:tc>
        <w:tc>
          <w:tcPr>
            <w:tcW w:w="649" w:type="dxa"/>
            <w:tcBorders>
              <w:top w:val="single" w:sz="4" w:space="0" w:color="auto"/>
              <w:left w:val="single" w:sz="4" w:space="0" w:color="auto"/>
              <w:bottom w:val="single" w:sz="4" w:space="0" w:color="auto"/>
              <w:right w:val="single" w:sz="4" w:space="0" w:color="auto"/>
            </w:tcBorders>
            <w:vAlign w:val="center"/>
          </w:tcPr>
          <w:p w:rsidR="00A131AD" w:rsidRPr="00A87C61" w:rsidRDefault="00A131AD" w:rsidP="00A87C61">
            <w:pPr>
              <w:pStyle w:val="NoSpacing"/>
              <w:spacing w:line="276" w:lineRule="auto"/>
              <w:jc w:val="center"/>
              <w:rPr>
                <w:sz w:val="18"/>
                <w:szCs w:val="18"/>
              </w:rPr>
            </w:pPr>
            <w:r w:rsidRPr="00A87C61">
              <w:rPr>
                <w:sz w:val="18"/>
                <w:szCs w:val="18"/>
              </w:rPr>
              <w:t>800</w:t>
            </w:r>
          </w:p>
        </w:tc>
        <w:tc>
          <w:tcPr>
            <w:tcW w:w="648" w:type="dxa"/>
            <w:tcBorders>
              <w:top w:val="single" w:sz="4" w:space="0" w:color="auto"/>
              <w:left w:val="single" w:sz="4" w:space="0" w:color="auto"/>
              <w:bottom w:val="single" w:sz="4" w:space="0" w:color="auto"/>
              <w:right w:val="single" w:sz="4" w:space="0" w:color="auto"/>
            </w:tcBorders>
            <w:vAlign w:val="center"/>
          </w:tcPr>
          <w:p w:rsidR="00A131AD" w:rsidRPr="00A87C61" w:rsidRDefault="00A131AD" w:rsidP="00A87C61">
            <w:pPr>
              <w:pStyle w:val="NoSpacing"/>
              <w:spacing w:line="276" w:lineRule="auto"/>
              <w:jc w:val="center"/>
              <w:rPr>
                <w:sz w:val="18"/>
                <w:szCs w:val="18"/>
              </w:rPr>
            </w:pPr>
            <w:r w:rsidRPr="00A87C61">
              <w:rPr>
                <w:sz w:val="18"/>
                <w:szCs w:val="18"/>
              </w:rPr>
              <w:t>3,4</w:t>
            </w:r>
          </w:p>
        </w:tc>
        <w:tc>
          <w:tcPr>
            <w:tcW w:w="649" w:type="dxa"/>
            <w:tcBorders>
              <w:top w:val="single" w:sz="4" w:space="0" w:color="auto"/>
              <w:left w:val="single" w:sz="4" w:space="0" w:color="auto"/>
              <w:bottom w:val="single" w:sz="4" w:space="0" w:color="auto"/>
              <w:right w:val="single" w:sz="4" w:space="0" w:color="auto"/>
            </w:tcBorders>
            <w:vAlign w:val="center"/>
          </w:tcPr>
          <w:p w:rsidR="00A131AD" w:rsidRPr="00A87C61" w:rsidRDefault="00A131AD" w:rsidP="00A87C61">
            <w:pPr>
              <w:pStyle w:val="NoSpacing"/>
              <w:spacing w:line="276" w:lineRule="auto"/>
              <w:jc w:val="center"/>
              <w:rPr>
                <w:sz w:val="18"/>
                <w:szCs w:val="18"/>
              </w:rPr>
            </w:pPr>
          </w:p>
          <w:p w:rsidR="00A131AD" w:rsidRPr="00A87C61" w:rsidRDefault="00A131AD" w:rsidP="00A87C61">
            <w:pPr>
              <w:pStyle w:val="NoSpacing"/>
              <w:spacing w:line="276" w:lineRule="auto"/>
              <w:jc w:val="center"/>
              <w:rPr>
                <w:sz w:val="18"/>
                <w:szCs w:val="18"/>
              </w:rPr>
            </w:pPr>
            <w:r w:rsidRPr="00A87C61">
              <w:rPr>
                <w:sz w:val="18"/>
                <w:szCs w:val="18"/>
              </w:rPr>
              <w:t>601</w:t>
            </w:r>
          </w:p>
          <w:p w:rsidR="00A131AD" w:rsidRPr="00A87C61" w:rsidRDefault="00A131AD" w:rsidP="00A87C61">
            <w:pPr>
              <w:pStyle w:val="NoSpacing"/>
              <w:spacing w:line="276" w:lineRule="auto"/>
              <w:jc w:val="center"/>
              <w:rPr>
                <w:sz w:val="18"/>
                <w:szCs w:val="18"/>
              </w:rPr>
            </w:pPr>
          </w:p>
        </w:tc>
        <w:tc>
          <w:tcPr>
            <w:tcW w:w="649" w:type="dxa"/>
            <w:tcBorders>
              <w:top w:val="single" w:sz="4" w:space="0" w:color="auto"/>
              <w:left w:val="single" w:sz="4" w:space="0" w:color="auto"/>
              <w:bottom w:val="single" w:sz="4" w:space="0" w:color="auto"/>
              <w:right w:val="single" w:sz="4" w:space="0" w:color="auto"/>
            </w:tcBorders>
            <w:vAlign w:val="center"/>
          </w:tcPr>
          <w:p w:rsidR="00A131AD" w:rsidRPr="00A87C61" w:rsidRDefault="00A131AD" w:rsidP="00A87C61">
            <w:pPr>
              <w:pStyle w:val="NoSpacing"/>
              <w:spacing w:line="276" w:lineRule="auto"/>
              <w:jc w:val="center"/>
              <w:rPr>
                <w:sz w:val="18"/>
                <w:szCs w:val="18"/>
              </w:rPr>
            </w:pPr>
            <w:r w:rsidRPr="00A87C61">
              <w:rPr>
                <w:sz w:val="18"/>
                <w:szCs w:val="18"/>
              </w:rPr>
              <w:t>2,6</w:t>
            </w:r>
          </w:p>
        </w:tc>
      </w:tr>
    </w:tbl>
    <w:p w:rsidR="00A131AD" w:rsidRPr="00DE2289" w:rsidRDefault="00A131AD" w:rsidP="000C0138">
      <w:pPr>
        <w:tabs>
          <w:tab w:val="left" w:pos="9096"/>
        </w:tabs>
        <w:spacing w:line="276" w:lineRule="auto"/>
        <w:rPr>
          <w:rFonts w:ascii="Times New Roman" w:hAnsi="Times New Roman"/>
          <w:sz w:val="20"/>
          <w:szCs w:val="20"/>
        </w:rPr>
      </w:pPr>
      <w:r w:rsidRPr="00DE2289">
        <w:rPr>
          <w:rFonts w:ascii="Times New Roman" w:hAnsi="Times New Roman"/>
          <w:sz w:val="20"/>
          <w:szCs w:val="20"/>
        </w:rPr>
        <w:t>Izvor podataka: Izvješ</w:t>
      </w:r>
      <w:r w:rsidR="00CE0186">
        <w:rPr>
          <w:rFonts w:ascii="Times New Roman" w:hAnsi="Times New Roman"/>
          <w:sz w:val="20"/>
          <w:szCs w:val="20"/>
        </w:rPr>
        <w:t>će</w:t>
      </w:r>
      <w:r w:rsidRPr="00DE2289">
        <w:rPr>
          <w:rFonts w:ascii="Times New Roman" w:hAnsi="Times New Roman"/>
          <w:sz w:val="20"/>
          <w:szCs w:val="20"/>
        </w:rPr>
        <w:t xml:space="preserve"> oboljenja, stanja i </w:t>
      </w:r>
      <w:r w:rsidR="00FE3B0D">
        <w:rPr>
          <w:rFonts w:ascii="Times New Roman" w:hAnsi="Times New Roman"/>
          <w:sz w:val="20"/>
          <w:szCs w:val="20"/>
        </w:rPr>
        <w:t>ozljeda</w:t>
      </w:r>
      <w:r w:rsidRPr="00DE2289">
        <w:rPr>
          <w:rFonts w:ascii="Times New Roman" w:hAnsi="Times New Roman"/>
          <w:sz w:val="20"/>
          <w:szCs w:val="20"/>
        </w:rPr>
        <w:t xml:space="preserve"> utvrđeni</w:t>
      </w:r>
      <w:r w:rsidR="00FE3B0D">
        <w:rPr>
          <w:rFonts w:ascii="Times New Roman" w:hAnsi="Times New Roman"/>
          <w:sz w:val="20"/>
          <w:szCs w:val="20"/>
        </w:rPr>
        <w:t>h</w:t>
      </w:r>
      <w:r w:rsidRPr="00DE2289">
        <w:rPr>
          <w:rFonts w:ascii="Times New Roman" w:hAnsi="Times New Roman"/>
          <w:sz w:val="20"/>
          <w:szCs w:val="20"/>
        </w:rPr>
        <w:t xml:space="preserve"> u ambulantno-polikliničkoj djelatnosti</w:t>
      </w:r>
    </w:p>
    <w:p w:rsidR="00A131AD" w:rsidRDefault="00A131AD" w:rsidP="000C0138">
      <w:pPr>
        <w:spacing w:line="276" w:lineRule="auto"/>
        <w:rPr>
          <w:rFonts w:ascii="Times New Roman" w:hAnsi="Times New Roman"/>
        </w:rPr>
      </w:pPr>
    </w:p>
    <w:p w:rsidR="00A131AD" w:rsidRPr="00155F80" w:rsidRDefault="00A131AD" w:rsidP="000C0138">
      <w:pPr>
        <w:spacing w:line="276" w:lineRule="auto"/>
        <w:rPr>
          <w:rFonts w:ascii="Times New Roman" w:hAnsi="Times New Roman"/>
          <w:b/>
          <w:lang w:val="en-US"/>
        </w:rPr>
      </w:pPr>
      <w:r w:rsidRPr="00155F80">
        <w:rPr>
          <w:rFonts w:ascii="Times New Roman" w:eastAsia="Arial" w:hAnsi="Times New Roman"/>
          <w:b/>
          <w:color w:val="000000"/>
        </w:rPr>
        <w:t>Konzumacija opojnih droga</w:t>
      </w:r>
    </w:p>
    <w:p w:rsidR="00A131AD" w:rsidRPr="00155F80" w:rsidRDefault="00A131AD" w:rsidP="00250204">
      <w:pPr>
        <w:pStyle w:val="TEKST"/>
        <w:rPr>
          <w:rFonts w:eastAsia="Arial"/>
          <w:i/>
        </w:rPr>
      </w:pPr>
      <w:r w:rsidRPr="00155F80">
        <w:rPr>
          <w:rFonts w:eastAsia="Arial"/>
        </w:rPr>
        <w:t>Konzumacija</w:t>
      </w:r>
      <w:r w:rsidR="00A56E47">
        <w:rPr>
          <w:rFonts w:eastAsia="Arial"/>
        </w:rPr>
        <w:t xml:space="preserve"> </w:t>
      </w:r>
      <w:r w:rsidRPr="00155F80">
        <w:rPr>
          <w:rFonts w:eastAsia="Arial"/>
        </w:rPr>
        <w:t>opojnih droga, te bolest ovisnosti o drogama kao njena posljedica, pogađaju sve društvene slojeve, zajednice i zemlje. Prate je i zarazne bolesti poput HIV-a, hepatitisa i spolno prenosivih bolesti, što nanosi ogromnu štetu, kako pojedincu, tako i obitelji, te cijeloj zajednici.</w:t>
      </w:r>
    </w:p>
    <w:p w:rsidR="00A131AD" w:rsidRPr="00155F80" w:rsidRDefault="00A131AD" w:rsidP="00250204">
      <w:pPr>
        <w:pStyle w:val="TEKST"/>
        <w:rPr>
          <w:i/>
        </w:rPr>
      </w:pPr>
      <w:r w:rsidRPr="00155F80">
        <w:lastRenderedPageBreak/>
        <w:t xml:space="preserve">Za procjenu korištenja opojnih sredstava na području Federacije BiH, posljednji </w:t>
      </w:r>
      <w:r w:rsidRPr="00155F80">
        <w:rPr>
          <w:rFonts w:eastAsia="Arial"/>
        </w:rPr>
        <w:t>dostupni su poda</w:t>
      </w:r>
      <w:r w:rsidR="00A56E47">
        <w:rPr>
          <w:rFonts w:eastAsia="Arial"/>
        </w:rPr>
        <w:t>t</w:t>
      </w:r>
      <w:r w:rsidRPr="00155F80">
        <w:rPr>
          <w:rFonts w:eastAsia="Arial"/>
        </w:rPr>
        <w:t xml:space="preserve">ci iz istraživanja koje je rađeno </w:t>
      </w:r>
      <w:r w:rsidRPr="00155F80">
        <w:t xml:space="preserve">kao dodatak MICS4 istraživanju, kojom prilikom je korišten upitnik Europskog centra za praćenje droga i ovisnosti o drogama (EMCDDA), a primijenjena je metodologija samopopunjavanja. Anketirano je 6.177 ispitanika starosti 15-49 godina oba spola. </w:t>
      </w:r>
    </w:p>
    <w:p w:rsidR="009A5B2B" w:rsidRDefault="00A131AD" w:rsidP="00250204">
      <w:pPr>
        <w:pStyle w:val="TEKST"/>
      </w:pPr>
      <w:r w:rsidRPr="00155F80">
        <w:t>Prema rezultatima istraživanja u FBiH je 3,8% odraslog stanovništva probalo neku psihoaktivnu supstancu bilo kada tijekom života, od toga 6,8% muškaraca i 0,9% žena. Psihoaktivne supstance probalo je najviše ispitanika starosti od 25 do 29 godine života (9,3%), a najmanje stanovnika iz skupine od 40 d</w:t>
      </w:r>
      <w:r w:rsidR="003230A0" w:rsidRPr="00155F80">
        <w:t>o 49 godina života.</w:t>
      </w:r>
    </w:p>
    <w:p w:rsidR="00B37E7E" w:rsidRPr="00155F80" w:rsidRDefault="00B37E7E" w:rsidP="00250204">
      <w:pPr>
        <w:pStyle w:val="TEKST"/>
      </w:pPr>
    </w:p>
    <w:p w:rsidR="00A131AD" w:rsidRPr="00155F80" w:rsidRDefault="00A131AD" w:rsidP="00B37E7E">
      <w:pPr>
        <w:pStyle w:val="refererere"/>
      </w:pPr>
      <w:r w:rsidRPr="00155F80">
        <w:t>Grafikon  84: P</w:t>
      </w:r>
      <w:r w:rsidR="00A56E47">
        <w:t>rocenat</w:t>
      </w:r>
      <w:r w:rsidRPr="00155F80">
        <w:t xml:space="preserve"> ispitanika starosti 15-49 godina koji su koristili droge bilo kada u životu,  prema spolu i starosti</w:t>
      </w:r>
    </w:p>
    <w:p w:rsidR="00A131AD" w:rsidRPr="00155F80" w:rsidRDefault="00A131AD" w:rsidP="000C0138">
      <w:pPr>
        <w:spacing w:line="276" w:lineRule="auto"/>
        <w:rPr>
          <w:rFonts w:ascii="Times New Roman" w:hAnsi="Times New Roman"/>
        </w:rPr>
      </w:pPr>
      <w:r w:rsidRPr="00155F80">
        <w:rPr>
          <w:rFonts w:ascii="Times New Roman" w:hAnsi="Times New Roman"/>
          <w:noProof/>
          <w:lang w:val="bs-Latn-BA" w:eastAsia="bs-Latn-BA"/>
        </w:rPr>
        <w:drawing>
          <wp:inline distT="0" distB="0" distL="0" distR="0" wp14:anchorId="36D56E08" wp14:editId="34EB09A4">
            <wp:extent cx="5591810" cy="1789044"/>
            <wp:effectExtent l="0" t="0" r="8890" b="1905"/>
            <wp:docPr id="41" name="Chart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rsidR="00A131AD" w:rsidRPr="00A87C61" w:rsidRDefault="00A131AD" w:rsidP="00A87C61">
      <w:pPr>
        <w:spacing w:line="276" w:lineRule="auto"/>
        <w:rPr>
          <w:rFonts w:ascii="Times New Roman" w:hAnsi="Times New Roman"/>
          <w:lang w:val="bs-Latn-BA"/>
        </w:rPr>
      </w:pPr>
      <w:r w:rsidRPr="00155F80">
        <w:rPr>
          <w:rFonts w:ascii="Times New Roman" w:hAnsi="Times New Roman"/>
        </w:rPr>
        <w:t>Izvor</w:t>
      </w:r>
      <w:r w:rsidRPr="00155F80">
        <w:rPr>
          <w:rFonts w:ascii="Times New Roman" w:hAnsi="Times New Roman"/>
          <w:lang w:val="bs-Latn-BA"/>
        </w:rPr>
        <w:t xml:space="preserve">: </w:t>
      </w:r>
      <w:r w:rsidRPr="00155F80">
        <w:rPr>
          <w:rFonts w:ascii="Times New Roman" w:hAnsi="Times New Roman"/>
        </w:rPr>
        <w:t>Istra</w:t>
      </w:r>
      <w:r w:rsidRPr="00155F80">
        <w:rPr>
          <w:rFonts w:ascii="Times New Roman" w:hAnsi="Times New Roman"/>
          <w:lang w:val="bs-Latn-BA"/>
        </w:rPr>
        <w:t>ž</w:t>
      </w:r>
      <w:r w:rsidRPr="00155F80">
        <w:rPr>
          <w:rFonts w:ascii="Times New Roman" w:hAnsi="Times New Roman"/>
        </w:rPr>
        <w:t>ivanje</w:t>
      </w:r>
      <w:r w:rsidRPr="00155F80">
        <w:rPr>
          <w:rFonts w:ascii="Times New Roman" w:hAnsi="Times New Roman"/>
          <w:lang w:val="bs-Latn-BA"/>
        </w:rPr>
        <w:t xml:space="preserve"> </w:t>
      </w:r>
      <w:r w:rsidRPr="00155F80">
        <w:rPr>
          <w:rFonts w:ascii="Times New Roman" w:hAnsi="Times New Roman"/>
        </w:rPr>
        <w:t>vi</w:t>
      </w:r>
      <w:r w:rsidRPr="00155F80">
        <w:rPr>
          <w:rFonts w:ascii="Times New Roman" w:hAnsi="Times New Roman"/>
          <w:lang w:val="bs-Latn-BA"/>
        </w:rPr>
        <w:t>š</w:t>
      </w:r>
      <w:r w:rsidRPr="00155F80">
        <w:rPr>
          <w:rFonts w:ascii="Times New Roman" w:hAnsi="Times New Roman"/>
        </w:rPr>
        <w:t>estrukih</w:t>
      </w:r>
      <w:r w:rsidRPr="00155F80">
        <w:rPr>
          <w:rFonts w:ascii="Times New Roman" w:hAnsi="Times New Roman"/>
          <w:lang w:val="bs-Latn-BA"/>
        </w:rPr>
        <w:t xml:space="preserve"> </w:t>
      </w:r>
      <w:r w:rsidRPr="00155F80">
        <w:rPr>
          <w:rFonts w:ascii="Times New Roman" w:hAnsi="Times New Roman"/>
        </w:rPr>
        <w:t>pokazatelja</w:t>
      </w:r>
      <w:r w:rsidRPr="00155F80">
        <w:rPr>
          <w:rFonts w:ascii="Times New Roman" w:hAnsi="Times New Roman"/>
          <w:lang w:val="bs-Latn-BA"/>
        </w:rPr>
        <w:t xml:space="preserve"> </w:t>
      </w:r>
      <w:r w:rsidRPr="00155F80">
        <w:rPr>
          <w:rFonts w:ascii="Times New Roman" w:hAnsi="Times New Roman"/>
        </w:rPr>
        <w:t>u</w:t>
      </w:r>
      <w:r w:rsidRPr="00155F80">
        <w:rPr>
          <w:rFonts w:ascii="Times New Roman" w:hAnsi="Times New Roman"/>
          <w:lang w:val="bs-Latn-BA"/>
        </w:rPr>
        <w:t xml:space="preserve"> </w:t>
      </w:r>
      <w:r w:rsidRPr="00155F80">
        <w:rPr>
          <w:rFonts w:ascii="Times New Roman" w:hAnsi="Times New Roman"/>
        </w:rPr>
        <w:t>Federaciji</w:t>
      </w:r>
      <w:r w:rsidRPr="00155F80">
        <w:rPr>
          <w:rFonts w:ascii="Times New Roman" w:hAnsi="Times New Roman"/>
          <w:lang w:val="bs-Latn-BA"/>
        </w:rPr>
        <w:t xml:space="preserve"> </w:t>
      </w:r>
      <w:r w:rsidRPr="00155F80">
        <w:rPr>
          <w:rFonts w:ascii="Times New Roman" w:hAnsi="Times New Roman"/>
        </w:rPr>
        <w:t>BiH</w:t>
      </w:r>
      <w:r w:rsidRPr="00155F80">
        <w:rPr>
          <w:rFonts w:ascii="Times New Roman" w:hAnsi="Times New Roman"/>
          <w:lang w:val="bs-Latn-BA"/>
        </w:rPr>
        <w:t xml:space="preserve">, </w:t>
      </w:r>
      <w:r w:rsidRPr="00155F80">
        <w:rPr>
          <w:rFonts w:ascii="Times New Roman" w:hAnsi="Times New Roman"/>
        </w:rPr>
        <w:t>MIC</w:t>
      </w:r>
      <w:r w:rsidRPr="00155F80">
        <w:rPr>
          <w:rFonts w:ascii="Times New Roman" w:hAnsi="Times New Roman"/>
          <w:lang w:val="bs-Latn-BA"/>
        </w:rPr>
        <w:t xml:space="preserve">4, 2011.-2012. </w:t>
      </w:r>
      <w:r w:rsidRPr="00155F80">
        <w:rPr>
          <w:rFonts w:ascii="Times New Roman" w:hAnsi="Times New Roman"/>
        </w:rPr>
        <w:t>god</w:t>
      </w:r>
      <w:r w:rsidR="00A87C61">
        <w:rPr>
          <w:rFonts w:ascii="Times New Roman" w:hAnsi="Times New Roman"/>
          <w:lang w:val="bs-Latn-BA"/>
        </w:rPr>
        <w:t xml:space="preserve">. </w:t>
      </w:r>
    </w:p>
    <w:p w:rsidR="00B37E7E" w:rsidRPr="00A87C61" w:rsidRDefault="00A131AD" w:rsidP="00250204">
      <w:pPr>
        <w:pStyle w:val="TEKST"/>
        <w:rPr>
          <w:color w:val="00B0F0"/>
        </w:rPr>
      </w:pPr>
      <w:r w:rsidRPr="00155F80">
        <w:t>Isto istraživanje je pokazalo da je među ispitanicima koji su koristili droge u posljednjih 12 mjeseci najčešće korišten kanabis/marihuana (38,2%), zatim amfetamin (3,9%), ekstazi (0,9%), LSD (0,5%), kokain (0,2%), te da su ih ispitanici muškog spola češće konzumirali nego žene.</w:t>
      </w:r>
      <w:r w:rsidR="00BD4229" w:rsidRPr="00155F80">
        <w:rPr>
          <w:color w:val="00B0F0"/>
        </w:rPr>
        <w:t xml:space="preserve"> </w:t>
      </w:r>
    </w:p>
    <w:p w:rsidR="00A131AD" w:rsidRPr="00155F80" w:rsidRDefault="00A131AD" w:rsidP="00B37E7E">
      <w:pPr>
        <w:pStyle w:val="refererere"/>
      </w:pPr>
      <w:r w:rsidRPr="00155F80">
        <w:t>Grafikon 85: P</w:t>
      </w:r>
      <w:r w:rsidR="00A56E47">
        <w:t>rocenat</w:t>
      </w:r>
      <w:r w:rsidRPr="00155F80">
        <w:t xml:space="preserve"> ispitanika starosti 15-49 godina koji su koristili droge posljednjih 12 mjeseci, prema vrsti i spolu </w:t>
      </w:r>
    </w:p>
    <w:p w:rsidR="00A131AD" w:rsidRPr="00155F80" w:rsidRDefault="00A131AD" w:rsidP="000C0138">
      <w:pPr>
        <w:spacing w:line="276" w:lineRule="auto"/>
        <w:rPr>
          <w:rFonts w:ascii="Times New Roman" w:hAnsi="Times New Roman"/>
        </w:rPr>
      </w:pPr>
      <w:r w:rsidRPr="00155F80">
        <w:rPr>
          <w:rFonts w:ascii="Times New Roman" w:hAnsi="Times New Roman"/>
          <w:noProof/>
          <w:lang w:val="bs-Latn-BA" w:eastAsia="bs-Latn-BA"/>
        </w:rPr>
        <w:drawing>
          <wp:inline distT="0" distB="0" distL="0" distR="0" wp14:anchorId="37DD9F29" wp14:editId="4C2FC5C7">
            <wp:extent cx="5750560" cy="2560320"/>
            <wp:effectExtent l="0" t="0" r="2540" b="11430"/>
            <wp:docPr id="42" name="Chart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rsidR="00A131AD" w:rsidRPr="00155F80" w:rsidRDefault="00A131AD" w:rsidP="000C0138">
      <w:pPr>
        <w:spacing w:line="276" w:lineRule="auto"/>
        <w:rPr>
          <w:rFonts w:ascii="Times New Roman" w:hAnsi="Times New Roman"/>
          <w:lang w:val="bs-Latn-BA"/>
        </w:rPr>
      </w:pPr>
      <w:r w:rsidRPr="00155F80">
        <w:rPr>
          <w:rFonts w:ascii="Times New Roman" w:hAnsi="Times New Roman"/>
        </w:rPr>
        <w:t>Izvor</w:t>
      </w:r>
      <w:r w:rsidRPr="00155F80">
        <w:rPr>
          <w:rFonts w:ascii="Times New Roman" w:hAnsi="Times New Roman"/>
          <w:lang w:val="bs-Latn-BA"/>
        </w:rPr>
        <w:t xml:space="preserve">: </w:t>
      </w:r>
      <w:r w:rsidRPr="00155F80">
        <w:rPr>
          <w:rFonts w:ascii="Times New Roman" w:hAnsi="Times New Roman"/>
        </w:rPr>
        <w:t>Istra</w:t>
      </w:r>
      <w:r w:rsidRPr="00155F80">
        <w:rPr>
          <w:rFonts w:ascii="Times New Roman" w:hAnsi="Times New Roman"/>
          <w:lang w:val="bs-Latn-BA"/>
        </w:rPr>
        <w:t>ž</w:t>
      </w:r>
      <w:r w:rsidRPr="00155F80">
        <w:rPr>
          <w:rFonts w:ascii="Times New Roman" w:hAnsi="Times New Roman"/>
        </w:rPr>
        <w:t>ivanje</w:t>
      </w:r>
      <w:r w:rsidRPr="00155F80">
        <w:rPr>
          <w:rFonts w:ascii="Times New Roman" w:hAnsi="Times New Roman"/>
          <w:lang w:val="bs-Latn-BA"/>
        </w:rPr>
        <w:t xml:space="preserve"> </w:t>
      </w:r>
      <w:r w:rsidRPr="00155F80">
        <w:rPr>
          <w:rFonts w:ascii="Times New Roman" w:hAnsi="Times New Roman"/>
        </w:rPr>
        <w:t>vi</w:t>
      </w:r>
      <w:r w:rsidRPr="00155F80">
        <w:rPr>
          <w:rFonts w:ascii="Times New Roman" w:hAnsi="Times New Roman"/>
          <w:lang w:val="bs-Latn-BA"/>
        </w:rPr>
        <w:t>š</w:t>
      </w:r>
      <w:r w:rsidRPr="00155F80">
        <w:rPr>
          <w:rFonts w:ascii="Times New Roman" w:hAnsi="Times New Roman"/>
        </w:rPr>
        <w:t>estrukih</w:t>
      </w:r>
      <w:r w:rsidRPr="00155F80">
        <w:rPr>
          <w:rFonts w:ascii="Times New Roman" w:hAnsi="Times New Roman"/>
          <w:lang w:val="bs-Latn-BA"/>
        </w:rPr>
        <w:t xml:space="preserve"> </w:t>
      </w:r>
      <w:r w:rsidRPr="00155F80">
        <w:rPr>
          <w:rFonts w:ascii="Times New Roman" w:hAnsi="Times New Roman"/>
        </w:rPr>
        <w:t>pokazatelja</w:t>
      </w:r>
      <w:r w:rsidRPr="00155F80">
        <w:rPr>
          <w:rFonts w:ascii="Times New Roman" w:hAnsi="Times New Roman"/>
          <w:lang w:val="bs-Latn-BA"/>
        </w:rPr>
        <w:t xml:space="preserve"> </w:t>
      </w:r>
      <w:r w:rsidRPr="00155F80">
        <w:rPr>
          <w:rFonts w:ascii="Times New Roman" w:hAnsi="Times New Roman"/>
        </w:rPr>
        <w:t>u</w:t>
      </w:r>
      <w:r w:rsidRPr="00155F80">
        <w:rPr>
          <w:rFonts w:ascii="Times New Roman" w:hAnsi="Times New Roman"/>
          <w:lang w:val="bs-Latn-BA"/>
        </w:rPr>
        <w:t xml:space="preserve"> </w:t>
      </w:r>
      <w:r w:rsidRPr="00155F80">
        <w:rPr>
          <w:rFonts w:ascii="Times New Roman" w:hAnsi="Times New Roman"/>
        </w:rPr>
        <w:t>Federaciji</w:t>
      </w:r>
      <w:r w:rsidRPr="00155F80">
        <w:rPr>
          <w:rFonts w:ascii="Times New Roman" w:hAnsi="Times New Roman"/>
          <w:lang w:val="bs-Latn-BA"/>
        </w:rPr>
        <w:t xml:space="preserve"> </w:t>
      </w:r>
      <w:r w:rsidRPr="00155F80">
        <w:rPr>
          <w:rFonts w:ascii="Times New Roman" w:hAnsi="Times New Roman"/>
        </w:rPr>
        <w:t>BiH</w:t>
      </w:r>
      <w:r w:rsidRPr="00155F80">
        <w:rPr>
          <w:rFonts w:ascii="Times New Roman" w:hAnsi="Times New Roman"/>
          <w:lang w:val="bs-Latn-BA"/>
        </w:rPr>
        <w:t xml:space="preserve">, </w:t>
      </w:r>
      <w:r w:rsidRPr="00155F80">
        <w:rPr>
          <w:rFonts w:ascii="Times New Roman" w:hAnsi="Times New Roman"/>
        </w:rPr>
        <w:t>MIC</w:t>
      </w:r>
      <w:r w:rsidRPr="00155F80">
        <w:rPr>
          <w:rFonts w:ascii="Times New Roman" w:hAnsi="Times New Roman"/>
          <w:lang w:val="bs-Latn-BA"/>
        </w:rPr>
        <w:t xml:space="preserve">4, 2011.-2012. </w:t>
      </w:r>
      <w:r w:rsidRPr="00155F80">
        <w:rPr>
          <w:rFonts w:ascii="Times New Roman" w:hAnsi="Times New Roman"/>
        </w:rPr>
        <w:t>god</w:t>
      </w:r>
      <w:r w:rsidRPr="00155F80">
        <w:rPr>
          <w:rFonts w:ascii="Times New Roman" w:hAnsi="Times New Roman"/>
          <w:lang w:val="bs-Latn-BA"/>
        </w:rPr>
        <w:t xml:space="preserve">. </w:t>
      </w:r>
    </w:p>
    <w:p w:rsidR="00A131AD" w:rsidRPr="00155F80" w:rsidRDefault="00A131AD" w:rsidP="000C0138">
      <w:pPr>
        <w:spacing w:line="276" w:lineRule="auto"/>
        <w:rPr>
          <w:rFonts w:ascii="Times New Roman" w:hAnsi="Times New Roman"/>
          <w:b/>
          <w:bCs/>
          <w:iCs/>
          <w:color w:val="000000"/>
          <w:lang w:val="bs-Latn-BA"/>
        </w:rPr>
      </w:pPr>
    </w:p>
    <w:p w:rsidR="00BD4229" w:rsidRPr="00DA3256" w:rsidRDefault="00BD4229" w:rsidP="000C0138">
      <w:pPr>
        <w:spacing w:line="276" w:lineRule="auto"/>
        <w:rPr>
          <w:rFonts w:ascii="Times New Roman" w:hAnsi="Times New Roman"/>
          <w:b/>
        </w:rPr>
      </w:pPr>
      <w:r w:rsidRPr="00DA3256">
        <w:rPr>
          <w:rFonts w:ascii="Times New Roman" w:hAnsi="Times New Roman"/>
        </w:rPr>
        <w:t>Prema poda</w:t>
      </w:r>
      <w:r w:rsidR="00A56E47">
        <w:rPr>
          <w:rFonts w:ascii="Times New Roman" w:hAnsi="Times New Roman"/>
        </w:rPr>
        <w:t>t</w:t>
      </w:r>
      <w:r w:rsidRPr="00DA3256">
        <w:rPr>
          <w:rFonts w:ascii="Times New Roman" w:hAnsi="Times New Roman"/>
        </w:rPr>
        <w:t>cima iz Registra liječenih ovisnika F</w:t>
      </w:r>
      <w:r w:rsidR="00155F80" w:rsidRPr="00DA3256">
        <w:rPr>
          <w:rFonts w:ascii="Times New Roman" w:hAnsi="Times New Roman"/>
        </w:rPr>
        <w:t xml:space="preserve">ederacije </w:t>
      </w:r>
      <w:r w:rsidRPr="00DA3256">
        <w:rPr>
          <w:rFonts w:ascii="Times New Roman" w:hAnsi="Times New Roman"/>
        </w:rPr>
        <w:t>BiH do kraja 2015.</w:t>
      </w:r>
      <w:r w:rsidR="00155F80" w:rsidRPr="00DA3256">
        <w:rPr>
          <w:rFonts w:ascii="Times New Roman" w:hAnsi="Times New Roman"/>
        </w:rPr>
        <w:t xml:space="preserve"> </w:t>
      </w:r>
      <w:r w:rsidRPr="00DA3256">
        <w:rPr>
          <w:rFonts w:ascii="Times New Roman" w:hAnsi="Times New Roman"/>
        </w:rPr>
        <w:t>godine registrirano je 1.610 liječenih ovisnika, od čega ih je 1.443 muškog, a 167 ženskog spola.</w:t>
      </w:r>
    </w:p>
    <w:p w:rsidR="00BD4229" w:rsidRDefault="00155F80" w:rsidP="000C0138">
      <w:pPr>
        <w:spacing w:line="276" w:lineRule="auto"/>
        <w:rPr>
          <w:rFonts w:ascii="Times New Roman" w:hAnsi="Times New Roman"/>
        </w:rPr>
      </w:pPr>
      <w:r w:rsidRPr="00DA3256">
        <w:rPr>
          <w:rFonts w:ascii="Times New Roman" w:hAnsi="Times New Roman"/>
        </w:rPr>
        <w:t>P</w:t>
      </w:r>
      <w:r w:rsidR="00BD4229" w:rsidRPr="00DA3256">
        <w:rPr>
          <w:rFonts w:ascii="Times New Roman" w:hAnsi="Times New Roman"/>
        </w:rPr>
        <w:t>rema starosti i spolu osoba koje su u tretmanu, najviše ih pripada starosnoj skupini od 30-34 godine, te 35-39 godina. U</w:t>
      </w:r>
      <w:r w:rsidRPr="00DA3256">
        <w:rPr>
          <w:rFonts w:ascii="Times New Roman" w:hAnsi="Times New Roman"/>
        </w:rPr>
        <w:t>kupno je u toj dobnoj skupini</w:t>
      </w:r>
      <w:r w:rsidR="00BD4229" w:rsidRPr="00DA3256">
        <w:rPr>
          <w:rFonts w:ascii="Times New Roman" w:hAnsi="Times New Roman"/>
        </w:rPr>
        <w:t xml:space="preserve"> 492 registriranih ovisnika na tretmanu. Unutar dobne </w:t>
      </w:r>
      <w:r w:rsidR="00BD4229" w:rsidRPr="00DA3256">
        <w:rPr>
          <w:rFonts w:ascii="Times New Roman" w:hAnsi="Times New Roman"/>
        </w:rPr>
        <w:lastRenderedPageBreak/>
        <w:t>skupine od 35-39</w:t>
      </w:r>
      <w:r w:rsidRPr="00DA3256">
        <w:rPr>
          <w:rFonts w:ascii="Times New Roman" w:hAnsi="Times New Roman"/>
        </w:rPr>
        <w:t xml:space="preserve"> godina ukupno je na tretmanu u</w:t>
      </w:r>
      <w:r w:rsidR="00BD4229" w:rsidRPr="00DA3256">
        <w:rPr>
          <w:rFonts w:ascii="Times New Roman" w:hAnsi="Times New Roman"/>
        </w:rPr>
        <w:t xml:space="preserve"> 2015.</w:t>
      </w:r>
      <w:r w:rsidRPr="00DA3256">
        <w:rPr>
          <w:rFonts w:ascii="Times New Roman" w:hAnsi="Times New Roman"/>
        </w:rPr>
        <w:t xml:space="preserve"> godini</w:t>
      </w:r>
      <w:r w:rsidR="00BD4229" w:rsidRPr="00DA3256">
        <w:rPr>
          <w:rFonts w:ascii="Times New Roman" w:hAnsi="Times New Roman"/>
        </w:rPr>
        <w:t xml:space="preserve"> registrirano 437 osoba te je u mlađoj dobnoj skupini od 25-29 godini na tretmanu 158 osoba.</w:t>
      </w:r>
    </w:p>
    <w:p w:rsidR="003066C2" w:rsidRPr="00DA3256" w:rsidRDefault="003066C2" w:rsidP="000C0138">
      <w:pPr>
        <w:spacing w:line="276" w:lineRule="auto"/>
        <w:rPr>
          <w:rFonts w:ascii="Times New Roman" w:hAnsi="Times New Roman"/>
          <w:b/>
        </w:rPr>
      </w:pPr>
    </w:p>
    <w:p w:rsidR="00BD4229" w:rsidRDefault="00BD4229" w:rsidP="000C0138">
      <w:pPr>
        <w:spacing w:line="276" w:lineRule="auto"/>
        <w:rPr>
          <w:rFonts w:ascii="Times New Roman" w:hAnsi="Times New Roman"/>
        </w:rPr>
      </w:pPr>
      <w:r w:rsidRPr="00DA3256">
        <w:rPr>
          <w:rFonts w:ascii="Times New Roman" w:hAnsi="Times New Roman"/>
        </w:rPr>
        <w:t>Od prijavljenih heroinskih ovisnika njih 130-oro je prvi put konzumiralo heroin u dobi od 30-34 godine, a 49 ovisnika u dobi od 25-29 godina.</w:t>
      </w:r>
    </w:p>
    <w:p w:rsidR="003066C2" w:rsidRPr="00DA3256" w:rsidRDefault="003066C2" w:rsidP="000C0138">
      <w:pPr>
        <w:spacing w:line="276" w:lineRule="auto"/>
        <w:rPr>
          <w:rFonts w:ascii="Times New Roman" w:hAnsi="Times New Roman"/>
          <w:b/>
        </w:rPr>
      </w:pPr>
    </w:p>
    <w:p w:rsidR="00BD4229" w:rsidRDefault="00BD4229" w:rsidP="000C0138">
      <w:pPr>
        <w:spacing w:line="276" w:lineRule="auto"/>
        <w:rPr>
          <w:rFonts w:ascii="Times New Roman" w:hAnsi="Times New Roman"/>
        </w:rPr>
      </w:pPr>
      <w:r w:rsidRPr="00DA3256">
        <w:rPr>
          <w:rFonts w:ascii="Times New Roman" w:hAnsi="Times New Roman"/>
        </w:rPr>
        <w:t xml:space="preserve">Što se tiče zdravlja liječenih ovisnika i komorbiditeta sa drugim poremećajima/bolestima, u 2015.godini evidentirano je 33 </w:t>
      </w:r>
      <w:r w:rsidR="00155F80" w:rsidRPr="00DA3256">
        <w:rPr>
          <w:rFonts w:ascii="Times New Roman" w:hAnsi="Times New Roman"/>
        </w:rPr>
        <w:t xml:space="preserve">ovisnika </w:t>
      </w:r>
      <w:r w:rsidRPr="00DA3256">
        <w:rPr>
          <w:rFonts w:ascii="Times New Roman" w:hAnsi="Times New Roman"/>
        </w:rPr>
        <w:t xml:space="preserve">pozitivnih na HVB (31 muškarac i 2 žene) i 113 </w:t>
      </w:r>
      <w:r w:rsidR="00F13BC4" w:rsidRPr="00DA3256">
        <w:rPr>
          <w:rFonts w:ascii="Times New Roman" w:hAnsi="Times New Roman"/>
        </w:rPr>
        <w:t xml:space="preserve">ovisnika </w:t>
      </w:r>
      <w:r w:rsidRPr="00DA3256">
        <w:rPr>
          <w:rFonts w:ascii="Times New Roman" w:hAnsi="Times New Roman"/>
        </w:rPr>
        <w:t xml:space="preserve">pozitivnih na HVC (105 muškarca i 8 žena). </w:t>
      </w:r>
    </w:p>
    <w:p w:rsidR="003066C2" w:rsidRPr="00DA3256" w:rsidRDefault="003066C2" w:rsidP="000C0138">
      <w:pPr>
        <w:spacing w:line="276" w:lineRule="auto"/>
        <w:rPr>
          <w:rFonts w:ascii="Times New Roman" w:hAnsi="Times New Roman"/>
          <w:b/>
        </w:rPr>
      </w:pPr>
    </w:p>
    <w:p w:rsidR="00BD4229" w:rsidRPr="00DA3256" w:rsidRDefault="00BD4229" w:rsidP="000C0138">
      <w:pPr>
        <w:spacing w:line="276" w:lineRule="auto"/>
        <w:rPr>
          <w:rFonts w:ascii="Times New Roman" w:hAnsi="Times New Roman"/>
          <w:b/>
        </w:rPr>
      </w:pPr>
      <w:r w:rsidRPr="00DA3256">
        <w:rPr>
          <w:rFonts w:ascii="Times New Roman" w:hAnsi="Times New Roman"/>
        </w:rPr>
        <w:t>Pored ovisnosti o drogama, kod 37 registriranih osoba evidentiran je i alkoholizam</w:t>
      </w:r>
      <w:r w:rsidR="00F13BC4" w:rsidRPr="00DA3256">
        <w:rPr>
          <w:rFonts w:ascii="Times New Roman" w:hAnsi="Times New Roman"/>
        </w:rPr>
        <w:t>,</w:t>
      </w:r>
      <w:r w:rsidRPr="00DA3256">
        <w:rPr>
          <w:rFonts w:ascii="Times New Roman" w:hAnsi="Times New Roman"/>
        </w:rPr>
        <w:t xml:space="preserve"> te kod 20 osoba i druga vrsta ovisnosti o opojnim sredstvima. Pored ovoga, kod 8 liječenih ovisnika je registrirana depresija, te kod 5 i pokušaj suicida.</w:t>
      </w:r>
    </w:p>
    <w:p w:rsidR="00BD4229" w:rsidRPr="00155F80" w:rsidRDefault="00BD4229" w:rsidP="000C0138">
      <w:pPr>
        <w:spacing w:line="276" w:lineRule="auto"/>
        <w:rPr>
          <w:rFonts w:ascii="Times New Roman" w:hAnsi="Times New Roman"/>
          <w:b/>
          <w:bCs/>
          <w:iCs/>
          <w:color w:val="000000"/>
          <w:lang w:val="bs-Latn-BA"/>
        </w:rPr>
      </w:pPr>
    </w:p>
    <w:p w:rsidR="00A131AD" w:rsidRPr="00155F80" w:rsidRDefault="00A131AD" w:rsidP="000C0138">
      <w:pPr>
        <w:spacing w:line="276" w:lineRule="auto"/>
        <w:rPr>
          <w:rFonts w:ascii="Times New Roman" w:hAnsi="Times New Roman"/>
          <w:b/>
          <w:bCs/>
          <w:iCs/>
          <w:color w:val="000000"/>
          <w:lang w:val="hr-HR"/>
        </w:rPr>
      </w:pPr>
      <w:r w:rsidRPr="00155F80">
        <w:rPr>
          <w:rFonts w:ascii="Times New Roman" w:hAnsi="Times New Roman"/>
          <w:b/>
          <w:bCs/>
          <w:iCs/>
          <w:color w:val="000000"/>
          <w:lang w:val="hr-HR"/>
        </w:rPr>
        <w:t>Injekci</w:t>
      </w:r>
      <w:r w:rsidR="00A56E47">
        <w:rPr>
          <w:rFonts w:ascii="Times New Roman" w:hAnsi="Times New Roman"/>
          <w:b/>
          <w:bCs/>
          <w:iCs/>
          <w:color w:val="000000"/>
          <w:lang w:val="hr-HR"/>
        </w:rPr>
        <w:t>jski</w:t>
      </w:r>
      <w:r w:rsidRPr="00155F80">
        <w:rPr>
          <w:rFonts w:ascii="Times New Roman" w:hAnsi="Times New Roman"/>
          <w:b/>
          <w:bCs/>
          <w:iCs/>
          <w:color w:val="000000"/>
          <w:lang w:val="hr-HR"/>
        </w:rPr>
        <w:t xml:space="preserve"> korisnici droga (IKD)</w:t>
      </w:r>
    </w:p>
    <w:p w:rsidR="00E05270" w:rsidRPr="00662AE4" w:rsidRDefault="00A131AD" w:rsidP="00250204">
      <w:pPr>
        <w:pStyle w:val="TEKST"/>
        <w:rPr>
          <w:i/>
        </w:rPr>
      </w:pPr>
      <w:r w:rsidRPr="00155F80">
        <w:t>Usporedni poda</w:t>
      </w:r>
      <w:r w:rsidR="00A56E47">
        <w:t>t</w:t>
      </w:r>
      <w:r w:rsidRPr="00155F80">
        <w:t>ci četiri BSS studije provedene 2007., 2009. i 2012. i 2015.  godine među injekci</w:t>
      </w:r>
      <w:r w:rsidR="00A56E47">
        <w:t>jskim</w:t>
      </w:r>
      <w:r w:rsidRPr="00155F80">
        <w:t xml:space="preserve"> korisnicima droga u BiH u tri grada (Sarajevo, Zenica, Banjaluka), te u 2012. godini u Mostaru i Bijeljini, pokazuju da je hepatitis C virusna infekcija konstantan rizik među injekci</w:t>
      </w:r>
      <w:r w:rsidR="00A56E47">
        <w:t>jskim</w:t>
      </w:r>
      <w:r w:rsidRPr="00155F80">
        <w:t xml:space="preserve"> korisnicima droga, što sugerira potrebu njihovog boljeg obuhvata, posebno testiranjem na HCV.</w:t>
      </w:r>
    </w:p>
    <w:p w:rsidR="00E05270" w:rsidRDefault="00E05270" w:rsidP="000C0138">
      <w:pPr>
        <w:spacing w:line="276" w:lineRule="auto"/>
        <w:jc w:val="left"/>
        <w:rPr>
          <w:rFonts w:ascii="Times New Roman" w:hAnsi="Times New Roman"/>
          <w:iCs/>
        </w:rPr>
      </w:pPr>
    </w:p>
    <w:p w:rsidR="003066C2" w:rsidRDefault="003066C2" w:rsidP="00B37E7E">
      <w:pPr>
        <w:pStyle w:val="refererere"/>
      </w:pPr>
    </w:p>
    <w:p w:rsidR="0050445F" w:rsidRDefault="0050445F" w:rsidP="00B37E7E">
      <w:pPr>
        <w:pStyle w:val="refererere"/>
      </w:pPr>
    </w:p>
    <w:p w:rsidR="003066C2" w:rsidRDefault="003066C2" w:rsidP="00B37E7E">
      <w:pPr>
        <w:pStyle w:val="refererere"/>
      </w:pPr>
    </w:p>
    <w:p w:rsidR="00A131AD" w:rsidRPr="00155F80" w:rsidRDefault="00A131AD" w:rsidP="00B37E7E">
      <w:pPr>
        <w:pStyle w:val="refererere"/>
      </w:pPr>
      <w:r w:rsidRPr="00155F80">
        <w:t>Grafikon</w:t>
      </w:r>
      <w:r w:rsidRPr="00155F80">
        <w:rPr>
          <w:lang w:val="hr-HR"/>
        </w:rPr>
        <w:t xml:space="preserve"> 86: </w:t>
      </w:r>
      <w:r w:rsidRPr="00155F80">
        <w:t>Seroprevalenca</w:t>
      </w:r>
      <w:r w:rsidRPr="00155F80">
        <w:rPr>
          <w:lang w:val="hr-HR"/>
        </w:rPr>
        <w:t xml:space="preserve"> </w:t>
      </w:r>
      <w:r w:rsidRPr="00155F80">
        <w:t>HIV</w:t>
      </w:r>
      <w:r w:rsidRPr="00155F80">
        <w:rPr>
          <w:lang w:val="hr-HR"/>
        </w:rPr>
        <w:t>/</w:t>
      </w:r>
      <w:r w:rsidRPr="00155F80">
        <w:t>SPI</w:t>
      </w:r>
      <w:r w:rsidRPr="00155F80">
        <w:rPr>
          <w:lang w:val="hr-HR"/>
        </w:rPr>
        <w:t xml:space="preserve"> </w:t>
      </w:r>
      <w:r w:rsidRPr="00155F80">
        <w:t>me</w:t>
      </w:r>
      <w:r w:rsidRPr="00155F80">
        <w:rPr>
          <w:lang w:val="hr-HR"/>
        </w:rPr>
        <w:t>đ</w:t>
      </w:r>
      <w:r w:rsidRPr="00155F80">
        <w:t>u</w:t>
      </w:r>
      <w:r w:rsidRPr="00155F80">
        <w:rPr>
          <w:lang w:val="hr-HR"/>
        </w:rPr>
        <w:t xml:space="preserve"> </w:t>
      </w:r>
      <w:r w:rsidRPr="00155F80">
        <w:t>injekci</w:t>
      </w:r>
      <w:r w:rsidR="00A56E47">
        <w:t>jskim</w:t>
      </w:r>
      <w:r w:rsidRPr="00155F80">
        <w:rPr>
          <w:lang w:val="hr-HR"/>
        </w:rPr>
        <w:t xml:space="preserve"> </w:t>
      </w:r>
      <w:r w:rsidRPr="00155F80">
        <w:t>korisnicima</w:t>
      </w:r>
      <w:r w:rsidRPr="00155F80">
        <w:rPr>
          <w:lang w:val="hr-HR"/>
        </w:rPr>
        <w:t xml:space="preserve"> </w:t>
      </w:r>
      <w:r w:rsidRPr="00155F80">
        <w:t>droga</w:t>
      </w:r>
      <w:r w:rsidRPr="00155F80">
        <w:rPr>
          <w:lang w:val="hr-HR"/>
        </w:rPr>
        <w:t xml:space="preserve">, </w:t>
      </w:r>
      <w:r w:rsidRPr="00155F80">
        <w:t>po</w:t>
      </w:r>
      <w:r w:rsidRPr="00155F80">
        <w:rPr>
          <w:lang w:val="hr-HR"/>
        </w:rPr>
        <w:t xml:space="preserve"> </w:t>
      </w:r>
      <w:r w:rsidRPr="00155F80">
        <w:t>godinama</w:t>
      </w:r>
      <w:r w:rsidRPr="00155F80">
        <w:rPr>
          <w:lang w:val="hr-HR"/>
        </w:rPr>
        <w:t xml:space="preserve"> </w:t>
      </w:r>
      <w:r w:rsidRPr="00155F80">
        <w:t>istra</w:t>
      </w:r>
      <w:r w:rsidRPr="00155F80">
        <w:rPr>
          <w:lang w:val="hr-HR"/>
        </w:rPr>
        <w:t>ž</w:t>
      </w:r>
      <w:r w:rsidRPr="00155F80">
        <w:t>ivanja</w:t>
      </w:r>
    </w:p>
    <w:p w:rsidR="00A131AD" w:rsidRPr="00155F80" w:rsidRDefault="00A131AD" w:rsidP="000C0138">
      <w:pPr>
        <w:spacing w:line="276" w:lineRule="auto"/>
        <w:rPr>
          <w:rFonts w:ascii="Times New Roman" w:hAnsi="Times New Roman"/>
        </w:rPr>
      </w:pPr>
      <w:r w:rsidRPr="00155F80">
        <w:rPr>
          <w:rFonts w:ascii="Times New Roman" w:hAnsi="Times New Roman"/>
          <w:noProof/>
          <w:lang w:val="bs-Latn-BA" w:eastAsia="bs-Latn-BA"/>
        </w:rPr>
        <mc:AlternateContent>
          <mc:Choice Requires="wpc">
            <w:drawing>
              <wp:inline distT="0" distB="0" distL="0" distR="0" wp14:anchorId="5FC353FC" wp14:editId="6379CB94">
                <wp:extent cx="5760720" cy="2381250"/>
                <wp:effectExtent l="0" t="0" r="0" b="0"/>
                <wp:docPr id="44" name="Canvas 44"/>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45" name="Picture 45"/>
                          <pic:cNvPicPr>
                            <a:picLocks noChangeAspect="1"/>
                          </pic:cNvPicPr>
                        </pic:nvPicPr>
                        <pic:blipFill>
                          <a:blip r:embed="rId99"/>
                          <a:stretch>
                            <a:fillRect/>
                          </a:stretch>
                        </pic:blipFill>
                        <pic:spPr>
                          <a:xfrm>
                            <a:off x="0" y="59376"/>
                            <a:ext cx="5749820" cy="2291937"/>
                          </a:xfrm>
                          <a:prstGeom prst="rect">
                            <a:avLst/>
                          </a:prstGeom>
                        </pic:spPr>
                      </pic:pic>
                    </wpc:wpc>
                  </a:graphicData>
                </a:graphic>
              </wp:inline>
            </w:drawing>
          </mc:Choice>
          <mc:Fallback xmlns:w15="http://schemas.microsoft.com/office/word/2012/wordml">
            <w:pict>
              <v:group w14:anchorId="2EFBF232" id="Canvas 44" o:spid="_x0000_s1026" editas="canvas" style="width:453.6pt;height:187.5pt;mso-position-horizontal-relative:char;mso-position-vertical-relative:line" coordsize="57607,238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7607;height:23812;visibility:visible;mso-wrap-style:square">
                  <v:fill o:detectmouseclick="t"/>
                  <v:path o:connecttype="none"/>
                </v:shape>
                <v:shape id="Picture 45" o:spid="_x0000_s1028" type="#_x0000_t75" style="position:absolute;top:593;width:57498;height:229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kw//DAAAA2wAAAA8AAABkcnMvZG93bnJldi54bWxEj81qwzAQhO+FvIPYQG+NnJ+W1LUcQiDQ&#10;XFqahPS6WFvLxFoZSXGct48KhR6HmfmGKVaDbUVPPjSOFUwnGQjiyumGawXHw/ZpCSJEZI2tY1Jw&#10;owCrcvRQYK7dlb+o38daJAiHHBWYGLtcylAZshgmriNO3o/zFmOSvpba4zXBbStnWfYiLTacFgx2&#10;tDFUnfcXqyBzc4M832HPp48ww+/+9dNLpR7Hw/oNRKQh/of/2u9aweIZfr+kHyDL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6TD/8MAAADbAAAADwAAAAAAAAAAAAAAAACf&#10;AgAAZHJzL2Rvd25yZXYueG1sUEsFBgAAAAAEAAQA9wAAAI8DAAAAAA==&#10;">
                  <v:imagedata r:id="rId100" o:title=""/>
                  <v:path arrowok="t"/>
                </v:shape>
                <w10:anchorlock/>
              </v:group>
            </w:pict>
          </mc:Fallback>
        </mc:AlternateContent>
      </w:r>
    </w:p>
    <w:p w:rsidR="00A131AD" w:rsidRPr="00155F80" w:rsidRDefault="00A131AD" w:rsidP="00250204">
      <w:pPr>
        <w:pStyle w:val="TEKST"/>
        <w:rPr>
          <w:i/>
        </w:rPr>
      </w:pPr>
      <w:r w:rsidRPr="00155F80">
        <w:t>HIV prevalenc</w:t>
      </w:r>
      <w:r w:rsidR="00A56E47">
        <w:t>ij</w:t>
      </w:r>
      <w:r w:rsidRPr="00155F80">
        <w:t>a je jos uvijek niska u ovoj populaciji. Primjetan je napredak u prevenciji HIV-a među injekci</w:t>
      </w:r>
      <w:r w:rsidR="00A56E47">
        <w:t>jskim</w:t>
      </w:r>
      <w:r w:rsidRPr="00155F80">
        <w:t xml:space="preserve"> korisnicima droga (porast koristenja usluga „smanjenja štete“). Napredak je vidljiv u reduciranju rizične prakse injektiranja droga, ali ne i rizičnog seksualnog ponašanja (korištenje kondoma, znanje o transmisiji HIV-a). Zbog toga, neophodno je nastaviti kontinuirane programe prevencije HIV-a u ovoj populaciji s ciljem redu</w:t>
      </w:r>
      <w:r w:rsidR="00A56E47">
        <w:t>ciranja</w:t>
      </w:r>
      <w:r w:rsidRPr="00155F80">
        <w:t xml:space="preserve"> rizičnog ponašanja koje se najviše odnosi na upor</w:t>
      </w:r>
      <w:r w:rsidR="00A56E47">
        <w:t>a</w:t>
      </w:r>
      <w:r w:rsidRPr="00155F80">
        <w:t>bu nesterilnog pribora za injektiranje droga i nekorištenje kondoma pri seksualnim odnosima</w:t>
      </w:r>
      <w:r w:rsidRPr="00F83CAD">
        <w:t>. (</w:t>
      </w:r>
      <w:r w:rsidR="00AA0D77" w:rsidRPr="00F83CAD">
        <w:t>11</w:t>
      </w:r>
      <w:r w:rsidRPr="00F83CAD">
        <w:t>)</w:t>
      </w:r>
    </w:p>
    <w:p w:rsidR="00A131AD" w:rsidRDefault="00A131AD" w:rsidP="000C0138">
      <w:pPr>
        <w:spacing w:line="276" w:lineRule="auto"/>
        <w:rPr>
          <w:rFonts w:ascii="Times New Roman" w:hAnsi="Times New Roman"/>
          <w:lang w:val="bs-Latn-BA"/>
        </w:rPr>
      </w:pPr>
    </w:p>
    <w:p w:rsidR="00A131AD" w:rsidRPr="00155F80" w:rsidRDefault="00301140" w:rsidP="000C0138">
      <w:pPr>
        <w:pStyle w:val="Poglavlje2"/>
        <w:spacing w:line="276" w:lineRule="auto"/>
      </w:pPr>
      <w:bookmarkStart w:id="322" w:name="_Toc392229079"/>
      <w:bookmarkStart w:id="323" w:name="_Toc456095927"/>
      <w:r>
        <w:t>4.2</w:t>
      </w:r>
      <w:r w:rsidRPr="00155F80">
        <w:t xml:space="preserve"> OKOLIŠ I ZDRAVLJE</w:t>
      </w:r>
      <w:bookmarkEnd w:id="322"/>
      <w:bookmarkEnd w:id="323"/>
    </w:p>
    <w:p w:rsidR="00A131AD" w:rsidRPr="00155F80" w:rsidRDefault="00A131AD" w:rsidP="000C0138">
      <w:pPr>
        <w:spacing w:line="276" w:lineRule="auto"/>
        <w:rPr>
          <w:rFonts w:ascii="Times New Roman" w:hAnsi="Times New Roman"/>
          <w:lang w:val="bs-Latn-BA"/>
        </w:rPr>
      </w:pPr>
    </w:p>
    <w:p w:rsidR="00A131AD" w:rsidRPr="00155F80" w:rsidRDefault="00A131AD" w:rsidP="000C0138">
      <w:pPr>
        <w:spacing w:line="276" w:lineRule="auto"/>
        <w:rPr>
          <w:rFonts w:ascii="Times New Roman" w:hAnsi="Times New Roman"/>
          <w:lang w:val="hr-HR"/>
        </w:rPr>
      </w:pPr>
      <w:r w:rsidRPr="00155F80">
        <w:rPr>
          <w:rFonts w:ascii="Times New Roman" w:hAnsi="Times New Roman"/>
          <w:lang w:val="hr-HR"/>
        </w:rPr>
        <w:lastRenderedPageBreak/>
        <w:t>Č</w:t>
      </w:r>
      <w:r w:rsidRPr="00155F80">
        <w:rPr>
          <w:rFonts w:ascii="Times New Roman" w:hAnsi="Times New Roman"/>
        </w:rPr>
        <w:t>ovjek</w:t>
      </w:r>
      <w:r w:rsidRPr="00155F80">
        <w:rPr>
          <w:rFonts w:ascii="Times New Roman" w:hAnsi="Times New Roman"/>
          <w:lang w:val="hr-HR"/>
        </w:rPr>
        <w:t xml:space="preserve"> </w:t>
      </w:r>
      <w:r w:rsidRPr="00155F80">
        <w:rPr>
          <w:rFonts w:ascii="Times New Roman" w:hAnsi="Times New Roman"/>
        </w:rPr>
        <w:t>je</w:t>
      </w:r>
      <w:r w:rsidRPr="00155F80">
        <w:rPr>
          <w:rFonts w:ascii="Times New Roman" w:hAnsi="Times New Roman"/>
          <w:lang w:val="hr-HR"/>
        </w:rPr>
        <w:t xml:space="preserve"> </w:t>
      </w:r>
      <w:r w:rsidRPr="00155F80">
        <w:rPr>
          <w:rFonts w:ascii="Times New Roman" w:hAnsi="Times New Roman"/>
        </w:rPr>
        <w:t>svakodnevno</w:t>
      </w:r>
      <w:r w:rsidRPr="00155F80">
        <w:rPr>
          <w:rFonts w:ascii="Times New Roman" w:hAnsi="Times New Roman"/>
          <w:lang w:val="hr-HR"/>
        </w:rPr>
        <w:t xml:space="preserve"> </w:t>
      </w:r>
      <w:r w:rsidRPr="00155F80">
        <w:rPr>
          <w:rFonts w:ascii="Times New Roman" w:hAnsi="Times New Roman"/>
        </w:rPr>
        <w:t>pod</w:t>
      </w:r>
      <w:r w:rsidRPr="00155F80">
        <w:rPr>
          <w:rFonts w:ascii="Times New Roman" w:hAnsi="Times New Roman"/>
          <w:lang w:val="hr-HR"/>
        </w:rPr>
        <w:t xml:space="preserve"> </w:t>
      </w:r>
      <w:r w:rsidRPr="00155F80">
        <w:rPr>
          <w:rFonts w:ascii="Times New Roman" w:hAnsi="Times New Roman"/>
        </w:rPr>
        <w:t>utjecajem</w:t>
      </w:r>
      <w:r w:rsidRPr="00155F80">
        <w:rPr>
          <w:rFonts w:ascii="Times New Roman" w:hAnsi="Times New Roman"/>
          <w:lang w:val="hr-HR"/>
        </w:rPr>
        <w:t xml:space="preserve"> </w:t>
      </w:r>
      <w:r w:rsidRPr="00155F80">
        <w:rPr>
          <w:rFonts w:ascii="Times New Roman" w:hAnsi="Times New Roman"/>
        </w:rPr>
        <w:t>razli</w:t>
      </w:r>
      <w:r w:rsidRPr="00155F80">
        <w:rPr>
          <w:rFonts w:ascii="Times New Roman" w:hAnsi="Times New Roman"/>
          <w:lang w:val="hr-HR"/>
        </w:rPr>
        <w:t>č</w:t>
      </w:r>
      <w:r w:rsidRPr="00155F80">
        <w:rPr>
          <w:rFonts w:ascii="Times New Roman" w:hAnsi="Times New Roman"/>
        </w:rPr>
        <w:t>itih</w:t>
      </w:r>
      <w:r w:rsidRPr="00155F80">
        <w:rPr>
          <w:rFonts w:ascii="Times New Roman" w:hAnsi="Times New Roman"/>
          <w:lang w:val="hr-HR"/>
        </w:rPr>
        <w:t xml:space="preserve"> </w:t>
      </w:r>
      <w:r w:rsidR="009F64E0">
        <w:rPr>
          <w:rFonts w:ascii="Times New Roman" w:hAnsi="Times New Roman"/>
          <w:lang w:val="hr-HR"/>
        </w:rPr>
        <w:t>okolišnih čimbenika</w:t>
      </w:r>
      <w:r w:rsidRPr="00155F80">
        <w:rPr>
          <w:rFonts w:ascii="Times New Roman" w:hAnsi="Times New Roman"/>
          <w:lang w:val="hr-HR"/>
        </w:rPr>
        <w:t xml:space="preserve">, </w:t>
      </w:r>
      <w:r w:rsidRPr="00155F80">
        <w:rPr>
          <w:rFonts w:ascii="Times New Roman" w:hAnsi="Times New Roman"/>
        </w:rPr>
        <w:t>koji</w:t>
      </w:r>
      <w:r w:rsidRPr="00155F80">
        <w:rPr>
          <w:rFonts w:ascii="Times New Roman" w:hAnsi="Times New Roman"/>
          <w:lang w:val="hr-HR"/>
        </w:rPr>
        <w:t xml:space="preserve"> </w:t>
      </w:r>
      <w:r w:rsidRPr="00155F80">
        <w:rPr>
          <w:rFonts w:ascii="Times New Roman" w:hAnsi="Times New Roman"/>
        </w:rPr>
        <w:t>zna</w:t>
      </w:r>
      <w:r w:rsidRPr="00155F80">
        <w:rPr>
          <w:rFonts w:ascii="Times New Roman" w:hAnsi="Times New Roman"/>
          <w:lang w:val="hr-HR"/>
        </w:rPr>
        <w:t>č</w:t>
      </w:r>
      <w:r w:rsidRPr="00155F80">
        <w:rPr>
          <w:rFonts w:ascii="Times New Roman" w:hAnsi="Times New Roman"/>
        </w:rPr>
        <w:t>ajno</w:t>
      </w:r>
      <w:r w:rsidRPr="00155F80">
        <w:rPr>
          <w:rFonts w:ascii="Times New Roman" w:hAnsi="Times New Roman"/>
          <w:lang w:val="hr-HR"/>
        </w:rPr>
        <w:t xml:space="preserve"> </w:t>
      </w:r>
      <w:r w:rsidRPr="00155F80">
        <w:rPr>
          <w:rFonts w:ascii="Times New Roman" w:hAnsi="Times New Roman"/>
        </w:rPr>
        <w:t>mogu</w:t>
      </w:r>
      <w:r w:rsidRPr="00155F80">
        <w:rPr>
          <w:rFonts w:ascii="Times New Roman" w:hAnsi="Times New Roman"/>
          <w:lang w:val="hr-HR"/>
        </w:rPr>
        <w:t xml:space="preserve"> </w:t>
      </w:r>
      <w:r w:rsidRPr="00155F80">
        <w:rPr>
          <w:rFonts w:ascii="Times New Roman" w:hAnsi="Times New Roman"/>
        </w:rPr>
        <w:t>ut</w:t>
      </w:r>
      <w:r w:rsidR="009F64E0">
        <w:rPr>
          <w:rFonts w:ascii="Times New Roman" w:hAnsi="Times New Roman"/>
        </w:rPr>
        <w:t>je</w:t>
      </w:r>
      <w:r w:rsidRPr="00155F80">
        <w:rPr>
          <w:rFonts w:ascii="Times New Roman" w:hAnsi="Times New Roman"/>
        </w:rPr>
        <w:t>cati</w:t>
      </w:r>
      <w:r w:rsidRPr="00155F80">
        <w:rPr>
          <w:rFonts w:ascii="Times New Roman" w:hAnsi="Times New Roman"/>
          <w:lang w:val="hr-HR"/>
        </w:rPr>
        <w:t xml:space="preserve"> </w:t>
      </w:r>
      <w:r w:rsidRPr="00155F80">
        <w:rPr>
          <w:rFonts w:ascii="Times New Roman" w:hAnsi="Times New Roman"/>
        </w:rPr>
        <w:t>na</w:t>
      </w:r>
      <w:r w:rsidRPr="00155F80">
        <w:rPr>
          <w:rFonts w:ascii="Times New Roman" w:hAnsi="Times New Roman"/>
          <w:lang w:val="hr-HR"/>
        </w:rPr>
        <w:t xml:space="preserve"> </w:t>
      </w:r>
      <w:r w:rsidRPr="00155F80">
        <w:rPr>
          <w:rFonts w:ascii="Times New Roman" w:hAnsi="Times New Roman"/>
        </w:rPr>
        <w:t>njegovo</w:t>
      </w:r>
      <w:r w:rsidRPr="00155F80">
        <w:rPr>
          <w:rFonts w:ascii="Times New Roman" w:hAnsi="Times New Roman"/>
          <w:lang w:val="hr-HR"/>
        </w:rPr>
        <w:t xml:space="preserve"> </w:t>
      </w:r>
      <w:r w:rsidRPr="00155F80">
        <w:rPr>
          <w:rFonts w:ascii="Times New Roman" w:hAnsi="Times New Roman"/>
        </w:rPr>
        <w:t>zdravlje</w:t>
      </w:r>
      <w:r w:rsidRPr="00155F80">
        <w:rPr>
          <w:rFonts w:ascii="Times New Roman" w:hAnsi="Times New Roman"/>
          <w:lang w:val="hr-HR"/>
        </w:rPr>
        <w:t>. Rizi</w:t>
      </w:r>
      <w:r w:rsidR="009F64E0">
        <w:rPr>
          <w:rFonts w:ascii="Times New Roman" w:hAnsi="Times New Roman"/>
          <w:lang w:val="hr-HR"/>
        </w:rPr>
        <w:t>čnim čimbenicima</w:t>
      </w:r>
      <w:r w:rsidRPr="00155F80">
        <w:rPr>
          <w:rFonts w:ascii="Times New Roman" w:hAnsi="Times New Roman"/>
          <w:lang w:val="hr-HR"/>
        </w:rPr>
        <w:t xml:space="preserve"> okoliša su kontinuirano izložene sve populaci</w:t>
      </w:r>
      <w:r w:rsidR="009F64E0">
        <w:rPr>
          <w:rFonts w:ascii="Times New Roman" w:hAnsi="Times New Roman"/>
          <w:lang w:val="hr-HR"/>
        </w:rPr>
        <w:t>jske</w:t>
      </w:r>
      <w:r w:rsidRPr="00155F80">
        <w:rPr>
          <w:rFonts w:ascii="Times New Roman" w:hAnsi="Times New Roman"/>
          <w:lang w:val="hr-HR"/>
        </w:rPr>
        <w:t xml:space="preserve"> grupe. Naročito su ugroženi djeca, trudnice, </w:t>
      </w:r>
      <w:r w:rsidR="009F64E0">
        <w:rPr>
          <w:rFonts w:ascii="Times New Roman" w:hAnsi="Times New Roman"/>
          <w:lang w:val="hr-HR"/>
        </w:rPr>
        <w:t>k</w:t>
      </w:r>
      <w:r w:rsidRPr="00155F80">
        <w:rPr>
          <w:rFonts w:ascii="Times New Roman" w:hAnsi="Times New Roman"/>
          <w:lang w:val="hr-HR"/>
        </w:rPr>
        <w:t xml:space="preserve">ronični bolesnici i stariji ljudi, jer su pod većim zdravstvenim rizikom zbog </w:t>
      </w:r>
      <w:r w:rsidR="00FE3B0D">
        <w:rPr>
          <w:rFonts w:ascii="Times New Roman" w:hAnsi="Times New Roman"/>
          <w:lang w:val="hr-HR"/>
        </w:rPr>
        <w:t>onečišćenog</w:t>
      </w:r>
      <w:r w:rsidRPr="00155F80">
        <w:rPr>
          <w:rFonts w:ascii="Times New Roman" w:hAnsi="Times New Roman"/>
          <w:lang w:val="hr-HR"/>
        </w:rPr>
        <w:t xml:space="preserve"> </w:t>
      </w:r>
      <w:r w:rsidR="00FE3B0D">
        <w:rPr>
          <w:rFonts w:ascii="Times New Roman" w:hAnsi="Times New Roman"/>
          <w:lang w:val="hr-HR"/>
        </w:rPr>
        <w:t>zraka</w:t>
      </w:r>
      <w:r w:rsidRPr="00155F80">
        <w:rPr>
          <w:rFonts w:ascii="Times New Roman" w:hAnsi="Times New Roman"/>
          <w:lang w:val="hr-HR"/>
        </w:rPr>
        <w:t xml:space="preserve">, vode i zemljišta, kontaminirane hrane, buke, </w:t>
      </w:r>
      <w:r w:rsidR="009F64E0">
        <w:rPr>
          <w:rFonts w:ascii="Times New Roman" w:hAnsi="Times New Roman"/>
          <w:lang w:val="hr-HR"/>
        </w:rPr>
        <w:t>i</w:t>
      </w:r>
      <w:r w:rsidRPr="00155F80">
        <w:rPr>
          <w:rFonts w:ascii="Times New Roman" w:hAnsi="Times New Roman"/>
          <w:lang w:val="hr-HR"/>
        </w:rPr>
        <w:t>onizirajućeg zračenja, UV zračenja, i loših stambenih i radnih u</w:t>
      </w:r>
      <w:r w:rsidR="009F64E0">
        <w:rPr>
          <w:rFonts w:ascii="Times New Roman" w:hAnsi="Times New Roman"/>
          <w:lang w:val="hr-HR"/>
        </w:rPr>
        <w:t>vjeta</w:t>
      </w:r>
      <w:r w:rsidRPr="00155F80">
        <w:rPr>
          <w:rFonts w:ascii="Times New Roman" w:hAnsi="Times New Roman"/>
          <w:lang w:val="hr-HR"/>
        </w:rPr>
        <w:t xml:space="preserve">. </w:t>
      </w:r>
    </w:p>
    <w:p w:rsidR="00A131AD" w:rsidRPr="00155F80" w:rsidRDefault="00A131AD" w:rsidP="000C0138">
      <w:pPr>
        <w:spacing w:line="276" w:lineRule="auto"/>
        <w:rPr>
          <w:rFonts w:ascii="Times New Roman" w:hAnsi="Times New Roman"/>
          <w:lang w:val="hr-HR"/>
        </w:rPr>
      </w:pPr>
      <w:r w:rsidRPr="00155F80">
        <w:rPr>
          <w:rFonts w:ascii="Times New Roman" w:hAnsi="Times New Roman"/>
          <w:lang w:val="hr-HR"/>
        </w:rPr>
        <w:t>Na području Federacije Bosne i Hercegovine ne postoji jedinstven registar vodoopskrbnih objekata, što onemogućava potpuni uvid u s</w:t>
      </w:r>
      <w:r w:rsidR="00A305C2">
        <w:rPr>
          <w:rFonts w:ascii="Times New Roman" w:hAnsi="Times New Roman"/>
          <w:lang w:val="hr-HR"/>
        </w:rPr>
        <w:t>ustav</w:t>
      </w:r>
      <w:r w:rsidRPr="00155F80">
        <w:rPr>
          <w:rFonts w:ascii="Times New Roman" w:hAnsi="Times New Roman"/>
          <w:lang w:val="hr-HR"/>
        </w:rPr>
        <w:t xml:space="preserve"> vodosnabdijevanja, kao i donošenje mjera u cilju poboljšanja vodo</w:t>
      </w:r>
      <w:r w:rsidR="00A305C2">
        <w:rPr>
          <w:rFonts w:ascii="Times New Roman" w:hAnsi="Times New Roman"/>
          <w:lang w:val="hr-HR"/>
        </w:rPr>
        <w:t>opskrbe</w:t>
      </w:r>
      <w:r w:rsidRPr="00155F80">
        <w:rPr>
          <w:rFonts w:ascii="Times New Roman" w:hAnsi="Times New Roman"/>
          <w:lang w:val="hr-HR"/>
        </w:rPr>
        <w:t>. Javno-zdravstvena kontrola vode za piće nije u potpunosti zadovoljavajuća. Lokalni vodovodi uglavnom imaju defini</w:t>
      </w:r>
      <w:r w:rsidR="00A305C2">
        <w:rPr>
          <w:rFonts w:ascii="Times New Roman" w:hAnsi="Times New Roman"/>
          <w:lang w:val="hr-HR"/>
        </w:rPr>
        <w:t>r</w:t>
      </w:r>
      <w:r w:rsidRPr="00155F80">
        <w:rPr>
          <w:rFonts w:ascii="Times New Roman" w:hAnsi="Times New Roman"/>
          <w:lang w:val="hr-HR"/>
        </w:rPr>
        <w:t>anu samo prvu zonu sanitarne zaštite, dok se u većini individualnih lokalnih objekata vodo</w:t>
      </w:r>
      <w:r w:rsidR="00A305C2">
        <w:rPr>
          <w:rFonts w:ascii="Times New Roman" w:hAnsi="Times New Roman"/>
          <w:lang w:val="hr-HR"/>
        </w:rPr>
        <w:t>opskrbe</w:t>
      </w:r>
      <w:r w:rsidRPr="00155F80">
        <w:rPr>
          <w:rFonts w:ascii="Times New Roman" w:hAnsi="Times New Roman"/>
          <w:lang w:val="hr-HR"/>
        </w:rPr>
        <w:t xml:space="preserve"> (bunari, izvori, cisterne, čatrnje), voda za piće ne kontroliše na zdravstvenu ispravnost, a zone sanitarne zaštite nisu defini</w:t>
      </w:r>
      <w:r w:rsidR="00A305C2">
        <w:rPr>
          <w:rFonts w:ascii="Times New Roman" w:hAnsi="Times New Roman"/>
          <w:lang w:val="hr-HR"/>
        </w:rPr>
        <w:t>r</w:t>
      </w:r>
      <w:r w:rsidRPr="00155F80">
        <w:rPr>
          <w:rFonts w:ascii="Times New Roman" w:hAnsi="Times New Roman"/>
          <w:lang w:val="hr-HR"/>
        </w:rPr>
        <w:t>ane. Kada uzmemo u obzir da se u individualnim lokalnim objektima vodo</w:t>
      </w:r>
      <w:r w:rsidR="00A305C2">
        <w:rPr>
          <w:rFonts w:ascii="Times New Roman" w:hAnsi="Times New Roman"/>
          <w:lang w:val="hr-HR"/>
        </w:rPr>
        <w:t>opskrbe</w:t>
      </w:r>
      <w:r w:rsidRPr="00155F80">
        <w:rPr>
          <w:rStyle w:val="Emphasis"/>
          <w:rFonts w:ascii="Times New Roman" w:hAnsi="Times New Roman"/>
          <w:i w:val="0"/>
          <w:iCs w:val="0"/>
          <w:lang w:val="hr-HR"/>
        </w:rPr>
        <w:t xml:space="preserve"> </w:t>
      </w:r>
      <w:r w:rsidR="00A305C2">
        <w:rPr>
          <w:rStyle w:val="Emphasis"/>
          <w:rFonts w:ascii="Times New Roman" w:hAnsi="Times New Roman"/>
          <w:i w:val="0"/>
          <w:iCs w:val="0"/>
        </w:rPr>
        <w:t>k</w:t>
      </w:r>
      <w:r w:rsidRPr="00155F80">
        <w:rPr>
          <w:rStyle w:val="Emphasis"/>
          <w:rFonts w:ascii="Times New Roman" w:hAnsi="Times New Roman"/>
          <w:i w:val="0"/>
          <w:iCs w:val="0"/>
        </w:rPr>
        <w:t>loriranje</w:t>
      </w:r>
      <w:r w:rsidRPr="00155F80">
        <w:rPr>
          <w:rStyle w:val="Emphasis"/>
          <w:rFonts w:ascii="Times New Roman" w:hAnsi="Times New Roman"/>
          <w:i w:val="0"/>
          <w:iCs w:val="0"/>
          <w:lang w:val="hr-HR"/>
        </w:rPr>
        <w:t xml:space="preserve"> uglavnom </w:t>
      </w:r>
      <w:r w:rsidRPr="00155F80">
        <w:rPr>
          <w:rStyle w:val="Emphasis"/>
          <w:rFonts w:ascii="Times New Roman" w:hAnsi="Times New Roman"/>
          <w:i w:val="0"/>
          <w:iCs w:val="0"/>
        </w:rPr>
        <w:t>ne</w:t>
      </w:r>
      <w:r w:rsidRPr="00155F80">
        <w:rPr>
          <w:rStyle w:val="Emphasis"/>
          <w:rFonts w:ascii="Times New Roman" w:hAnsi="Times New Roman"/>
          <w:i w:val="0"/>
          <w:iCs w:val="0"/>
          <w:lang w:val="hr-HR"/>
        </w:rPr>
        <w:t xml:space="preserve"> </w:t>
      </w:r>
      <w:r w:rsidR="00A305C2">
        <w:rPr>
          <w:rStyle w:val="Emphasis"/>
          <w:rFonts w:ascii="Times New Roman" w:hAnsi="Times New Roman"/>
          <w:i w:val="0"/>
          <w:iCs w:val="0"/>
        </w:rPr>
        <w:t>obavlja</w:t>
      </w:r>
      <w:r w:rsidRPr="00155F80">
        <w:rPr>
          <w:rFonts w:ascii="Times New Roman" w:hAnsi="Times New Roman"/>
          <w:lang w:val="hr-HR"/>
        </w:rPr>
        <w:t>, jasno je zašto se vodo</w:t>
      </w:r>
      <w:r w:rsidR="00A305C2">
        <w:rPr>
          <w:rFonts w:ascii="Times New Roman" w:hAnsi="Times New Roman"/>
          <w:lang w:val="hr-HR"/>
        </w:rPr>
        <w:t>opskrba</w:t>
      </w:r>
      <w:r w:rsidRPr="00155F80">
        <w:rPr>
          <w:rFonts w:ascii="Times New Roman" w:hAnsi="Times New Roman"/>
          <w:lang w:val="hr-HR"/>
        </w:rPr>
        <w:t xml:space="preserve"> smatra jednim od glavnih problema javnog zdravstva. </w:t>
      </w:r>
    </w:p>
    <w:p w:rsidR="00A131AD" w:rsidRPr="00155F80" w:rsidRDefault="00A131AD" w:rsidP="000C0138">
      <w:pPr>
        <w:spacing w:line="276" w:lineRule="auto"/>
        <w:rPr>
          <w:rStyle w:val="Emphasis"/>
          <w:rFonts w:ascii="Times New Roman" w:hAnsi="Times New Roman"/>
          <w:i w:val="0"/>
          <w:iCs w:val="0"/>
          <w:lang w:val="bs-Latn-BA"/>
        </w:rPr>
      </w:pPr>
      <w:r w:rsidRPr="00155F80">
        <w:rPr>
          <w:rStyle w:val="Emphasis"/>
          <w:rFonts w:ascii="Times New Roman" w:hAnsi="Times New Roman"/>
          <w:i w:val="0"/>
          <w:iCs w:val="0"/>
        </w:rPr>
        <w:t xml:space="preserve">Ne postoji definirana entitetska mreža za monitoring kvaliteta zraka. Parametre </w:t>
      </w:r>
      <w:r w:rsidR="00FE3B0D">
        <w:rPr>
          <w:rStyle w:val="Emphasis"/>
          <w:rFonts w:ascii="Times New Roman" w:hAnsi="Times New Roman"/>
          <w:i w:val="0"/>
          <w:iCs w:val="0"/>
        </w:rPr>
        <w:t>onečišćenja zraka</w:t>
      </w:r>
      <w:r w:rsidRPr="00155F80">
        <w:rPr>
          <w:rStyle w:val="Emphasis"/>
          <w:rFonts w:ascii="Times New Roman" w:hAnsi="Times New Roman"/>
          <w:i w:val="0"/>
          <w:iCs w:val="0"/>
        </w:rPr>
        <w:t xml:space="preserve"> prati Federalni hidrometeorološki zavod, ali broj njegovih stanica je nedostatan za prikupljanje podataka o kvalitetu zraka na području cijele Federacije BiH. U 2013. godini, Federalno ministarstvo okoliša i turizma i Federalni hidrometeorološki zavod, uspostavili su dvije nove stanice za monitoring kvaliteta zraka u Jajcu i Zenici. Ovim je u Jajcu uspostavljen monitoring kvaliteta zraka nakon više od 20 godina. </w:t>
      </w:r>
      <w:r w:rsidRPr="00155F80">
        <w:rPr>
          <w:rFonts w:ascii="Times New Roman" w:hAnsi="Times New Roman"/>
        </w:rPr>
        <w:t>T</w:t>
      </w:r>
      <w:r w:rsidR="00A305C2">
        <w:rPr>
          <w:rFonts w:ascii="Times New Roman" w:hAnsi="Times New Roman"/>
        </w:rPr>
        <w:t>ije</w:t>
      </w:r>
      <w:r w:rsidRPr="00155F80">
        <w:rPr>
          <w:rFonts w:ascii="Times New Roman" w:hAnsi="Times New Roman"/>
        </w:rPr>
        <w:t>kom</w:t>
      </w:r>
      <w:r w:rsidRPr="00155F80">
        <w:rPr>
          <w:rFonts w:ascii="Times New Roman" w:hAnsi="Times New Roman"/>
          <w:lang w:val="bs-Latn-BA"/>
        </w:rPr>
        <w:t xml:space="preserve"> 2015. </w:t>
      </w:r>
      <w:r w:rsidRPr="00155F80">
        <w:rPr>
          <w:rFonts w:ascii="Times New Roman" w:hAnsi="Times New Roman"/>
        </w:rPr>
        <w:t>godine</w:t>
      </w:r>
      <w:r w:rsidRPr="00155F80">
        <w:rPr>
          <w:rFonts w:ascii="Times New Roman" w:hAnsi="Times New Roman"/>
          <w:lang w:val="bs-Latn-BA"/>
        </w:rPr>
        <w:t xml:space="preserve"> </w:t>
      </w:r>
      <w:r w:rsidRPr="00155F80">
        <w:rPr>
          <w:rFonts w:ascii="Times New Roman" w:hAnsi="Times New Roman"/>
        </w:rPr>
        <w:t>realiz</w:t>
      </w:r>
      <w:r w:rsidR="00A305C2">
        <w:rPr>
          <w:rFonts w:ascii="Times New Roman" w:hAnsi="Times New Roman"/>
        </w:rPr>
        <w:t>irano</w:t>
      </w:r>
      <w:r w:rsidRPr="00155F80">
        <w:rPr>
          <w:rFonts w:ascii="Times New Roman" w:hAnsi="Times New Roman"/>
          <w:lang w:val="bs-Latn-BA"/>
        </w:rPr>
        <w:t xml:space="preserve"> </w:t>
      </w:r>
      <w:r w:rsidRPr="00155F80">
        <w:rPr>
          <w:rFonts w:ascii="Times New Roman" w:hAnsi="Times New Roman"/>
        </w:rPr>
        <w:t>je</w:t>
      </w:r>
      <w:r w:rsidRPr="00155F80">
        <w:rPr>
          <w:rFonts w:ascii="Times New Roman" w:hAnsi="Times New Roman"/>
          <w:lang w:val="bs-Latn-BA"/>
        </w:rPr>
        <w:t xml:space="preserve"> </w:t>
      </w:r>
      <w:r w:rsidRPr="00155F80">
        <w:rPr>
          <w:rFonts w:ascii="Times New Roman" w:hAnsi="Times New Roman"/>
        </w:rPr>
        <w:t>nekoliko</w:t>
      </w:r>
      <w:r w:rsidRPr="00155F80">
        <w:rPr>
          <w:rFonts w:ascii="Times New Roman" w:hAnsi="Times New Roman"/>
          <w:lang w:val="bs-Latn-BA"/>
        </w:rPr>
        <w:t xml:space="preserve"> </w:t>
      </w:r>
      <w:r w:rsidR="00A305C2">
        <w:rPr>
          <w:rFonts w:ascii="Times New Roman" w:hAnsi="Times New Roman"/>
        </w:rPr>
        <w:t>važnih</w:t>
      </w:r>
      <w:r w:rsidRPr="00155F80">
        <w:rPr>
          <w:rFonts w:ascii="Times New Roman" w:hAnsi="Times New Roman"/>
          <w:lang w:val="bs-Latn-BA"/>
        </w:rPr>
        <w:t xml:space="preserve"> </w:t>
      </w:r>
      <w:r w:rsidRPr="00155F80">
        <w:rPr>
          <w:rFonts w:ascii="Times New Roman" w:hAnsi="Times New Roman"/>
        </w:rPr>
        <w:t>projekata</w:t>
      </w:r>
      <w:r w:rsidRPr="00155F80">
        <w:rPr>
          <w:rFonts w:ascii="Times New Roman" w:hAnsi="Times New Roman"/>
          <w:lang w:val="bs-Latn-BA"/>
        </w:rPr>
        <w:t xml:space="preserve"> </w:t>
      </w:r>
      <w:r w:rsidRPr="00155F80">
        <w:rPr>
          <w:rFonts w:ascii="Times New Roman" w:hAnsi="Times New Roman"/>
        </w:rPr>
        <w:t>koji</w:t>
      </w:r>
      <w:r w:rsidRPr="00155F80">
        <w:rPr>
          <w:rFonts w:ascii="Times New Roman" w:hAnsi="Times New Roman"/>
          <w:lang w:val="bs-Latn-BA"/>
        </w:rPr>
        <w:t xml:space="preserve"> </w:t>
      </w:r>
      <w:r w:rsidRPr="00155F80">
        <w:rPr>
          <w:rFonts w:ascii="Times New Roman" w:hAnsi="Times New Roman"/>
        </w:rPr>
        <w:t>se</w:t>
      </w:r>
      <w:r w:rsidRPr="00155F80">
        <w:rPr>
          <w:rFonts w:ascii="Times New Roman" w:hAnsi="Times New Roman"/>
          <w:lang w:val="bs-Latn-BA"/>
        </w:rPr>
        <w:t xml:space="preserve"> </w:t>
      </w:r>
      <w:r w:rsidRPr="00155F80">
        <w:rPr>
          <w:rFonts w:ascii="Times New Roman" w:hAnsi="Times New Roman"/>
        </w:rPr>
        <w:t>odnose</w:t>
      </w:r>
      <w:r w:rsidRPr="00155F80">
        <w:rPr>
          <w:rFonts w:ascii="Times New Roman" w:hAnsi="Times New Roman"/>
          <w:lang w:val="bs-Latn-BA"/>
        </w:rPr>
        <w:t xml:space="preserve"> </w:t>
      </w:r>
      <w:r w:rsidRPr="00155F80">
        <w:rPr>
          <w:rFonts w:ascii="Times New Roman" w:hAnsi="Times New Roman"/>
        </w:rPr>
        <w:t>na</w:t>
      </w:r>
      <w:r w:rsidRPr="00155F80">
        <w:rPr>
          <w:rFonts w:ascii="Times New Roman" w:hAnsi="Times New Roman"/>
          <w:lang w:val="bs-Latn-BA"/>
        </w:rPr>
        <w:t xml:space="preserve"> </w:t>
      </w:r>
      <w:r w:rsidRPr="00155F80">
        <w:rPr>
          <w:rFonts w:ascii="Times New Roman" w:hAnsi="Times New Roman"/>
        </w:rPr>
        <w:t>monitoring</w:t>
      </w:r>
      <w:r w:rsidRPr="00155F80">
        <w:rPr>
          <w:rFonts w:ascii="Times New Roman" w:hAnsi="Times New Roman"/>
          <w:lang w:val="bs-Latn-BA"/>
        </w:rPr>
        <w:t xml:space="preserve"> </w:t>
      </w:r>
      <w:r w:rsidRPr="00155F80">
        <w:rPr>
          <w:rFonts w:ascii="Times New Roman" w:hAnsi="Times New Roman"/>
        </w:rPr>
        <w:t>kvaliteta</w:t>
      </w:r>
      <w:r w:rsidRPr="00155F80">
        <w:rPr>
          <w:rFonts w:ascii="Times New Roman" w:hAnsi="Times New Roman"/>
          <w:lang w:val="bs-Latn-BA"/>
        </w:rPr>
        <w:t xml:space="preserve"> </w:t>
      </w:r>
      <w:r w:rsidRPr="00155F80">
        <w:rPr>
          <w:rFonts w:ascii="Times New Roman" w:hAnsi="Times New Roman"/>
        </w:rPr>
        <w:t>zraka</w:t>
      </w:r>
      <w:r w:rsidRPr="00155F80">
        <w:rPr>
          <w:rFonts w:ascii="Times New Roman" w:hAnsi="Times New Roman"/>
          <w:lang w:val="bs-Latn-BA"/>
        </w:rPr>
        <w:t xml:space="preserve"> </w:t>
      </w:r>
      <w:r w:rsidRPr="00155F80">
        <w:rPr>
          <w:rFonts w:ascii="Times New Roman" w:hAnsi="Times New Roman"/>
        </w:rPr>
        <w:t>u</w:t>
      </w:r>
      <w:r w:rsidRPr="00155F80">
        <w:rPr>
          <w:rFonts w:ascii="Times New Roman" w:hAnsi="Times New Roman"/>
          <w:lang w:val="bs-Latn-BA"/>
        </w:rPr>
        <w:t xml:space="preserve"> </w:t>
      </w:r>
      <w:r w:rsidRPr="00155F80">
        <w:rPr>
          <w:rFonts w:ascii="Times New Roman" w:hAnsi="Times New Roman"/>
        </w:rPr>
        <w:t>Federaciji</w:t>
      </w:r>
      <w:r w:rsidRPr="00155F80">
        <w:rPr>
          <w:rFonts w:ascii="Times New Roman" w:hAnsi="Times New Roman"/>
          <w:lang w:val="bs-Latn-BA"/>
        </w:rPr>
        <w:t xml:space="preserve"> </w:t>
      </w:r>
      <w:r w:rsidRPr="00155F80">
        <w:rPr>
          <w:rFonts w:ascii="Times New Roman" w:hAnsi="Times New Roman"/>
        </w:rPr>
        <w:t>BiH</w:t>
      </w:r>
      <w:r w:rsidRPr="00155F80">
        <w:rPr>
          <w:rFonts w:ascii="Times New Roman" w:hAnsi="Times New Roman"/>
          <w:lang w:val="bs-Latn-BA"/>
        </w:rPr>
        <w:t xml:space="preserve">. </w:t>
      </w:r>
      <w:r w:rsidRPr="00155F80">
        <w:rPr>
          <w:rFonts w:ascii="Times New Roman" w:hAnsi="Times New Roman"/>
        </w:rPr>
        <w:t>Mre</w:t>
      </w:r>
      <w:r w:rsidRPr="00155F80">
        <w:rPr>
          <w:rFonts w:ascii="Times New Roman" w:hAnsi="Times New Roman"/>
          <w:lang w:val="bs-Latn-BA"/>
        </w:rPr>
        <w:t>ž</w:t>
      </w:r>
      <w:r w:rsidRPr="00155F80">
        <w:rPr>
          <w:rFonts w:ascii="Times New Roman" w:hAnsi="Times New Roman"/>
        </w:rPr>
        <w:t>a</w:t>
      </w:r>
      <w:r w:rsidRPr="00155F80">
        <w:rPr>
          <w:rFonts w:ascii="Times New Roman" w:hAnsi="Times New Roman"/>
          <w:lang w:val="bs-Latn-BA"/>
        </w:rPr>
        <w:t xml:space="preserve"> </w:t>
      </w:r>
      <w:r w:rsidRPr="00155F80">
        <w:rPr>
          <w:rFonts w:ascii="Times New Roman" w:hAnsi="Times New Roman"/>
        </w:rPr>
        <w:t>stanica</w:t>
      </w:r>
      <w:r w:rsidRPr="00155F80">
        <w:rPr>
          <w:rFonts w:ascii="Times New Roman" w:hAnsi="Times New Roman"/>
          <w:lang w:val="bs-Latn-BA"/>
        </w:rPr>
        <w:t xml:space="preserve"> </w:t>
      </w:r>
      <w:r w:rsidRPr="00155F80">
        <w:rPr>
          <w:rFonts w:ascii="Times New Roman" w:hAnsi="Times New Roman"/>
        </w:rPr>
        <w:t>za</w:t>
      </w:r>
      <w:r w:rsidRPr="00155F80">
        <w:rPr>
          <w:rFonts w:ascii="Times New Roman" w:hAnsi="Times New Roman"/>
          <w:lang w:val="bs-Latn-BA"/>
        </w:rPr>
        <w:t xml:space="preserve"> </w:t>
      </w:r>
      <w:r w:rsidRPr="00155F80">
        <w:rPr>
          <w:rFonts w:ascii="Times New Roman" w:hAnsi="Times New Roman"/>
        </w:rPr>
        <w:t>monitoring</w:t>
      </w:r>
      <w:r w:rsidRPr="00155F80">
        <w:rPr>
          <w:rFonts w:ascii="Times New Roman" w:hAnsi="Times New Roman"/>
          <w:lang w:val="bs-Latn-BA"/>
        </w:rPr>
        <w:t xml:space="preserve"> </w:t>
      </w:r>
      <w:r w:rsidRPr="00155F80">
        <w:rPr>
          <w:rFonts w:ascii="Times New Roman" w:hAnsi="Times New Roman"/>
        </w:rPr>
        <w:t>kvaliteta</w:t>
      </w:r>
      <w:r w:rsidRPr="00155F80">
        <w:rPr>
          <w:rFonts w:ascii="Times New Roman" w:hAnsi="Times New Roman"/>
          <w:lang w:val="bs-Latn-BA"/>
        </w:rPr>
        <w:t xml:space="preserve"> </w:t>
      </w:r>
      <w:r w:rsidRPr="00155F80">
        <w:rPr>
          <w:rFonts w:ascii="Times New Roman" w:hAnsi="Times New Roman"/>
        </w:rPr>
        <w:t>zraka</w:t>
      </w:r>
      <w:r w:rsidRPr="00155F80">
        <w:rPr>
          <w:rFonts w:ascii="Times New Roman" w:hAnsi="Times New Roman"/>
          <w:lang w:val="bs-Latn-BA"/>
        </w:rPr>
        <w:t xml:space="preserve"> </w:t>
      </w:r>
      <w:r w:rsidRPr="00155F80">
        <w:rPr>
          <w:rFonts w:ascii="Times New Roman" w:hAnsi="Times New Roman"/>
        </w:rPr>
        <w:t>je</w:t>
      </w:r>
      <w:r w:rsidRPr="00155F80">
        <w:rPr>
          <w:rFonts w:ascii="Times New Roman" w:hAnsi="Times New Roman"/>
          <w:lang w:val="bs-Latn-BA"/>
        </w:rPr>
        <w:t xml:space="preserve"> </w:t>
      </w:r>
      <w:r w:rsidRPr="00155F80">
        <w:rPr>
          <w:rFonts w:ascii="Times New Roman" w:hAnsi="Times New Roman"/>
        </w:rPr>
        <w:t>pro</w:t>
      </w:r>
      <w:r w:rsidRPr="00155F80">
        <w:rPr>
          <w:rFonts w:ascii="Times New Roman" w:hAnsi="Times New Roman"/>
          <w:lang w:val="bs-Latn-BA"/>
        </w:rPr>
        <w:t>š</w:t>
      </w:r>
      <w:r w:rsidRPr="00155F80">
        <w:rPr>
          <w:rFonts w:ascii="Times New Roman" w:hAnsi="Times New Roman"/>
        </w:rPr>
        <w:t>irena</w:t>
      </w:r>
      <w:r w:rsidRPr="00155F80">
        <w:rPr>
          <w:rFonts w:ascii="Times New Roman" w:hAnsi="Times New Roman"/>
          <w:lang w:val="bs-Latn-BA"/>
        </w:rPr>
        <w:t xml:space="preserve"> </w:t>
      </w:r>
      <w:r w:rsidRPr="00155F80">
        <w:rPr>
          <w:rFonts w:ascii="Times New Roman" w:hAnsi="Times New Roman"/>
        </w:rPr>
        <w:t>uspostav</w:t>
      </w:r>
      <w:r w:rsidR="00A305C2">
        <w:rPr>
          <w:rFonts w:ascii="Times New Roman" w:hAnsi="Times New Roman"/>
        </w:rPr>
        <w:t>o</w:t>
      </w:r>
      <w:r w:rsidRPr="00155F80">
        <w:rPr>
          <w:rFonts w:ascii="Times New Roman" w:hAnsi="Times New Roman"/>
        </w:rPr>
        <w:t>m</w:t>
      </w:r>
      <w:r w:rsidRPr="00155F80">
        <w:rPr>
          <w:rFonts w:ascii="Times New Roman" w:hAnsi="Times New Roman"/>
          <w:lang w:val="bs-Latn-BA"/>
        </w:rPr>
        <w:t xml:space="preserve"> </w:t>
      </w:r>
      <w:r w:rsidRPr="00155F80">
        <w:rPr>
          <w:rFonts w:ascii="Times New Roman" w:hAnsi="Times New Roman"/>
        </w:rPr>
        <w:t>stanice</w:t>
      </w:r>
      <w:r w:rsidRPr="00155F80">
        <w:rPr>
          <w:rFonts w:ascii="Times New Roman" w:hAnsi="Times New Roman"/>
          <w:lang w:val="bs-Latn-BA"/>
        </w:rPr>
        <w:t xml:space="preserve"> </w:t>
      </w:r>
      <w:r w:rsidRPr="00155F80">
        <w:rPr>
          <w:rFonts w:ascii="Times New Roman" w:hAnsi="Times New Roman"/>
        </w:rPr>
        <w:t>u</w:t>
      </w:r>
      <w:r w:rsidRPr="00155F80">
        <w:rPr>
          <w:rFonts w:ascii="Times New Roman" w:hAnsi="Times New Roman"/>
          <w:lang w:val="bs-Latn-BA"/>
        </w:rPr>
        <w:t xml:space="preserve"> </w:t>
      </w:r>
      <w:r w:rsidRPr="00155F80">
        <w:rPr>
          <w:rFonts w:ascii="Times New Roman" w:hAnsi="Times New Roman"/>
        </w:rPr>
        <w:t>Gora</w:t>
      </w:r>
      <w:r w:rsidRPr="00155F80">
        <w:rPr>
          <w:rFonts w:ascii="Times New Roman" w:hAnsi="Times New Roman"/>
          <w:lang w:val="bs-Latn-BA"/>
        </w:rPr>
        <w:t>ž</w:t>
      </w:r>
      <w:r w:rsidRPr="00155F80">
        <w:rPr>
          <w:rFonts w:ascii="Times New Roman" w:hAnsi="Times New Roman"/>
        </w:rPr>
        <w:t>du</w:t>
      </w:r>
      <w:r w:rsidRPr="00155F80">
        <w:rPr>
          <w:rFonts w:ascii="Times New Roman" w:hAnsi="Times New Roman"/>
          <w:lang w:val="bs-Latn-BA"/>
        </w:rPr>
        <w:t xml:space="preserve">. </w:t>
      </w:r>
      <w:r w:rsidRPr="00155F80">
        <w:rPr>
          <w:rStyle w:val="Emphasis"/>
          <w:rFonts w:ascii="Times New Roman" w:hAnsi="Times New Roman"/>
          <w:i w:val="0"/>
          <w:iCs w:val="0"/>
        </w:rPr>
        <w:t>Kontinuirana</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mjerenja</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osnovnih</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zra</w:t>
      </w:r>
      <w:r w:rsidRPr="00155F80">
        <w:rPr>
          <w:rStyle w:val="Emphasis"/>
          <w:rFonts w:ascii="Times New Roman" w:hAnsi="Times New Roman"/>
          <w:i w:val="0"/>
          <w:iCs w:val="0"/>
          <w:lang w:val="bs-Latn-BA"/>
        </w:rPr>
        <w:t>č</w:t>
      </w:r>
      <w:r w:rsidRPr="00155F80">
        <w:rPr>
          <w:rStyle w:val="Emphasis"/>
          <w:rFonts w:ascii="Times New Roman" w:hAnsi="Times New Roman"/>
          <w:i w:val="0"/>
          <w:iCs w:val="0"/>
        </w:rPr>
        <w:t>nih</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polutanata</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SO</w:t>
      </w:r>
      <w:r w:rsidRPr="00155F80">
        <w:rPr>
          <w:rStyle w:val="Emphasis"/>
          <w:rFonts w:ascii="Times New Roman" w:hAnsi="Times New Roman"/>
          <w:i w:val="0"/>
          <w:iCs w:val="0"/>
          <w:vertAlign w:val="subscript"/>
          <w:lang w:val="bs-Latn-BA"/>
        </w:rPr>
        <w:t>2</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CO</w:t>
      </w:r>
      <w:r w:rsidRPr="00155F80">
        <w:rPr>
          <w:rStyle w:val="Emphasis"/>
          <w:rFonts w:ascii="Times New Roman" w:hAnsi="Times New Roman"/>
          <w:i w:val="0"/>
          <w:iCs w:val="0"/>
          <w:lang w:val="bs-Latn-BA"/>
        </w:rPr>
        <w:t xml:space="preserve">, </w:t>
      </w:r>
      <w:r w:rsidR="00C651BA">
        <w:rPr>
          <w:rStyle w:val="Emphasis"/>
          <w:rFonts w:ascii="Times New Roman" w:hAnsi="Times New Roman"/>
          <w:i w:val="0"/>
          <w:iCs w:val="0"/>
        </w:rPr>
        <w:t>dušični</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oksidi</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lebde</w:t>
      </w:r>
      <w:r w:rsidRPr="00155F80">
        <w:rPr>
          <w:rStyle w:val="Emphasis"/>
          <w:rFonts w:ascii="Times New Roman" w:hAnsi="Times New Roman"/>
          <w:i w:val="0"/>
          <w:iCs w:val="0"/>
          <w:lang w:val="bs-Latn-BA"/>
        </w:rPr>
        <w:t>ć</w:t>
      </w:r>
      <w:r w:rsidRPr="00155F80">
        <w:rPr>
          <w:rStyle w:val="Emphasis"/>
          <w:rFonts w:ascii="Times New Roman" w:hAnsi="Times New Roman"/>
          <w:i w:val="0"/>
          <w:iCs w:val="0"/>
        </w:rPr>
        <w:t>e</w:t>
      </w:r>
      <w:r w:rsidRPr="00155F80">
        <w:rPr>
          <w:rStyle w:val="Emphasis"/>
          <w:rFonts w:ascii="Times New Roman" w:hAnsi="Times New Roman"/>
          <w:i w:val="0"/>
          <w:iCs w:val="0"/>
          <w:lang w:val="bs-Latn-BA"/>
        </w:rPr>
        <w:t xml:space="preserve"> č</w:t>
      </w:r>
      <w:r w:rsidRPr="00155F80">
        <w:rPr>
          <w:rStyle w:val="Emphasis"/>
          <w:rFonts w:ascii="Times New Roman" w:hAnsi="Times New Roman"/>
          <w:i w:val="0"/>
          <w:iCs w:val="0"/>
        </w:rPr>
        <w:t>estice</w:t>
      </w:r>
      <w:r w:rsidRPr="00155F80">
        <w:rPr>
          <w:rStyle w:val="Emphasis"/>
          <w:rFonts w:ascii="Times New Roman" w:hAnsi="Times New Roman"/>
          <w:i w:val="0"/>
          <w:iCs w:val="0"/>
          <w:lang w:val="bs-Latn-BA"/>
        </w:rPr>
        <w:t xml:space="preserve">) </w:t>
      </w:r>
      <w:r w:rsidR="00A305C2">
        <w:rPr>
          <w:rStyle w:val="Emphasis"/>
          <w:rFonts w:ascii="Times New Roman" w:hAnsi="Times New Roman"/>
          <w:i w:val="0"/>
          <w:iCs w:val="0"/>
        </w:rPr>
        <w:t>provode</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i</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kantonalni</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zavodi</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za</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javno</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zdravstvo</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u</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Sarajevu</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Tuzli</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i</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Zenici</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dok</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se</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u</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ostalim</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gradovima</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mjerenja</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ne</w:t>
      </w:r>
      <w:r w:rsidRPr="00155F80">
        <w:rPr>
          <w:rStyle w:val="Emphasis"/>
          <w:rFonts w:ascii="Times New Roman" w:hAnsi="Times New Roman"/>
          <w:i w:val="0"/>
          <w:iCs w:val="0"/>
          <w:lang w:val="bs-Latn-BA"/>
        </w:rPr>
        <w:t xml:space="preserve"> </w:t>
      </w:r>
      <w:r w:rsidR="00A305C2">
        <w:rPr>
          <w:rStyle w:val="Emphasis"/>
          <w:rFonts w:ascii="Times New Roman" w:hAnsi="Times New Roman"/>
          <w:i w:val="0"/>
          <w:iCs w:val="0"/>
        </w:rPr>
        <w:t>obavljaju</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zbog</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nedostatka</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sofisticirane</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opreme</w:t>
      </w:r>
      <w:r w:rsidRPr="00155F80">
        <w:rPr>
          <w:rStyle w:val="Emphasis"/>
          <w:rFonts w:ascii="Times New Roman" w:hAnsi="Times New Roman"/>
          <w:i w:val="0"/>
          <w:iCs w:val="0"/>
          <w:lang w:val="bs-Latn-BA"/>
        </w:rPr>
        <w:t xml:space="preserve">. </w:t>
      </w:r>
    </w:p>
    <w:p w:rsidR="00A131AD" w:rsidRPr="00155F80" w:rsidRDefault="00A131AD" w:rsidP="000C0138">
      <w:pPr>
        <w:spacing w:line="276" w:lineRule="auto"/>
        <w:rPr>
          <w:rFonts w:ascii="Times New Roman" w:hAnsi="Times New Roman"/>
          <w:lang w:val="hr-HR"/>
        </w:rPr>
      </w:pPr>
      <w:r w:rsidRPr="00155F80">
        <w:rPr>
          <w:rFonts w:ascii="Times New Roman" w:hAnsi="Times New Roman"/>
          <w:lang w:val="hr-HR"/>
        </w:rPr>
        <w:t xml:space="preserve">Raspoloživa </w:t>
      </w:r>
      <w:r w:rsidRPr="00155F80">
        <w:rPr>
          <w:rFonts w:ascii="Times New Roman" w:hAnsi="Times New Roman"/>
        </w:rPr>
        <w:t>mjesta</w:t>
      </w:r>
      <w:r w:rsidRPr="00155F80">
        <w:rPr>
          <w:rFonts w:ascii="Times New Roman" w:hAnsi="Times New Roman"/>
          <w:lang w:val="hr-HR"/>
        </w:rPr>
        <w:t xml:space="preserve"> </w:t>
      </w:r>
      <w:r w:rsidRPr="00155F80">
        <w:rPr>
          <w:rFonts w:ascii="Times New Roman" w:hAnsi="Times New Roman"/>
        </w:rPr>
        <w:t>za</w:t>
      </w:r>
      <w:r w:rsidRPr="00155F80">
        <w:rPr>
          <w:rFonts w:ascii="Times New Roman" w:hAnsi="Times New Roman"/>
          <w:lang w:val="hr-HR"/>
        </w:rPr>
        <w:t xml:space="preserve"> </w:t>
      </w:r>
      <w:r w:rsidRPr="00155F80">
        <w:rPr>
          <w:rFonts w:ascii="Times New Roman" w:hAnsi="Times New Roman"/>
        </w:rPr>
        <w:t>odlaganje</w:t>
      </w:r>
      <w:r w:rsidRPr="00155F80">
        <w:rPr>
          <w:rFonts w:ascii="Times New Roman" w:hAnsi="Times New Roman"/>
          <w:lang w:val="hr-HR"/>
        </w:rPr>
        <w:t xml:space="preserve"> čvrstog </w:t>
      </w:r>
      <w:r w:rsidRPr="00155F80">
        <w:rPr>
          <w:rFonts w:ascii="Times New Roman" w:hAnsi="Times New Roman"/>
        </w:rPr>
        <w:t>otpada</w:t>
      </w:r>
      <w:r w:rsidRPr="00155F80">
        <w:rPr>
          <w:rFonts w:ascii="Times New Roman" w:hAnsi="Times New Roman"/>
          <w:lang w:val="hr-HR"/>
        </w:rPr>
        <w:t xml:space="preserve"> </w:t>
      </w:r>
      <w:r w:rsidRPr="00155F80">
        <w:rPr>
          <w:rFonts w:ascii="Times New Roman" w:hAnsi="Times New Roman"/>
        </w:rPr>
        <w:t>su</w:t>
      </w:r>
      <w:r w:rsidRPr="00155F80">
        <w:rPr>
          <w:rFonts w:ascii="Times New Roman" w:hAnsi="Times New Roman"/>
          <w:lang w:val="hr-HR"/>
        </w:rPr>
        <w:t xml:space="preserve"> </w:t>
      </w:r>
      <w:r w:rsidRPr="00155F80">
        <w:rPr>
          <w:rFonts w:ascii="Times New Roman" w:hAnsi="Times New Roman"/>
        </w:rPr>
        <w:t>nedovoljna</w:t>
      </w:r>
      <w:r w:rsidRPr="00155F80">
        <w:rPr>
          <w:rFonts w:ascii="Times New Roman" w:hAnsi="Times New Roman"/>
          <w:lang w:val="hr-HR"/>
        </w:rPr>
        <w:t xml:space="preserve"> </w:t>
      </w:r>
      <w:r w:rsidRPr="00155F80">
        <w:rPr>
          <w:rFonts w:ascii="Times New Roman" w:hAnsi="Times New Roman"/>
        </w:rPr>
        <w:t>u</w:t>
      </w:r>
      <w:r w:rsidRPr="00155F80">
        <w:rPr>
          <w:rFonts w:ascii="Times New Roman" w:hAnsi="Times New Roman"/>
          <w:lang w:val="hr-HR"/>
        </w:rPr>
        <w:t xml:space="preserve"> </w:t>
      </w:r>
      <w:r w:rsidR="00A305C2">
        <w:rPr>
          <w:rFonts w:ascii="Times New Roman" w:hAnsi="Times New Roman"/>
          <w:lang w:val="hr-HR"/>
        </w:rPr>
        <w:t xml:space="preserve">usporedbi </w:t>
      </w:r>
      <w:r w:rsidRPr="00155F80">
        <w:rPr>
          <w:rFonts w:ascii="Times New Roman" w:hAnsi="Times New Roman"/>
        </w:rPr>
        <w:t>sa</w:t>
      </w:r>
      <w:r w:rsidRPr="00155F80">
        <w:rPr>
          <w:rFonts w:ascii="Times New Roman" w:hAnsi="Times New Roman"/>
          <w:lang w:val="hr-HR"/>
        </w:rPr>
        <w:t xml:space="preserve"> </w:t>
      </w:r>
      <w:r w:rsidRPr="00155F80">
        <w:rPr>
          <w:rFonts w:ascii="Times New Roman" w:hAnsi="Times New Roman"/>
        </w:rPr>
        <w:t>koli</w:t>
      </w:r>
      <w:r w:rsidRPr="00155F80">
        <w:rPr>
          <w:rFonts w:ascii="Times New Roman" w:hAnsi="Times New Roman"/>
          <w:lang w:val="hr-HR"/>
        </w:rPr>
        <w:t>č</w:t>
      </w:r>
      <w:r w:rsidRPr="00155F80">
        <w:rPr>
          <w:rFonts w:ascii="Times New Roman" w:hAnsi="Times New Roman"/>
        </w:rPr>
        <w:t>inom</w:t>
      </w:r>
      <w:r w:rsidRPr="00155F80">
        <w:rPr>
          <w:rFonts w:ascii="Times New Roman" w:hAnsi="Times New Roman"/>
          <w:lang w:val="hr-HR"/>
        </w:rPr>
        <w:t xml:space="preserve"> </w:t>
      </w:r>
      <w:r w:rsidRPr="00155F80">
        <w:rPr>
          <w:rFonts w:ascii="Times New Roman" w:hAnsi="Times New Roman"/>
        </w:rPr>
        <w:t>proizvedenog</w:t>
      </w:r>
      <w:r w:rsidRPr="00155F80">
        <w:rPr>
          <w:rFonts w:ascii="Times New Roman" w:hAnsi="Times New Roman"/>
          <w:lang w:val="hr-HR"/>
        </w:rPr>
        <w:t xml:space="preserve"> </w:t>
      </w:r>
      <w:r w:rsidRPr="00155F80">
        <w:rPr>
          <w:rFonts w:ascii="Times New Roman" w:hAnsi="Times New Roman"/>
        </w:rPr>
        <w:t>otpada</w:t>
      </w:r>
      <w:r w:rsidRPr="00155F80">
        <w:rPr>
          <w:rFonts w:ascii="Times New Roman" w:hAnsi="Times New Roman"/>
          <w:lang w:val="hr-HR"/>
        </w:rPr>
        <w:t xml:space="preserve">. </w:t>
      </w:r>
      <w:r w:rsidRPr="00155F80">
        <w:rPr>
          <w:rFonts w:ascii="Times New Roman" w:hAnsi="Times New Roman"/>
        </w:rPr>
        <w:t>Kao</w:t>
      </w:r>
      <w:r w:rsidRPr="00155F80">
        <w:rPr>
          <w:rFonts w:ascii="Times New Roman" w:hAnsi="Times New Roman"/>
          <w:lang w:val="hr-HR"/>
        </w:rPr>
        <w:t xml:space="preserve"> </w:t>
      </w:r>
      <w:r w:rsidRPr="00155F80">
        <w:rPr>
          <w:rFonts w:ascii="Times New Roman" w:hAnsi="Times New Roman"/>
        </w:rPr>
        <w:t>posljedica</w:t>
      </w:r>
      <w:r w:rsidRPr="00155F80">
        <w:rPr>
          <w:rFonts w:ascii="Times New Roman" w:hAnsi="Times New Roman"/>
          <w:lang w:val="hr-HR"/>
        </w:rPr>
        <w:t xml:space="preserve"> </w:t>
      </w:r>
      <w:r w:rsidRPr="00155F80">
        <w:rPr>
          <w:rFonts w:ascii="Times New Roman" w:hAnsi="Times New Roman"/>
        </w:rPr>
        <w:t>toga</w:t>
      </w:r>
      <w:r w:rsidRPr="00155F80">
        <w:rPr>
          <w:rFonts w:ascii="Times New Roman" w:hAnsi="Times New Roman"/>
          <w:lang w:val="hr-HR"/>
        </w:rPr>
        <w:t xml:space="preserve">, </w:t>
      </w:r>
      <w:r w:rsidRPr="00155F80">
        <w:rPr>
          <w:rFonts w:ascii="Times New Roman" w:hAnsi="Times New Roman"/>
        </w:rPr>
        <w:t>zna</w:t>
      </w:r>
      <w:r w:rsidRPr="00155F80">
        <w:rPr>
          <w:rFonts w:ascii="Times New Roman" w:hAnsi="Times New Roman"/>
          <w:lang w:val="hr-HR"/>
        </w:rPr>
        <w:t>č</w:t>
      </w:r>
      <w:r w:rsidRPr="00155F80">
        <w:rPr>
          <w:rFonts w:ascii="Times New Roman" w:hAnsi="Times New Roman"/>
        </w:rPr>
        <w:t>ajne</w:t>
      </w:r>
      <w:r w:rsidRPr="00155F80">
        <w:rPr>
          <w:rFonts w:ascii="Times New Roman" w:hAnsi="Times New Roman"/>
          <w:lang w:val="hr-HR"/>
        </w:rPr>
        <w:t xml:space="preserve"> </w:t>
      </w:r>
      <w:r w:rsidRPr="00155F80">
        <w:rPr>
          <w:rFonts w:ascii="Times New Roman" w:hAnsi="Times New Roman"/>
        </w:rPr>
        <w:t>koli</w:t>
      </w:r>
      <w:r w:rsidRPr="00155F80">
        <w:rPr>
          <w:rFonts w:ascii="Times New Roman" w:hAnsi="Times New Roman"/>
          <w:lang w:val="hr-HR"/>
        </w:rPr>
        <w:t>č</w:t>
      </w:r>
      <w:r w:rsidRPr="00155F80">
        <w:rPr>
          <w:rFonts w:ascii="Times New Roman" w:hAnsi="Times New Roman"/>
        </w:rPr>
        <w:t>ine</w:t>
      </w:r>
      <w:r w:rsidRPr="00155F80">
        <w:rPr>
          <w:rFonts w:ascii="Times New Roman" w:hAnsi="Times New Roman"/>
          <w:lang w:val="hr-HR"/>
        </w:rPr>
        <w:t xml:space="preserve"> </w:t>
      </w:r>
      <w:r w:rsidRPr="00155F80">
        <w:rPr>
          <w:rFonts w:ascii="Times New Roman" w:hAnsi="Times New Roman"/>
        </w:rPr>
        <w:t>otpada</w:t>
      </w:r>
      <w:r w:rsidRPr="00155F80">
        <w:rPr>
          <w:rFonts w:ascii="Times New Roman" w:hAnsi="Times New Roman"/>
          <w:lang w:val="hr-HR"/>
        </w:rPr>
        <w:t xml:space="preserve"> </w:t>
      </w:r>
      <w:r w:rsidRPr="00155F80">
        <w:rPr>
          <w:rFonts w:ascii="Times New Roman" w:hAnsi="Times New Roman"/>
        </w:rPr>
        <w:t>su</w:t>
      </w:r>
      <w:r w:rsidRPr="00155F80">
        <w:rPr>
          <w:rFonts w:ascii="Times New Roman" w:hAnsi="Times New Roman"/>
          <w:lang w:val="hr-HR"/>
        </w:rPr>
        <w:t xml:space="preserve"> </w:t>
      </w:r>
      <w:r w:rsidRPr="00155F80">
        <w:rPr>
          <w:rFonts w:ascii="Times New Roman" w:hAnsi="Times New Roman"/>
        </w:rPr>
        <w:t>odlo</w:t>
      </w:r>
      <w:r w:rsidRPr="00155F80">
        <w:rPr>
          <w:rFonts w:ascii="Times New Roman" w:hAnsi="Times New Roman"/>
          <w:lang w:val="hr-HR"/>
        </w:rPr>
        <w:t>ž</w:t>
      </w:r>
      <w:r w:rsidRPr="00155F80">
        <w:rPr>
          <w:rFonts w:ascii="Times New Roman" w:hAnsi="Times New Roman"/>
        </w:rPr>
        <w:t>ene</w:t>
      </w:r>
      <w:r w:rsidRPr="00155F80">
        <w:rPr>
          <w:rFonts w:ascii="Times New Roman" w:hAnsi="Times New Roman"/>
          <w:lang w:val="hr-HR"/>
        </w:rPr>
        <w:t xml:space="preserve"> </w:t>
      </w:r>
      <w:r w:rsidRPr="00155F80">
        <w:rPr>
          <w:rFonts w:ascii="Times New Roman" w:hAnsi="Times New Roman"/>
        </w:rPr>
        <w:t>na</w:t>
      </w:r>
      <w:r w:rsidRPr="00155F80">
        <w:rPr>
          <w:rFonts w:ascii="Times New Roman" w:hAnsi="Times New Roman"/>
          <w:lang w:val="hr-HR"/>
        </w:rPr>
        <w:t xml:space="preserve"> </w:t>
      </w:r>
      <w:r w:rsidRPr="00155F80">
        <w:rPr>
          <w:rFonts w:ascii="Times New Roman" w:hAnsi="Times New Roman"/>
        </w:rPr>
        <w:t>nedozvoljenim</w:t>
      </w:r>
      <w:r w:rsidRPr="00155F80">
        <w:rPr>
          <w:rFonts w:ascii="Times New Roman" w:hAnsi="Times New Roman"/>
          <w:lang w:val="hr-HR"/>
        </w:rPr>
        <w:t xml:space="preserve"> </w:t>
      </w:r>
      <w:r w:rsidRPr="00155F80">
        <w:rPr>
          <w:rFonts w:ascii="Times New Roman" w:hAnsi="Times New Roman"/>
        </w:rPr>
        <w:t>mjestima</w:t>
      </w:r>
      <w:r w:rsidRPr="00155F80">
        <w:rPr>
          <w:rFonts w:ascii="Times New Roman" w:hAnsi="Times New Roman"/>
          <w:lang w:val="hr-HR"/>
        </w:rPr>
        <w:t xml:space="preserve"> - </w:t>
      </w:r>
      <w:r w:rsidRPr="00155F80">
        <w:rPr>
          <w:rFonts w:ascii="Times New Roman" w:hAnsi="Times New Roman"/>
        </w:rPr>
        <w:t>pored</w:t>
      </w:r>
      <w:r w:rsidRPr="00155F80">
        <w:rPr>
          <w:rFonts w:ascii="Times New Roman" w:hAnsi="Times New Roman"/>
          <w:lang w:val="hr-HR"/>
        </w:rPr>
        <w:t xml:space="preserve"> </w:t>
      </w:r>
      <w:r w:rsidRPr="00155F80">
        <w:rPr>
          <w:rFonts w:ascii="Times New Roman" w:hAnsi="Times New Roman"/>
        </w:rPr>
        <w:t>puteva</w:t>
      </w:r>
      <w:r w:rsidRPr="00155F80">
        <w:rPr>
          <w:rFonts w:ascii="Times New Roman" w:hAnsi="Times New Roman"/>
          <w:lang w:val="hr-HR"/>
        </w:rPr>
        <w:t xml:space="preserve">, </w:t>
      </w:r>
      <w:r w:rsidRPr="00155F80">
        <w:rPr>
          <w:rFonts w:ascii="Times New Roman" w:hAnsi="Times New Roman"/>
        </w:rPr>
        <w:t>na</w:t>
      </w:r>
      <w:r w:rsidRPr="00155F80">
        <w:rPr>
          <w:rFonts w:ascii="Times New Roman" w:hAnsi="Times New Roman"/>
          <w:lang w:val="hr-HR"/>
        </w:rPr>
        <w:t xml:space="preserve"> </w:t>
      </w:r>
      <w:r w:rsidRPr="00155F80">
        <w:rPr>
          <w:rFonts w:ascii="Times New Roman" w:hAnsi="Times New Roman"/>
        </w:rPr>
        <w:t>seoskim</w:t>
      </w:r>
      <w:r w:rsidRPr="00155F80">
        <w:rPr>
          <w:rFonts w:ascii="Times New Roman" w:hAnsi="Times New Roman"/>
          <w:lang w:val="hr-HR"/>
        </w:rPr>
        <w:t xml:space="preserve"> </w:t>
      </w:r>
      <w:r w:rsidRPr="00155F80">
        <w:rPr>
          <w:rFonts w:ascii="Times New Roman" w:hAnsi="Times New Roman"/>
        </w:rPr>
        <w:t>smetlji</w:t>
      </w:r>
      <w:r w:rsidRPr="00155F80">
        <w:rPr>
          <w:rFonts w:ascii="Times New Roman" w:hAnsi="Times New Roman"/>
          <w:lang w:val="hr-HR"/>
        </w:rPr>
        <w:t>š</w:t>
      </w:r>
      <w:r w:rsidRPr="00155F80">
        <w:rPr>
          <w:rFonts w:ascii="Times New Roman" w:hAnsi="Times New Roman"/>
        </w:rPr>
        <w:t>tima</w:t>
      </w:r>
      <w:r w:rsidRPr="00155F80">
        <w:rPr>
          <w:rFonts w:ascii="Times New Roman" w:hAnsi="Times New Roman"/>
          <w:lang w:val="hr-HR"/>
        </w:rPr>
        <w:t xml:space="preserve">, </w:t>
      </w:r>
      <w:r w:rsidRPr="00155F80">
        <w:rPr>
          <w:rFonts w:ascii="Times New Roman" w:hAnsi="Times New Roman"/>
        </w:rPr>
        <w:t>rije</w:t>
      </w:r>
      <w:r w:rsidRPr="00155F80">
        <w:rPr>
          <w:rFonts w:ascii="Times New Roman" w:hAnsi="Times New Roman"/>
          <w:lang w:val="hr-HR"/>
        </w:rPr>
        <w:t>č</w:t>
      </w:r>
      <w:r w:rsidRPr="00155F80">
        <w:rPr>
          <w:rFonts w:ascii="Times New Roman" w:hAnsi="Times New Roman"/>
        </w:rPr>
        <w:t>nim</w:t>
      </w:r>
      <w:r w:rsidRPr="00155F80">
        <w:rPr>
          <w:rFonts w:ascii="Times New Roman" w:hAnsi="Times New Roman"/>
          <w:lang w:val="hr-HR"/>
        </w:rPr>
        <w:t xml:space="preserve"> </w:t>
      </w:r>
      <w:r w:rsidRPr="00155F80">
        <w:rPr>
          <w:rFonts w:ascii="Times New Roman" w:hAnsi="Times New Roman"/>
        </w:rPr>
        <w:t>koritima</w:t>
      </w:r>
      <w:r w:rsidRPr="00155F80">
        <w:rPr>
          <w:rFonts w:ascii="Times New Roman" w:hAnsi="Times New Roman"/>
          <w:lang w:val="hr-HR"/>
        </w:rPr>
        <w:t xml:space="preserve"> </w:t>
      </w:r>
      <w:r w:rsidRPr="00155F80">
        <w:rPr>
          <w:rFonts w:ascii="Times New Roman" w:hAnsi="Times New Roman"/>
        </w:rPr>
        <w:t>ili</w:t>
      </w:r>
      <w:r w:rsidRPr="00155F80">
        <w:rPr>
          <w:rFonts w:ascii="Times New Roman" w:hAnsi="Times New Roman"/>
          <w:lang w:val="hr-HR"/>
        </w:rPr>
        <w:t xml:space="preserve"> </w:t>
      </w:r>
      <w:r w:rsidRPr="00155F80">
        <w:rPr>
          <w:rFonts w:ascii="Times New Roman" w:hAnsi="Times New Roman"/>
        </w:rPr>
        <w:t>napu</w:t>
      </w:r>
      <w:r w:rsidRPr="00155F80">
        <w:rPr>
          <w:rFonts w:ascii="Times New Roman" w:hAnsi="Times New Roman"/>
          <w:lang w:val="hr-HR"/>
        </w:rPr>
        <w:t>š</w:t>
      </w:r>
      <w:r w:rsidRPr="00155F80">
        <w:rPr>
          <w:rFonts w:ascii="Times New Roman" w:hAnsi="Times New Roman"/>
        </w:rPr>
        <w:t>tenim</w:t>
      </w:r>
      <w:r w:rsidRPr="00155F80">
        <w:rPr>
          <w:rFonts w:ascii="Times New Roman" w:hAnsi="Times New Roman"/>
          <w:lang w:val="hr-HR"/>
        </w:rPr>
        <w:t xml:space="preserve"> </w:t>
      </w:r>
      <w:r w:rsidRPr="00155F80">
        <w:rPr>
          <w:rFonts w:ascii="Times New Roman" w:hAnsi="Times New Roman"/>
        </w:rPr>
        <w:t>rudnicima</w:t>
      </w:r>
      <w:r w:rsidRPr="00155F80">
        <w:rPr>
          <w:rFonts w:ascii="Times New Roman" w:hAnsi="Times New Roman"/>
          <w:lang w:val="hr-HR"/>
        </w:rPr>
        <w:t xml:space="preserve">. </w:t>
      </w:r>
      <w:r w:rsidRPr="00155F80">
        <w:rPr>
          <w:rFonts w:ascii="Times New Roman" w:hAnsi="Times New Roman"/>
        </w:rPr>
        <w:t>Ova</w:t>
      </w:r>
      <w:r w:rsidRPr="00155F80">
        <w:rPr>
          <w:rFonts w:ascii="Times New Roman" w:hAnsi="Times New Roman"/>
          <w:lang w:val="hr-HR"/>
        </w:rPr>
        <w:t xml:space="preserve"> </w:t>
      </w:r>
      <w:r w:rsidRPr="00155F80">
        <w:rPr>
          <w:rFonts w:ascii="Times New Roman" w:hAnsi="Times New Roman"/>
        </w:rPr>
        <w:t>mjesta</w:t>
      </w:r>
      <w:r w:rsidRPr="00155F80">
        <w:rPr>
          <w:rFonts w:ascii="Times New Roman" w:hAnsi="Times New Roman"/>
          <w:lang w:val="hr-HR"/>
        </w:rPr>
        <w:t xml:space="preserve"> </w:t>
      </w:r>
      <w:r w:rsidRPr="00155F80">
        <w:rPr>
          <w:rFonts w:ascii="Times New Roman" w:hAnsi="Times New Roman"/>
        </w:rPr>
        <w:t>predstavljaju</w:t>
      </w:r>
      <w:r w:rsidRPr="00155F80">
        <w:rPr>
          <w:rFonts w:ascii="Times New Roman" w:hAnsi="Times New Roman"/>
          <w:lang w:val="hr-HR"/>
        </w:rPr>
        <w:t xml:space="preserve"> </w:t>
      </w:r>
      <w:r w:rsidRPr="00155F80">
        <w:rPr>
          <w:rFonts w:ascii="Times New Roman" w:hAnsi="Times New Roman"/>
        </w:rPr>
        <w:t>opasnost</w:t>
      </w:r>
      <w:r w:rsidRPr="00155F80">
        <w:rPr>
          <w:rFonts w:ascii="Times New Roman" w:hAnsi="Times New Roman"/>
          <w:lang w:val="hr-HR"/>
        </w:rPr>
        <w:t xml:space="preserve"> </w:t>
      </w:r>
      <w:r w:rsidRPr="00155F80">
        <w:rPr>
          <w:rFonts w:ascii="Times New Roman" w:hAnsi="Times New Roman"/>
        </w:rPr>
        <w:t>za</w:t>
      </w:r>
      <w:r w:rsidRPr="00155F80">
        <w:rPr>
          <w:rFonts w:ascii="Times New Roman" w:hAnsi="Times New Roman"/>
          <w:lang w:val="hr-HR"/>
        </w:rPr>
        <w:t xml:space="preserve"> </w:t>
      </w:r>
      <w:r w:rsidRPr="00155F80">
        <w:rPr>
          <w:rFonts w:ascii="Times New Roman" w:hAnsi="Times New Roman"/>
        </w:rPr>
        <w:t>podzemne</w:t>
      </w:r>
      <w:r w:rsidRPr="00155F80">
        <w:rPr>
          <w:rFonts w:ascii="Times New Roman" w:hAnsi="Times New Roman"/>
          <w:lang w:val="hr-HR"/>
        </w:rPr>
        <w:t xml:space="preserve"> </w:t>
      </w:r>
      <w:r w:rsidRPr="00155F80">
        <w:rPr>
          <w:rFonts w:ascii="Times New Roman" w:hAnsi="Times New Roman"/>
        </w:rPr>
        <w:t>vode</w:t>
      </w:r>
      <w:r w:rsidRPr="00155F80">
        <w:rPr>
          <w:rFonts w:ascii="Times New Roman" w:hAnsi="Times New Roman"/>
          <w:lang w:val="hr-HR"/>
        </w:rPr>
        <w:t xml:space="preserve"> </w:t>
      </w:r>
      <w:r w:rsidRPr="00155F80">
        <w:rPr>
          <w:rFonts w:ascii="Times New Roman" w:hAnsi="Times New Roman"/>
        </w:rPr>
        <w:t>koje</w:t>
      </w:r>
      <w:r w:rsidRPr="00155F80">
        <w:rPr>
          <w:rFonts w:ascii="Times New Roman" w:hAnsi="Times New Roman"/>
          <w:lang w:val="hr-HR"/>
        </w:rPr>
        <w:t xml:space="preserve"> </w:t>
      </w:r>
      <w:r w:rsidRPr="00155F80">
        <w:rPr>
          <w:rFonts w:ascii="Times New Roman" w:hAnsi="Times New Roman"/>
        </w:rPr>
        <w:t>o</w:t>
      </w:r>
      <w:r w:rsidR="00A305C2">
        <w:rPr>
          <w:rFonts w:ascii="Times New Roman" w:hAnsi="Times New Roman"/>
        </w:rPr>
        <w:t>siguravaju</w:t>
      </w:r>
      <w:r w:rsidRPr="00155F80">
        <w:rPr>
          <w:rFonts w:ascii="Times New Roman" w:hAnsi="Times New Roman"/>
          <w:lang w:val="hr-HR"/>
        </w:rPr>
        <w:t xml:space="preserve"> </w:t>
      </w:r>
      <w:r w:rsidRPr="00155F80">
        <w:rPr>
          <w:rFonts w:ascii="Times New Roman" w:hAnsi="Times New Roman"/>
        </w:rPr>
        <w:t>pitku</w:t>
      </w:r>
      <w:r w:rsidRPr="00155F80">
        <w:rPr>
          <w:rFonts w:ascii="Times New Roman" w:hAnsi="Times New Roman"/>
          <w:lang w:val="hr-HR"/>
        </w:rPr>
        <w:t xml:space="preserve"> </w:t>
      </w:r>
      <w:r w:rsidRPr="00155F80">
        <w:rPr>
          <w:rFonts w:ascii="Times New Roman" w:hAnsi="Times New Roman"/>
        </w:rPr>
        <w:t>vodu</w:t>
      </w:r>
      <w:r w:rsidRPr="00155F80">
        <w:rPr>
          <w:rFonts w:ascii="Times New Roman" w:hAnsi="Times New Roman"/>
          <w:lang w:val="hr-HR"/>
        </w:rPr>
        <w:t xml:space="preserve"> </w:t>
      </w:r>
      <w:r w:rsidRPr="00155F80">
        <w:rPr>
          <w:rFonts w:ascii="Times New Roman" w:hAnsi="Times New Roman"/>
        </w:rPr>
        <w:t>za</w:t>
      </w:r>
      <w:r w:rsidRPr="00155F80">
        <w:rPr>
          <w:rFonts w:ascii="Times New Roman" w:hAnsi="Times New Roman"/>
          <w:lang w:val="hr-HR"/>
        </w:rPr>
        <w:t xml:space="preserve"> s</w:t>
      </w:r>
      <w:r w:rsidRPr="00155F80">
        <w:rPr>
          <w:rFonts w:ascii="Times New Roman" w:hAnsi="Times New Roman"/>
        </w:rPr>
        <w:t>tanovni</w:t>
      </w:r>
      <w:r w:rsidRPr="00155F80">
        <w:rPr>
          <w:rFonts w:ascii="Times New Roman" w:hAnsi="Times New Roman"/>
          <w:lang w:val="hr-HR"/>
        </w:rPr>
        <w:t>š</w:t>
      </w:r>
      <w:r w:rsidRPr="00155F80">
        <w:rPr>
          <w:rFonts w:ascii="Times New Roman" w:hAnsi="Times New Roman"/>
        </w:rPr>
        <w:t>tvo</w:t>
      </w:r>
      <w:r w:rsidRPr="00155F80">
        <w:rPr>
          <w:rFonts w:ascii="Times New Roman" w:hAnsi="Times New Roman"/>
          <w:lang w:val="hr-HR"/>
        </w:rPr>
        <w:t xml:space="preserve">, </w:t>
      </w:r>
      <w:r w:rsidRPr="00155F80">
        <w:rPr>
          <w:rFonts w:ascii="Times New Roman" w:hAnsi="Times New Roman"/>
        </w:rPr>
        <w:t>a</w:t>
      </w:r>
      <w:r w:rsidRPr="00155F80">
        <w:rPr>
          <w:rFonts w:ascii="Times New Roman" w:hAnsi="Times New Roman"/>
          <w:lang w:val="hr-HR"/>
        </w:rPr>
        <w:t xml:space="preserve"> </w:t>
      </w:r>
      <w:r w:rsidRPr="00155F80">
        <w:rPr>
          <w:rFonts w:ascii="Times New Roman" w:hAnsi="Times New Roman"/>
        </w:rPr>
        <w:t>samim</w:t>
      </w:r>
      <w:r w:rsidRPr="00155F80">
        <w:rPr>
          <w:rFonts w:ascii="Times New Roman" w:hAnsi="Times New Roman"/>
          <w:lang w:val="hr-HR"/>
        </w:rPr>
        <w:t xml:space="preserve"> </w:t>
      </w:r>
      <w:r w:rsidRPr="00155F80">
        <w:rPr>
          <w:rFonts w:ascii="Times New Roman" w:hAnsi="Times New Roman"/>
        </w:rPr>
        <w:t>tim</w:t>
      </w:r>
      <w:r w:rsidRPr="00155F80">
        <w:rPr>
          <w:rFonts w:ascii="Times New Roman" w:hAnsi="Times New Roman"/>
          <w:lang w:val="hr-HR"/>
        </w:rPr>
        <w:t xml:space="preserve"> </w:t>
      </w:r>
      <w:r w:rsidRPr="00155F80">
        <w:rPr>
          <w:rFonts w:ascii="Times New Roman" w:hAnsi="Times New Roman"/>
        </w:rPr>
        <w:t>i</w:t>
      </w:r>
      <w:r w:rsidRPr="00155F80">
        <w:rPr>
          <w:rFonts w:ascii="Times New Roman" w:hAnsi="Times New Roman"/>
          <w:lang w:val="hr-HR"/>
        </w:rPr>
        <w:t xml:space="preserve"> </w:t>
      </w:r>
      <w:r w:rsidRPr="00155F80">
        <w:rPr>
          <w:rFonts w:ascii="Times New Roman" w:hAnsi="Times New Roman"/>
        </w:rPr>
        <w:t>rizik</w:t>
      </w:r>
      <w:r w:rsidRPr="00155F80">
        <w:rPr>
          <w:rFonts w:ascii="Times New Roman" w:hAnsi="Times New Roman"/>
          <w:lang w:val="hr-HR"/>
        </w:rPr>
        <w:t xml:space="preserve"> </w:t>
      </w:r>
      <w:r w:rsidRPr="00155F80">
        <w:rPr>
          <w:rFonts w:ascii="Times New Roman" w:hAnsi="Times New Roman"/>
        </w:rPr>
        <w:t>za</w:t>
      </w:r>
      <w:r w:rsidRPr="00155F80">
        <w:rPr>
          <w:rFonts w:ascii="Times New Roman" w:hAnsi="Times New Roman"/>
          <w:lang w:val="hr-HR"/>
        </w:rPr>
        <w:t xml:space="preserve"> </w:t>
      </w:r>
      <w:r w:rsidRPr="00155F80">
        <w:rPr>
          <w:rFonts w:ascii="Times New Roman" w:hAnsi="Times New Roman"/>
        </w:rPr>
        <w:t>ljudsko</w:t>
      </w:r>
      <w:r w:rsidRPr="00155F80">
        <w:rPr>
          <w:rFonts w:ascii="Times New Roman" w:hAnsi="Times New Roman"/>
          <w:lang w:val="hr-HR"/>
        </w:rPr>
        <w:t xml:space="preserve"> </w:t>
      </w:r>
      <w:r w:rsidRPr="00155F80">
        <w:rPr>
          <w:rFonts w:ascii="Times New Roman" w:hAnsi="Times New Roman"/>
        </w:rPr>
        <w:t>zdravlje</w:t>
      </w:r>
      <w:r w:rsidRPr="00155F80">
        <w:rPr>
          <w:rFonts w:ascii="Times New Roman" w:hAnsi="Times New Roman"/>
          <w:lang w:val="hr-HR"/>
        </w:rPr>
        <w:t xml:space="preserve"> </w:t>
      </w:r>
      <w:r w:rsidRPr="00155F80">
        <w:rPr>
          <w:rFonts w:ascii="Times New Roman" w:hAnsi="Times New Roman"/>
        </w:rPr>
        <w:t>usl</w:t>
      </w:r>
      <w:r w:rsidR="00A305C2">
        <w:rPr>
          <w:rFonts w:ascii="Times New Roman" w:hAnsi="Times New Roman"/>
        </w:rPr>
        <w:t>i</w:t>
      </w:r>
      <w:r w:rsidRPr="00155F80">
        <w:rPr>
          <w:rFonts w:ascii="Times New Roman" w:hAnsi="Times New Roman"/>
        </w:rPr>
        <w:t>jed</w:t>
      </w:r>
      <w:r w:rsidRPr="00155F80">
        <w:rPr>
          <w:rFonts w:ascii="Times New Roman" w:hAnsi="Times New Roman"/>
          <w:lang w:val="hr-HR"/>
        </w:rPr>
        <w:t xml:space="preserve"> </w:t>
      </w:r>
      <w:r w:rsidRPr="00155F80">
        <w:rPr>
          <w:rFonts w:ascii="Times New Roman" w:hAnsi="Times New Roman"/>
        </w:rPr>
        <w:t>spiranja</w:t>
      </w:r>
      <w:r w:rsidRPr="00155F80">
        <w:rPr>
          <w:rFonts w:ascii="Times New Roman" w:hAnsi="Times New Roman"/>
          <w:lang w:val="hr-HR"/>
        </w:rPr>
        <w:t xml:space="preserve"> </w:t>
      </w:r>
      <w:r w:rsidRPr="00155F80">
        <w:rPr>
          <w:rFonts w:ascii="Times New Roman" w:hAnsi="Times New Roman"/>
        </w:rPr>
        <w:t>i</w:t>
      </w:r>
      <w:r w:rsidRPr="00155F80">
        <w:rPr>
          <w:rFonts w:ascii="Times New Roman" w:hAnsi="Times New Roman"/>
          <w:lang w:val="hr-HR"/>
        </w:rPr>
        <w:t xml:space="preserve"> </w:t>
      </w:r>
      <w:r w:rsidRPr="00155F80">
        <w:rPr>
          <w:rFonts w:ascii="Times New Roman" w:hAnsi="Times New Roman"/>
        </w:rPr>
        <w:t>curenja</w:t>
      </w:r>
      <w:r w:rsidRPr="00155F80">
        <w:rPr>
          <w:rFonts w:ascii="Times New Roman" w:hAnsi="Times New Roman"/>
          <w:lang w:val="hr-HR"/>
        </w:rPr>
        <w:t xml:space="preserve"> </w:t>
      </w:r>
      <w:r w:rsidR="00A305C2">
        <w:rPr>
          <w:rFonts w:ascii="Times New Roman" w:hAnsi="Times New Roman"/>
        </w:rPr>
        <w:t>onečiščujućih</w:t>
      </w:r>
      <w:r w:rsidRPr="00155F80">
        <w:rPr>
          <w:rFonts w:ascii="Times New Roman" w:hAnsi="Times New Roman"/>
          <w:lang w:val="hr-HR"/>
        </w:rPr>
        <w:t xml:space="preserve"> </w:t>
      </w:r>
      <w:r w:rsidR="00A305C2">
        <w:rPr>
          <w:rFonts w:ascii="Times New Roman" w:hAnsi="Times New Roman"/>
        </w:rPr>
        <w:t>tvari</w:t>
      </w:r>
      <w:r w:rsidRPr="00155F80">
        <w:rPr>
          <w:rFonts w:ascii="Times New Roman" w:hAnsi="Times New Roman"/>
          <w:lang w:val="hr-HR"/>
        </w:rPr>
        <w:t xml:space="preserve">. Osim toga, tečne otpadne </w:t>
      </w:r>
      <w:r w:rsidR="00A305C2">
        <w:rPr>
          <w:rFonts w:ascii="Times New Roman" w:hAnsi="Times New Roman"/>
          <w:lang w:val="hr-HR"/>
        </w:rPr>
        <w:t>tvari</w:t>
      </w:r>
      <w:r w:rsidRPr="00155F80">
        <w:rPr>
          <w:rFonts w:ascii="Times New Roman" w:hAnsi="Times New Roman"/>
          <w:lang w:val="hr-HR"/>
        </w:rPr>
        <w:t xml:space="preserve"> se uglavnom bez prethodnog prečišćavanja ispuštaju u rijeke i jezera.</w:t>
      </w:r>
    </w:p>
    <w:p w:rsidR="00A131AD" w:rsidRPr="00155F80" w:rsidRDefault="00A131AD" w:rsidP="000C0138">
      <w:pPr>
        <w:spacing w:line="276" w:lineRule="auto"/>
        <w:rPr>
          <w:rFonts w:ascii="Times New Roman" w:hAnsi="Times New Roman"/>
          <w:lang w:val="hr-HR"/>
        </w:rPr>
      </w:pPr>
      <w:r w:rsidRPr="00155F80">
        <w:rPr>
          <w:rFonts w:ascii="Times New Roman" w:hAnsi="Times New Roman"/>
          <w:lang w:val="hr-HR"/>
        </w:rPr>
        <w:t xml:space="preserve">Jedan od vodećih javnozdravstvenih problema u svijetu su mikrobiološka i </w:t>
      </w:r>
      <w:r w:rsidR="00A305C2">
        <w:rPr>
          <w:rFonts w:ascii="Times New Roman" w:hAnsi="Times New Roman"/>
          <w:lang w:val="hr-HR"/>
        </w:rPr>
        <w:t>k</w:t>
      </w:r>
      <w:r w:rsidRPr="00155F80">
        <w:rPr>
          <w:rFonts w:ascii="Times New Roman" w:hAnsi="Times New Roman"/>
          <w:lang w:val="hr-HR"/>
        </w:rPr>
        <w:t>emijska onečišćenja hrane, koja su čest uzrok infekcija i trovanja stanovništva. Alimentarne toksikoinfekcije se nalaze na listi deset vodećih zaraznih oboljenj</w:t>
      </w:r>
      <w:r w:rsidR="00AA0D77" w:rsidRPr="00155F80">
        <w:rPr>
          <w:rFonts w:ascii="Times New Roman" w:hAnsi="Times New Roman"/>
          <w:lang w:val="hr-HR"/>
        </w:rPr>
        <w:t>a i na području Federacije BiH.</w:t>
      </w:r>
    </w:p>
    <w:p w:rsidR="00A131AD" w:rsidRPr="00155F80" w:rsidRDefault="00A131AD" w:rsidP="000C0138">
      <w:pPr>
        <w:spacing w:line="276" w:lineRule="auto"/>
        <w:rPr>
          <w:rFonts w:ascii="Times New Roman" w:hAnsi="Times New Roman"/>
          <w:lang w:val="hr-HR"/>
        </w:rPr>
      </w:pPr>
    </w:p>
    <w:p w:rsidR="00A131AD" w:rsidRPr="00155F80" w:rsidRDefault="008F6458" w:rsidP="000C0138">
      <w:pPr>
        <w:pStyle w:val="Poglavlje3"/>
        <w:spacing w:line="276" w:lineRule="auto"/>
        <w:rPr>
          <w:rStyle w:val="Emphasis"/>
          <w:iCs/>
        </w:rPr>
      </w:pPr>
      <w:bookmarkStart w:id="324" w:name="_Toc392229080"/>
      <w:bookmarkStart w:id="325" w:name="_Toc456095928"/>
      <w:r>
        <w:rPr>
          <w:rStyle w:val="Emphasis"/>
          <w:iCs/>
        </w:rPr>
        <w:t>4.2</w:t>
      </w:r>
      <w:r w:rsidR="000E1376" w:rsidRPr="00155F80">
        <w:rPr>
          <w:rStyle w:val="Emphasis"/>
          <w:iCs/>
        </w:rPr>
        <w:t xml:space="preserve">.1 </w:t>
      </w:r>
      <w:r w:rsidR="00A131AD" w:rsidRPr="00155F80">
        <w:rPr>
          <w:rStyle w:val="Emphasis"/>
          <w:iCs/>
        </w:rPr>
        <w:t>Voda za piće</w:t>
      </w:r>
      <w:bookmarkEnd w:id="324"/>
      <w:bookmarkEnd w:id="325"/>
    </w:p>
    <w:p w:rsidR="00A131AD" w:rsidRPr="00155F80" w:rsidRDefault="00A131AD" w:rsidP="000C0138">
      <w:pPr>
        <w:spacing w:line="276" w:lineRule="auto"/>
        <w:rPr>
          <w:rStyle w:val="Emphasis"/>
          <w:rFonts w:ascii="Times New Roman" w:hAnsi="Times New Roman"/>
          <w:b/>
          <w:bCs/>
          <w:i w:val="0"/>
          <w:iCs w:val="0"/>
        </w:rPr>
      </w:pPr>
    </w:p>
    <w:p w:rsidR="00A131AD" w:rsidRPr="00155F80" w:rsidRDefault="00A131AD" w:rsidP="000C0138">
      <w:pPr>
        <w:spacing w:line="276" w:lineRule="auto"/>
        <w:rPr>
          <w:rStyle w:val="Emphasis"/>
          <w:rFonts w:ascii="Times New Roman" w:hAnsi="Times New Roman"/>
          <w:i w:val="0"/>
          <w:iCs w:val="0"/>
        </w:rPr>
      </w:pPr>
      <w:r w:rsidRPr="00155F80">
        <w:rPr>
          <w:rStyle w:val="Emphasis"/>
          <w:rFonts w:ascii="Times New Roman" w:hAnsi="Times New Roman"/>
          <w:i w:val="0"/>
          <w:iCs w:val="0"/>
        </w:rPr>
        <w:t>Na području Federacije Bosne i Hercegovine ne postoji jedinstven registar vodoopskrbnih objekata, što onemogućava potpuni uvid u s</w:t>
      </w:r>
      <w:r w:rsidR="00DB0101">
        <w:rPr>
          <w:rStyle w:val="Emphasis"/>
          <w:rFonts w:ascii="Times New Roman" w:hAnsi="Times New Roman"/>
          <w:i w:val="0"/>
          <w:iCs w:val="0"/>
        </w:rPr>
        <w:t>ustav</w:t>
      </w:r>
      <w:r w:rsidRPr="00155F80">
        <w:rPr>
          <w:rStyle w:val="Emphasis"/>
          <w:rFonts w:ascii="Times New Roman" w:hAnsi="Times New Roman"/>
          <w:i w:val="0"/>
          <w:iCs w:val="0"/>
        </w:rPr>
        <w:t xml:space="preserve"> vodo</w:t>
      </w:r>
      <w:r w:rsidR="00DB0101">
        <w:rPr>
          <w:rStyle w:val="Emphasis"/>
          <w:rFonts w:ascii="Times New Roman" w:hAnsi="Times New Roman"/>
          <w:i w:val="0"/>
          <w:iCs w:val="0"/>
        </w:rPr>
        <w:t>opskrbe</w:t>
      </w:r>
      <w:r w:rsidRPr="00155F80">
        <w:rPr>
          <w:rStyle w:val="Emphasis"/>
          <w:rFonts w:ascii="Times New Roman" w:hAnsi="Times New Roman"/>
          <w:i w:val="0"/>
          <w:iCs w:val="0"/>
        </w:rPr>
        <w:t>, kao i d</w:t>
      </w:r>
      <w:r w:rsidR="00A87C61">
        <w:rPr>
          <w:rStyle w:val="Emphasis"/>
          <w:rFonts w:ascii="Times New Roman" w:hAnsi="Times New Roman"/>
          <w:i w:val="0"/>
          <w:iCs w:val="0"/>
        </w:rPr>
        <w:t>onošenje adekvatnih zaštitnih m</w:t>
      </w:r>
      <w:r w:rsidRPr="00155F80">
        <w:rPr>
          <w:rStyle w:val="Emphasis"/>
          <w:rFonts w:ascii="Times New Roman" w:hAnsi="Times New Roman"/>
          <w:i w:val="0"/>
          <w:iCs w:val="0"/>
        </w:rPr>
        <w:t xml:space="preserve">jera. Prema Strategiji upravljanja vodama Federacije BiH, koja je usvojena 2011. godine, na </w:t>
      </w:r>
      <w:r w:rsidR="00DB0101">
        <w:rPr>
          <w:rStyle w:val="Emphasis"/>
          <w:rFonts w:ascii="Times New Roman" w:hAnsi="Times New Roman"/>
          <w:i w:val="0"/>
          <w:iCs w:val="0"/>
        </w:rPr>
        <w:t xml:space="preserve">središnji </w:t>
      </w:r>
      <w:r w:rsidRPr="00155F80">
        <w:rPr>
          <w:rStyle w:val="Emphasis"/>
          <w:rFonts w:ascii="Times New Roman" w:hAnsi="Times New Roman"/>
          <w:i w:val="0"/>
          <w:iCs w:val="0"/>
        </w:rPr>
        <w:t>s</w:t>
      </w:r>
      <w:r w:rsidR="00DB0101">
        <w:rPr>
          <w:rStyle w:val="Emphasis"/>
          <w:rFonts w:ascii="Times New Roman" w:hAnsi="Times New Roman"/>
          <w:i w:val="0"/>
          <w:iCs w:val="0"/>
        </w:rPr>
        <w:t>ustav</w:t>
      </w:r>
      <w:r w:rsidRPr="00155F80">
        <w:rPr>
          <w:rStyle w:val="Emphasis"/>
          <w:rFonts w:ascii="Times New Roman" w:hAnsi="Times New Roman"/>
          <w:i w:val="0"/>
          <w:iCs w:val="0"/>
        </w:rPr>
        <w:t xml:space="preserve"> vodo</w:t>
      </w:r>
      <w:r w:rsidR="00DB0101">
        <w:rPr>
          <w:rStyle w:val="Emphasis"/>
          <w:rFonts w:ascii="Times New Roman" w:hAnsi="Times New Roman"/>
          <w:i w:val="0"/>
          <w:iCs w:val="0"/>
        </w:rPr>
        <w:t>opskrbe</w:t>
      </w:r>
      <w:r w:rsidRPr="00155F80">
        <w:rPr>
          <w:rStyle w:val="Emphasis"/>
          <w:rFonts w:ascii="Times New Roman" w:hAnsi="Times New Roman"/>
          <w:i w:val="0"/>
          <w:iCs w:val="0"/>
        </w:rPr>
        <w:t>, gdje se voda kontinuirano kontrolira na zdravstvenu ispravnost, priključeno je 60% stanovništva. Poboljšane izvore vode za piće (voda iz vodovoda, zaštićeni bunar, zaštićeni izvor) koristi 9</w:t>
      </w:r>
      <w:r w:rsidR="00AA0D77" w:rsidRPr="00155F80">
        <w:rPr>
          <w:rStyle w:val="Emphasis"/>
          <w:rFonts w:ascii="Times New Roman" w:hAnsi="Times New Roman"/>
          <w:i w:val="0"/>
          <w:iCs w:val="0"/>
        </w:rPr>
        <w:t>9,6% stanovništva.</w:t>
      </w:r>
    </w:p>
    <w:p w:rsidR="00A131AD" w:rsidRPr="00155F80" w:rsidRDefault="00A131AD" w:rsidP="000C0138">
      <w:pPr>
        <w:spacing w:line="276" w:lineRule="auto"/>
        <w:rPr>
          <w:rStyle w:val="Emphasis"/>
          <w:rFonts w:ascii="Times New Roman" w:hAnsi="Times New Roman"/>
          <w:i w:val="0"/>
          <w:iCs w:val="0"/>
        </w:rPr>
      </w:pPr>
      <w:r w:rsidRPr="00155F80">
        <w:rPr>
          <w:rStyle w:val="Emphasis"/>
          <w:rFonts w:ascii="Times New Roman" w:hAnsi="Times New Roman"/>
          <w:i w:val="0"/>
          <w:iCs w:val="0"/>
        </w:rPr>
        <w:t>Naša zemlja raspolaže značajnim vodnim resursima, ali kontrola zdravstvene ispravnosti vode nije u potpunosti zadovoljavajuća, posebno u ruralnim područjima, gdje se stanovništvo snabdijeva vodom iz individualnih vodnih objekata (bunari, cisterne, čatrnje, nekaptirani izvori). Najčešći uzročnici mikrobiološke kontaminacije vode za piće u ovim objektima vodo</w:t>
      </w:r>
      <w:r w:rsidR="00DB0101">
        <w:rPr>
          <w:rStyle w:val="Emphasis"/>
          <w:rFonts w:ascii="Times New Roman" w:hAnsi="Times New Roman"/>
          <w:i w:val="0"/>
          <w:iCs w:val="0"/>
        </w:rPr>
        <w:t>opskrbe</w:t>
      </w:r>
      <w:r w:rsidRPr="00155F80">
        <w:rPr>
          <w:rStyle w:val="Emphasis"/>
          <w:rFonts w:ascii="Times New Roman" w:hAnsi="Times New Roman"/>
          <w:i w:val="0"/>
          <w:iCs w:val="0"/>
        </w:rPr>
        <w:t xml:space="preserve"> su Escherichia coli i Enterococcus faecalis.</w:t>
      </w:r>
    </w:p>
    <w:p w:rsidR="00A131AD" w:rsidRPr="00155F80" w:rsidRDefault="00A131AD" w:rsidP="000C0138">
      <w:pPr>
        <w:spacing w:line="276" w:lineRule="auto"/>
        <w:rPr>
          <w:rStyle w:val="Emphasis"/>
          <w:rFonts w:ascii="Times New Roman" w:hAnsi="Times New Roman"/>
          <w:i w:val="0"/>
          <w:iCs w:val="0"/>
        </w:rPr>
      </w:pPr>
      <w:r w:rsidRPr="00155F80">
        <w:rPr>
          <w:rStyle w:val="Emphasis"/>
          <w:rFonts w:ascii="Times New Roman" w:hAnsi="Times New Roman"/>
          <w:i w:val="0"/>
          <w:iCs w:val="0"/>
        </w:rPr>
        <w:t xml:space="preserve">Na području Kantona Sarajevo </w:t>
      </w:r>
      <w:r w:rsidR="00DB0101">
        <w:rPr>
          <w:rStyle w:val="Emphasis"/>
          <w:rFonts w:ascii="Times New Roman" w:hAnsi="Times New Roman"/>
          <w:i w:val="0"/>
          <w:iCs w:val="0"/>
        </w:rPr>
        <w:t>središnjim</w:t>
      </w:r>
      <w:r w:rsidRPr="00155F80">
        <w:rPr>
          <w:rStyle w:val="Emphasis"/>
          <w:rFonts w:ascii="Times New Roman" w:hAnsi="Times New Roman"/>
          <w:i w:val="0"/>
          <w:iCs w:val="0"/>
        </w:rPr>
        <w:t xml:space="preserve"> s</w:t>
      </w:r>
      <w:r w:rsidR="00DB0101">
        <w:rPr>
          <w:rStyle w:val="Emphasis"/>
          <w:rFonts w:ascii="Times New Roman" w:hAnsi="Times New Roman"/>
          <w:i w:val="0"/>
          <w:iCs w:val="0"/>
        </w:rPr>
        <w:t>ustavom</w:t>
      </w:r>
      <w:r w:rsidRPr="00155F80">
        <w:rPr>
          <w:rStyle w:val="Emphasis"/>
          <w:rFonts w:ascii="Times New Roman" w:hAnsi="Times New Roman"/>
          <w:i w:val="0"/>
          <w:iCs w:val="0"/>
        </w:rPr>
        <w:t xml:space="preserve"> vodo</w:t>
      </w:r>
      <w:r w:rsidR="00DB0101">
        <w:rPr>
          <w:rStyle w:val="Emphasis"/>
          <w:rFonts w:ascii="Times New Roman" w:hAnsi="Times New Roman"/>
          <w:i w:val="0"/>
          <w:iCs w:val="0"/>
        </w:rPr>
        <w:t>opskrbe</w:t>
      </w:r>
      <w:r w:rsidRPr="00155F80">
        <w:rPr>
          <w:rStyle w:val="Emphasis"/>
          <w:rFonts w:ascii="Times New Roman" w:hAnsi="Times New Roman"/>
          <w:i w:val="0"/>
          <w:iCs w:val="0"/>
        </w:rPr>
        <w:t xml:space="preserve"> je obuhvaćeno 96,4% stanovništva, dok se ostali dio (3,6%) snabdijeva vodom za piće iz drugih vodnih objekata (lokalni vodovodi, bušeni </w:t>
      </w:r>
      <w:r w:rsidRPr="00155F80">
        <w:rPr>
          <w:rStyle w:val="Emphasis"/>
          <w:rFonts w:ascii="Times New Roman" w:hAnsi="Times New Roman"/>
          <w:i w:val="0"/>
          <w:iCs w:val="0"/>
        </w:rPr>
        <w:lastRenderedPageBreak/>
        <w:t>ili kopani bunari, pumpe, manja vrela itd.). Pod kontinuiranim nadzorom na području devet op</w:t>
      </w:r>
      <w:r w:rsidR="00DB0101">
        <w:rPr>
          <w:rStyle w:val="Emphasis"/>
          <w:rFonts w:ascii="Times New Roman" w:hAnsi="Times New Roman"/>
          <w:i w:val="0"/>
          <w:iCs w:val="0"/>
        </w:rPr>
        <w:t>ć</w:t>
      </w:r>
      <w:r w:rsidRPr="00155F80">
        <w:rPr>
          <w:rStyle w:val="Emphasis"/>
          <w:rFonts w:ascii="Times New Roman" w:hAnsi="Times New Roman"/>
          <w:i w:val="0"/>
          <w:iCs w:val="0"/>
        </w:rPr>
        <w:t>ina nalazi se 71 lokalni vodovod. T</w:t>
      </w:r>
      <w:r w:rsidR="00DB0101">
        <w:rPr>
          <w:rStyle w:val="Emphasis"/>
          <w:rFonts w:ascii="Times New Roman" w:hAnsi="Times New Roman"/>
          <w:i w:val="0"/>
          <w:iCs w:val="0"/>
        </w:rPr>
        <w:t>ije</w:t>
      </w:r>
      <w:r w:rsidRPr="00155F80">
        <w:rPr>
          <w:rStyle w:val="Emphasis"/>
          <w:rFonts w:ascii="Times New Roman" w:hAnsi="Times New Roman"/>
          <w:i w:val="0"/>
          <w:iCs w:val="0"/>
        </w:rPr>
        <w:t>kom protekle tri godine (2013</w:t>
      </w:r>
      <w:r w:rsidR="00EC077A">
        <w:rPr>
          <w:rStyle w:val="Emphasis"/>
          <w:rFonts w:ascii="Times New Roman" w:hAnsi="Times New Roman"/>
          <w:i w:val="0"/>
          <w:iCs w:val="0"/>
        </w:rPr>
        <w:t>.</w:t>
      </w:r>
      <w:r w:rsidRPr="00155F80">
        <w:rPr>
          <w:rStyle w:val="Emphasis"/>
          <w:rFonts w:ascii="Times New Roman" w:hAnsi="Times New Roman"/>
          <w:i w:val="0"/>
          <w:iCs w:val="0"/>
        </w:rPr>
        <w:t>-2015. godine) na području Kantona Sarajevo uzeti su uzorci vode za piće iz ukupno 60 predškolskih i školskih objekata na laboratorijske analize i ocjenu higijenske ispravnosti. Analizom izvješ</w:t>
      </w:r>
      <w:r w:rsidR="00DB0101">
        <w:rPr>
          <w:rStyle w:val="Emphasis"/>
          <w:rFonts w:ascii="Times New Roman" w:hAnsi="Times New Roman"/>
          <w:i w:val="0"/>
          <w:iCs w:val="0"/>
        </w:rPr>
        <w:t>ć</w:t>
      </w:r>
      <w:r w:rsidRPr="00155F80">
        <w:rPr>
          <w:rStyle w:val="Emphasis"/>
          <w:rFonts w:ascii="Times New Roman" w:hAnsi="Times New Roman"/>
          <w:i w:val="0"/>
          <w:iCs w:val="0"/>
        </w:rPr>
        <w:t>a o mikrobiološkim i fizičko-</w:t>
      </w:r>
      <w:r w:rsidR="00DB0101">
        <w:rPr>
          <w:rStyle w:val="Emphasis"/>
          <w:rFonts w:ascii="Times New Roman" w:hAnsi="Times New Roman"/>
          <w:i w:val="0"/>
          <w:iCs w:val="0"/>
        </w:rPr>
        <w:t>k</w:t>
      </w:r>
      <w:r w:rsidRPr="00155F80">
        <w:rPr>
          <w:rStyle w:val="Emphasis"/>
          <w:rFonts w:ascii="Times New Roman" w:hAnsi="Times New Roman"/>
          <w:i w:val="0"/>
          <w:iCs w:val="0"/>
        </w:rPr>
        <w:t>emijskim ispitivanjima utvrđeno je da su uzorci uzeti iz distribu</w:t>
      </w:r>
      <w:r w:rsidR="00DB0101">
        <w:rPr>
          <w:rStyle w:val="Emphasis"/>
          <w:rFonts w:ascii="Times New Roman" w:hAnsi="Times New Roman"/>
          <w:i w:val="0"/>
          <w:iCs w:val="0"/>
        </w:rPr>
        <w:t>cijske</w:t>
      </w:r>
      <w:r w:rsidRPr="00155F80">
        <w:rPr>
          <w:rStyle w:val="Emphasis"/>
          <w:rFonts w:ascii="Times New Roman" w:hAnsi="Times New Roman"/>
          <w:i w:val="0"/>
          <w:iCs w:val="0"/>
        </w:rPr>
        <w:t xml:space="preserve"> mreže krajnjeg korisnika zadovoljavali propisane standarde. </w:t>
      </w:r>
      <w:r w:rsidR="00DB0101">
        <w:rPr>
          <w:rStyle w:val="Emphasis"/>
          <w:rFonts w:ascii="Times New Roman" w:hAnsi="Times New Roman"/>
          <w:i w:val="0"/>
          <w:iCs w:val="0"/>
        </w:rPr>
        <w:t>Usporedbom</w:t>
      </w:r>
      <w:r w:rsidRPr="00155F80">
        <w:rPr>
          <w:rStyle w:val="Emphasis"/>
          <w:rFonts w:ascii="Times New Roman" w:hAnsi="Times New Roman"/>
          <w:i w:val="0"/>
          <w:iCs w:val="0"/>
        </w:rPr>
        <w:t xml:space="preserve"> rezultata ispitivanja higijenske ispravnosti voda za kupanje u posljednje tri godine (bazenske i rekreativne vode), evidentno je smanjenje procenta higijenski neispravnih uzoraka bazenske vode, ali i smanjenje ukupnog broja uzetih uzoraka na području Kantona Sarajevo. Najveći broj uzoraka koji nije odgovarao propisima Pravilnika o zdravstvenoj ispravnosti vode za piće („Sl. Glasnik BiH“ broj 40/10) imao je povećane vrijednosti amonijaka i </w:t>
      </w:r>
      <w:r w:rsidR="00DB0101">
        <w:rPr>
          <w:rStyle w:val="Emphasis"/>
          <w:rFonts w:ascii="Times New Roman" w:hAnsi="Times New Roman"/>
          <w:i w:val="0"/>
          <w:iCs w:val="0"/>
        </w:rPr>
        <w:t>k</w:t>
      </w:r>
      <w:r w:rsidRPr="00155F80">
        <w:rPr>
          <w:rStyle w:val="Emphasis"/>
          <w:rFonts w:ascii="Times New Roman" w:hAnsi="Times New Roman"/>
          <w:i w:val="0"/>
          <w:iCs w:val="0"/>
        </w:rPr>
        <w:t>lorida ili je sadržavao patogene bakterije Pseudomonas aeru</w:t>
      </w:r>
      <w:r w:rsidR="00AA0D77" w:rsidRPr="00155F80">
        <w:rPr>
          <w:rStyle w:val="Emphasis"/>
          <w:rFonts w:ascii="Times New Roman" w:hAnsi="Times New Roman"/>
          <w:i w:val="0"/>
          <w:iCs w:val="0"/>
        </w:rPr>
        <w:t>ginosa i Enterococcus faecalis.</w:t>
      </w:r>
    </w:p>
    <w:p w:rsidR="00A131AD" w:rsidRPr="00155F80" w:rsidRDefault="00A131AD" w:rsidP="000C0138">
      <w:pPr>
        <w:spacing w:line="276" w:lineRule="auto"/>
        <w:rPr>
          <w:rStyle w:val="Emphasis"/>
          <w:rFonts w:ascii="Times New Roman" w:hAnsi="Times New Roman"/>
          <w:i w:val="0"/>
          <w:iCs w:val="0"/>
        </w:rPr>
      </w:pPr>
      <w:r w:rsidRPr="00155F80">
        <w:rPr>
          <w:rStyle w:val="Emphasis"/>
          <w:rFonts w:ascii="Times New Roman" w:hAnsi="Times New Roman"/>
          <w:i w:val="0"/>
          <w:iCs w:val="0"/>
        </w:rPr>
        <w:t>U Unsko-sanskom, Hercegovačko-neretvanskom, Zeničko-dobojskom, Srednjebosanskom, Bosansko-podrinjskom kantona, Kantonu Tuzla, Zapadnohercegovačkom, Kantonu 10 i Posavskom kantonu, higijensko-sanitarno stanje vodnih objekata i s</w:t>
      </w:r>
      <w:r w:rsidR="00DB0101">
        <w:rPr>
          <w:rStyle w:val="Emphasis"/>
          <w:rFonts w:ascii="Times New Roman" w:hAnsi="Times New Roman"/>
          <w:i w:val="0"/>
          <w:iCs w:val="0"/>
        </w:rPr>
        <w:t>ustav</w:t>
      </w:r>
      <w:r w:rsidRPr="00155F80">
        <w:rPr>
          <w:rStyle w:val="Emphasis"/>
          <w:rFonts w:ascii="Times New Roman" w:hAnsi="Times New Roman"/>
          <w:i w:val="0"/>
          <w:iCs w:val="0"/>
        </w:rPr>
        <w:t xml:space="preserve"> javnozdravstvene kontrole vode za piće nisu u potpunosti zadovoljavajući. Izvorišta </w:t>
      </w:r>
      <w:r w:rsidR="00DB0101">
        <w:rPr>
          <w:rStyle w:val="Emphasis"/>
          <w:rFonts w:ascii="Times New Roman" w:hAnsi="Times New Roman"/>
          <w:i w:val="0"/>
          <w:iCs w:val="0"/>
        </w:rPr>
        <w:t>središnjih</w:t>
      </w:r>
      <w:r w:rsidRPr="00155F80">
        <w:rPr>
          <w:rStyle w:val="Emphasis"/>
          <w:rFonts w:ascii="Times New Roman" w:hAnsi="Times New Roman"/>
          <w:i w:val="0"/>
          <w:iCs w:val="0"/>
        </w:rPr>
        <w:t xml:space="preserve"> vodovoda uglavnom imaju reguliranu prvu i drugu zonu sanitarne zaštite. U većini kantona, prva zona sanitarne zaštite je zadovoljavajuće osigurana, dok se već u drugoj zaštitnoj zoni često nalazi jedan ili više potencijalnih </w:t>
      </w:r>
      <w:r w:rsidR="00DB0101">
        <w:rPr>
          <w:rStyle w:val="Emphasis"/>
          <w:rFonts w:ascii="Times New Roman" w:hAnsi="Times New Roman"/>
          <w:i w:val="0"/>
          <w:iCs w:val="0"/>
        </w:rPr>
        <w:t>onečišćivača</w:t>
      </w:r>
      <w:r w:rsidRPr="00155F80">
        <w:rPr>
          <w:rStyle w:val="Emphasis"/>
          <w:rFonts w:ascii="Times New Roman" w:hAnsi="Times New Roman"/>
          <w:i w:val="0"/>
          <w:iCs w:val="0"/>
        </w:rPr>
        <w:t xml:space="preserve">. Najčešći potencijalni </w:t>
      </w:r>
      <w:r w:rsidR="00DB0101">
        <w:rPr>
          <w:rStyle w:val="Emphasis"/>
          <w:rFonts w:ascii="Times New Roman" w:hAnsi="Times New Roman"/>
          <w:i w:val="0"/>
          <w:iCs w:val="0"/>
        </w:rPr>
        <w:t>onečišćivači</w:t>
      </w:r>
      <w:r w:rsidRPr="00155F80">
        <w:rPr>
          <w:rStyle w:val="Emphasis"/>
          <w:rFonts w:ascii="Times New Roman" w:hAnsi="Times New Roman"/>
          <w:i w:val="0"/>
          <w:iCs w:val="0"/>
        </w:rPr>
        <w:t xml:space="preserve"> su neuređene i divlje deponije. U većini </w:t>
      </w:r>
      <w:r w:rsidR="00DB0101">
        <w:rPr>
          <w:rStyle w:val="Emphasis"/>
          <w:rFonts w:ascii="Times New Roman" w:hAnsi="Times New Roman"/>
          <w:i w:val="0"/>
          <w:iCs w:val="0"/>
        </w:rPr>
        <w:t>središnjih</w:t>
      </w:r>
      <w:r w:rsidRPr="00155F80">
        <w:rPr>
          <w:rStyle w:val="Emphasis"/>
          <w:rFonts w:ascii="Times New Roman" w:hAnsi="Times New Roman"/>
          <w:i w:val="0"/>
          <w:iCs w:val="0"/>
        </w:rPr>
        <w:t xml:space="preserve"> vodovoda </w:t>
      </w:r>
      <w:r w:rsidR="00DB0101">
        <w:rPr>
          <w:rStyle w:val="Emphasis"/>
          <w:rFonts w:ascii="Times New Roman" w:hAnsi="Times New Roman"/>
          <w:i w:val="0"/>
          <w:iCs w:val="0"/>
        </w:rPr>
        <w:t>k</w:t>
      </w:r>
      <w:r w:rsidRPr="00155F80">
        <w:rPr>
          <w:rStyle w:val="Emphasis"/>
          <w:rFonts w:ascii="Times New Roman" w:hAnsi="Times New Roman"/>
          <w:i w:val="0"/>
          <w:iCs w:val="0"/>
        </w:rPr>
        <w:t xml:space="preserve">loriranje se </w:t>
      </w:r>
      <w:r w:rsidR="00DB0101">
        <w:rPr>
          <w:rStyle w:val="Emphasis"/>
          <w:rFonts w:ascii="Times New Roman" w:hAnsi="Times New Roman"/>
          <w:i w:val="0"/>
          <w:iCs w:val="0"/>
        </w:rPr>
        <w:t>obavlja</w:t>
      </w:r>
      <w:r w:rsidRPr="00155F80">
        <w:rPr>
          <w:rStyle w:val="Emphasis"/>
          <w:rFonts w:ascii="Times New Roman" w:hAnsi="Times New Roman"/>
          <w:i w:val="0"/>
          <w:iCs w:val="0"/>
        </w:rPr>
        <w:t xml:space="preserve"> automatski, uz redov</w:t>
      </w:r>
      <w:r w:rsidR="00DB0101">
        <w:rPr>
          <w:rStyle w:val="Emphasis"/>
          <w:rFonts w:ascii="Times New Roman" w:hAnsi="Times New Roman"/>
          <w:i w:val="0"/>
          <w:iCs w:val="0"/>
        </w:rPr>
        <w:t>it</w:t>
      </w:r>
      <w:r w:rsidRPr="00155F80">
        <w:rPr>
          <w:rStyle w:val="Emphasis"/>
          <w:rFonts w:ascii="Times New Roman" w:hAnsi="Times New Roman"/>
          <w:i w:val="0"/>
          <w:iCs w:val="0"/>
        </w:rPr>
        <w:t xml:space="preserve">u kontrolu rezidualnog </w:t>
      </w:r>
      <w:r w:rsidR="00DB0101">
        <w:rPr>
          <w:rStyle w:val="Emphasis"/>
          <w:rFonts w:ascii="Times New Roman" w:hAnsi="Times New Roman"/>
          <w:i w:val="0"/>
          <w:iCs w:val="0"/>
        </w:rPr>
        <w:t>k</w:t>
      </w:r>
      <w:r w:rsidRPr="00155F80">
        <w:rPr>
          <w:rStyle w:val="Emphasis"/>
          <w:rFonts w:ascii="Times New Roman" w:hAnsi="Times New Roman"/>
          <w:i w:val="0"/>
          <w:iCs w:val="0"/>
        </w:rPr>
        <w:t>lora. U individualnim lokalnim objektima vodo</w:t>
      </w:r>
      <w:r w:rsidR="00DB0101">
        <w:rPr>
          <w:rStyle w:val="Emphasis"/>
          <w:rFonts w:ascii="Times New Roman" w:hAnsi="Times New Roman"/>
          <w:i w:val="0"/>
          <w:iCs w:val="0"/>
        </w:rPr>
        <w:t>opskrbe</w:t>
      </w:r>
      <w:r w:rsidRPr="00155F80">
        <w:rPr>
          <w:rStyle w:val="Emphasis"/>
          <w:rFonts w:ascii="Times New Roman" w:hAnsi="Times New Roman"/>
          <w:i w:val="0"/>
          <w:iCs w:val="0"/>
        </w:rPr>
        <w:t xml:space="preserve"> </w:t>
      </w:r>
      <w:r w:rsidR="00DB0101">
        <w:rPr>
          <w:rStyle w:val="Emphasis"/>
          <w:rFonts w:ascii="Times New Roman" w:hAnsi="Times New Roman"/>
          <w:i w:val="0"/>
          <w:iCs w:val="0"/>
        </w:rPr>
        <w:t>k</w:t>
      </w:r>
      <w:r w:rsidRPr="00155F80">
        <w:rPr>
          <w:rStyle w:val="Emphasis"/>
          <w:rFonts w:ascii="Times New Roman" w:hAnsi="Times New Roman"/>
          <w:i w:val="0"/>
          <w:iCs w:val="0"/>
        </w:rPr>
        <w:t>loriranje se u većini slučajeva uop</w:t>
      </w:r>
      <w:r w:rsidR="00DB0101">
        <w:rPr>
          <w:rStyle w:val="Emphasis"/>
          <w:rFonts w:ascii="Times New Roman" w:hAnsi="Times New Roman"/>
          <w:i w:val="0"/>
          <w:iCs w:val="0"/>
        </w:rPr>
        <w:t>ć</w:t>
      </w:r>
      <w:r w:rsidRPr="00155F80">
        <w:rPr>
          <w:rStyle w:val="Emphasis"/>
          <w:rFonts w:ascii="Times New Roman" w:hAnsi="Times New Roman"/>
          <w:i w:val="0"/>
          <w:iCs w:val="0"/>
        </w:rPr>
        <w:t xml:space="preserve">e ne </w:t>
      </w:r>
      <w:r w:rsidR="00DB0101">
        <w:rPr>
          <w:rStyle w:val="Emphasis"/>
          <w:rFonts w:ascii="Times New Roman" w:hAnsi="Times New Roman"/>
          <w:i w:val="0"/>
          <w:iCs w:val="0"/>
        </w:rPr>
        <w:t>obavlja</w:t>
      </w:r>
      <w:r w:rsidRPr="00155F80">
        <w:rPr>
          <w:rStyle w:val="Emphasis"/>
          <w:rFonts w:ascii="Times New Roman" w:hAnsi="Times New Roman"/>
          <w:i w:val="0"/>
          <w:iCs w:val="0"/>
        </w:rPr>
        <w:t xml:space="preserve">, ili se povremeno </w:t>
      </w:r>
      <w:r w:rsidR="00DB0101">
        <w:rPr>
          <w:rStyle w:val="Emphasis"/>
          <w:rFonts w:ascii="Times New Roman" w:hAnsi="Times New Roman"/>
          <w:i w:val="0"/>
          <w:iCs w:val="0"/>
        </w:rPr>
        <w:t>obavlja</w:t>
      </w:r>
      <w:r w:rsidRPr="00155F80">
        <w:rPr>
          <w:rStyle w:val="Emphasis"/>
          <w:rFonts w:ascii="Times New Roman" w:hAnsi="Times New Roman"/>
          <w:i w:val="0"/>
          <w:iCs w:val="0"/>
        </w:rPr>
        <w:t xml:space="preserve"> ručno, dok zone sanitarne zaštite, uglavnom, nisu definirane. Što se tiče kontrole zdravstvene ispravnosti vode za piće, zbog nedostatka s</w:t>
      </w:r>
      <w:r w:rsidR="00DB0101">
        <w:rPr>
          <w:rStyle w:val="Emphasis"/>
          <w:rFonts w:ascii="Times New Roman" w:hAnsi="Times New Roman"/>
          <w:i w:val="0"/>
          <w:iCs w:val="0"/>
        </w:rPr>
        <w:t>u</w:t>
      </w:r>
      <w:r w:rsidRPr="00155F80">
        <w:rPr>
          <w:rStyle w:val="Emphasis"/>
          <w:rFonts w:ascii="Times New Roman" w:hAnsi="Times New Roman"/>
          <w:i w:val="0"/>
          <w:iCs w:val="0"/>
        </w:rPr>
        <w:t>vremene opreme nije moguće određivati parametre kao što su pesticidi, fenoli, mineralna ulja i neki teški metali, a  nedostatan je i broj ispitivanih uzoraka vode. U školama i vrtićima u Zeničko</w:t>
      </w:r>
      <w:r w:rsidR="00DB0101">
        <w:rPr>
          <w:rStyle w:val="Emphasis"/>
          <w:rFonts w:ascii="Times New Roman" w:hAnsi="Times New Roman"/>
          <w:i w:val="0"/>
          <w:iCs w:val="0"/>
        </w:rPr>
        <w:t>-</w:t>
      </w:r>
      <w:r w:rsidRPr="00155F80">
        <w:rPr>
          <w:rStyle w:val="Emphasis"/>
          <w:rFonts w:ascii="Times New Roman" w:hAnsi="Times New Roman"/>
          <w:i w:val="0"/>
          <w:iCs w:val="0"/>
        </w:rPr>
        <w:t xml:space="preserve">dobojskom kantonu i Kantonu Tuzla </w:t>
      </w:r>
      <w:r w:rsidR="00DB0101">
        <w:rPr>
          <w:rStyle w:val="Emphasis"/>
          <w:rFonts w:ascii="Times New Roman" w:hAnsi="Times New Roman"/>
          <w:i w:val="0"/>
          <w:iCs w:val="0"/>
        </w:rPr>
        <w:t>obavlja</w:t>
      </w:r>
      <w:r w:rsidRPr="00155F80">
        <w:rPr>
          <w:rStyle w:val="Emphasis"/>
          <w:rFonts w:ascii="Times New Roman" w:hAnsi="Times New Roman"/>
          <w:i w:val="0"/>
          <w:iCs w:val="0"/>
        </w:rPr>
        <w:t xml:space="preserve"> se kontinuirana kontrola vode za piće. Na području Federacije u ljet</w:t>
      </w:r>
      <w:r w:rsidR="00DB0101">
        <w:rPr>
          <w:rStyle w:val="Emphasis"/>
          <w:rFonts w:ascii="Times New Roman" w:hAnsi="Times New Roman"/>
          <w:i w:val="0"/>
          <w:iCs w:val="0"/>
        </w:rPr>
        <w:t>nom</w:t>
      </w:r>
      <w:r w:rsidRPr="00155F80">
        <w:rPr>
          <w:rStyle w:val="Emphasis"/>
          <w:rFonts w:ascii="Times New Roman" w:hAnsi="Times New Roman"/>
          <w:i w:val="0"/>
          <w:iCs w:val="0"/>
        </w:rPr>
        <w:t xml:space="preserve"> </w:t>
      </w:r>
      <w:r w:rsidR="00DB0101">
        <w:rPr>
          <w:rStyle w:val="Emphasis"/>
          <w:rFonts w:ascii="Times New Roman" w:hAnsi="Times New Roman"/>
          <w:i w:val="0"/>
          <w:iCs w:val="0"/>
        </w:rPr>
        <w:t>razdoblju</w:t>
      </w:r>
      <w:r w:rsidRPr="00155F80">
        <w:rPr>
          <w:rStyle w:val="Emphasis"/>
          <w:rFonts w:ascii="Times New Roman" w:hAnsi="Times New Roman"/>
          <w:i w:val="0"/>
          <w:iCs w:val="0"/>
        </w:rPr>
        <w:t xml:space="preserve">, zavodi za javno zdravstvo </w:t>
      </w:r>
      <w:r w:rsidR="00DB0101">
        <w:rPr>
          <w:rStyle w:val="Emphasis"/>
          <w:rFonts w:ascii="Times New Roman" w:hAnsi="Times New Roman"/>
          <w:i w:val="0"/>
          <w:iCs w:val="0"/>
        </w:rPr>
        <w:t>obavljaju</w:t>
      </w:r>
      <w:r w:rsidRPr="00155F80">
        <w:rPr>
          <w:rStyle w:val="Emphasis"/>
          <w:rFonts w:ascii="Times New Roman" w:hAnsi="Times New Roman"/>
          <w:i w:val="0"/>
          <w:iCs w:val="0"/>
        </w:rPr>
        <w:t xml:space="preserve"> periodičnu kontrolu kvaliteta i zdravstvene ispravnosti voda za kupanje. Procenat </w:t>
      </w:r>
      <w:r w:rsidR="00DB0101">
        <w:rPr>
          <w:rStyle w:val="Emphasis"/>
          <w:rFonts w:ascii="Times New Roman" w:hAnsi="Times New Roman"/>
          <w:i w:val="0"/>
          <w:iCs w:val="0"/>
        </w:rPr>
        <w:t>k</w:t>
      </w:r>
      <w:r w:rsidRPr="00155F80">
        <w:rPr>
          <w:rStyle w:val="Emphasis"/>
          <w:rFonts w:ascii="Times New Roman" w:hAnsi="Times New Roman"/>
          <w:i w:val="0"/>
          <w:iCs w:val="0"/>
        </w:rPr>
        <w:t>emijski neispravnih uzoraka je veći od mikrobiološki neispravnih uzoraka ovih voda. Najčešći uzroci fizičko-</w:t>
      </w:r>
      <w:r w:rsidR="00DB0101">
        <w:rPr>
          <w:rStyle w:val="Emphasis"/>
          <w:rFonts w:ascii="Times New Roman" w:hAnsi="Times New Roman"/>
          <w:i w:val="0"/>
          <w:iCs w:val="0"/>
        </w:rPr>
        <w:t>k</w:t>
      </w:r>
      <w:r w:rsidRPr="00155F80">
        <w:rPr>
          <w:rStyle w:val="Emphasis"/>
          <w:rFonts w:ascii="Times New Roman" w:hAnsi="Times New Roman"/>
          <w:i w:val="0"/>
          <w:iCs w:val="0"/>
        </w:rPr>
        <w:t>emijske neispravnosti su ph vrijednost, suspend</w:t>
      </w:r>
      <w:r w:rsidR="00DB0101">
        <w:rPr>
          <w:rStyle w:val="Emphasis"/>
          <w:rFonts w:ascii="Times New Roman" w:hAnsi="Times New Roman"/>
          <w:i w:val="0"/>
          <w:iCs w:val="0"/>
        </w:rPr>
        <w:t>irane</w:t>
      </w:r>
      <w:r w:rsidRPr="00155F80">
        <w:rPr>
          <w:rStyle w:val="Emphasis"/>
          <w:rFonts w:ascii="Times New Roman" w:hAnsi="Times New Roman"/>
          <w:i w:val="0"/>
          <w:iCs w:val="0"/>
        </w:rPr>
        <w:t xml:space="preserve"> materije i rezidualni </w:t>
      </w:r>
      <w:r w:rsidR="00DB0101">
        <w:rPr>
          <w:rStyle w:val="Emphasis"/>
          <w:rFonts w:ascii="Times New Roman" w:hAnsi="Times New Roman"/>
          <w:i w:val="0"/>
          <w:iCs w:val="0"/>
        </w:rPr>
        <w:t>k</w:t>
      </w:r>
      <w:r w:rsidRPr="00155F80">
        <w:rPr>
          <w:rStyle w:val="Emphasis"/>
          <w:rFonts w:ascii="Times New Roman" w:hAnsi="Times New Roman"/>
          <w:i w:val="0"/>
          <w:iCs w:val="0"/>
        </w:rPr>
        <w:t xml:space="preserve">lor, a mikrobiološke Escherichia coli, Pseudomonas aeruginosa, Enterococcus faecalis i Enterobacter species. </w:t>
      </w:r>
    </w:p>
    <w:p w:rsidR="00A131AD" w:rsidRPr="00155F80" w:rsidRDefault="00A131AD" w:rsidP="000C0138">
      <w:pPr>
        <w:spacing w:line="276" w:lineRule="auto"/>
        <w:rPr>
          <w:rFonts w:ascii="Times New Roman" w:hAnsi="Times New Roman"/>
          <w:lang w:val="sl-SI"/>
        </w:rPr>
      </w:pPr>
      <w:r w:rsidRPr="00155F80">
        <w:rPr>
          <w:rStyle w:val="Emphasis"/>
          <w:rFonts w:ascii="Times New Roman" w:hAnsi="Times New Roman"/>
          <w:i w:val="0"/>
          <w:iCs w:val="0"/>
        </w:rPr>
        <w:t>O</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kvalitetu</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vodo</w:t>
      </w:r>
      <w:r w:rsidR="00DB0101">
        <w:rPr>
          <w:rStyle w:val="Emphasis"/>
          <w:rFonts w:ascii="Times New Roman" w:hAnsi="Times New Roman"/>
          <w:i w:val="0"/>
          <w:iCs w:val="0"/>
        </w:rPr>
        <w:t>opskrbe</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mo</w:t>
      </w:r>
      <w:r w:rsidRPr="00155F80">
        <w:rPr>
          <w:rStyle w:val="Emphasis"/>
          <w:rFonts w:ascii="Times New Roman" w:hAnsi="Times New Roman"/>
          <w:i w:val="0"/>
          <w:iCs w:val="0"/>
          <w:lang w:val="bs-Latn-BA"/>
        </w:rPr>
        <w:t>ž</w:t>
      </w:r>
      <w:r w:rsidRPr="00155F80">
        <w:rPr>
          <w:rStyle w:val="Emphasis"/>
          <w:rFonts w:ascii="Times New Roman" w:hAnsi="Times New Roman"/>
          <w:i w:val="0"/>
          <w:iCs w:val="0"/>
        </w:rPr>
        <w:t>e</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se</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suditi</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i</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po</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epidemiolo</w:t>
      </w:r>
      <w:r w:rsidRPr="00155F80">
        <w:rPr>
          <w:rStyle w:val="Emphasis"/>
          <w:rFonts w:ascii="Times New Roman" w:hAnsi="Times New Roman"/>
          <w:i w:val="0"/>
          <w:iCs w:val="0"/>
          <w:lang w:val="bs-Latn-BA"/>
        </w:rPr>
        <w:t>š</w:t>
      </w:r>
      <w:r w:rsidRPr="00155F80">
        <w:rPr>
          <w:rStyle w:val="Emphasis"/>
          <w:rFonts w:ascii="Times New Roman" w:hAnsi="Times New Roman"/>
          <w:i w:val="0"/>
          <w:iCs w:val="0"/>
        </w:rPr>
        <w:t>koj</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situaciji</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vezanoj</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za</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oboljenja</w:t>
      </w:r>
      <w:r w:rsidRPr="00155F80">
        <w:rPr>
          <w:rStyle w:val="Emphasis"/>
          <w:rFonts w:ascii="Times New Roman" w:hAnsi="Times New Roman"/>
          <w:i w:val="0"/>
          <w:iCs w:val="0"/>
          <w:lang w:val="bs-Latn-BA"/>
        </w:rPr>
        <w:t xml:space="preserve"> č</w:t>
      </w:r>
      <w:r w:rsidRPr="00155F80">
        <w:rPr>
          <w:rStyle w:val="Emphasis"/>
          <w:rFonts w:ascii="Times New Roman" w:hAnsi="Times New Roman"/>
          <w:i w:val="0"/>
          <w:iCs w:val="0"/>
        </w:rPr>
        <w:t>iji</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se</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uzro</w:t>
      </w:r>
      <w:r w:rsidRPr="00155F80">
        <w:rPr>
          <w:rStyle w:val="Emphasis"/>
          <w:rFonts w:ascii="Times New Roman" w:hAnsi="Times New Roman"/>
          <w:i w:val="0"/>
          <w:iCs w:val="0"/>
          <w:lang w:val="bs-Latn-BA"/>
        </w:rPr>
        <w:t>č</w:t>
      </w:r>
      <w:r w:rsidRPr="00155F80">
        <w:rPr>
          <w:rStyle w:val="Emphasis"/>
          <w:rFonts w:ascii="Times New Roman" w:hAnsi="Times New Roman"/>
          <w:i w:val="0"/>
          <w:iCs w:val="0"/>
        </w:rPr>
        <w:t>nici</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mogu</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nalaziti</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u</w:t>
      </w:r>
      <w:r w:rsidRPr="00155F80">
        <w:rPr>
          <w:rStyle w:val="Emphasis"/>
          <w:rFonts w:ascii="Times New Roman" w:hAnsi="Times New Roman"/>
          <w:i w:val="0"/>
          <w:iCs w:val="0"/>
          <w:lang w:val="bs-Latn-BA"/>
        </w:rPr>
        <w:t xml:space="preserve"> </w:t>
      </w:r>
      <w:r w:rsidR="00FE3B0D">
        <w:rPr>
          <w:rStyle w:val="Emphasis"/>
          <w:rFonts w:ascii="Times New Roman" w:hAnsi="Times New Roman"/>
          <w:i w:val="0"/>
          <w:iCs w:val="0"/>
        </w:rPr>
        <w:t>onečišćenoj</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vodi</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a</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to</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su</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na</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prvom</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mjestu</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crijevne</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zarazne</w:t>
      </w:r>
      <w:r w:rsidRPr="00155F80">
        <w:rPr>
          <w:rStyle w:val="Emphasis"/>
          <w:rFonts w:ascii="Times New Roman" w:hAnsi="Times New Roman"/>
          <w:i w:val="0"/>
          <w:iCs w:val="0"/>
          <w:lang w:val="bs-Latn-BA"/>
        </w:rPr>
        <w:t xml:space="preserve"> </w:t>
      </w:r>
      <w:r w:rsidRPr="00155F80">
        <w:rPr>
          <w:rStyle w:val="Emphasis"/>
          <w:rFonts w:ascii="Times New Roman" w:hAnsi="Times New Roman"/>
          <w:i w:val="0"/>
          <w:iCs w:val="0"/>
        </w:rPr>
        <w:t>bolesti</w:t>
      </w:r>
      <w:r w:rsidRPr="00155F80">
        <w:rPr>
          <w:rStyle w:val="Emphasis"/>
          <w:rFonts w:ascii="Times New Roman" w:hAnsi="Times New Roman"/>
          <w:i w:val="0"/>
          <w:iCs w:val="0"/>
          <w:lang w:val="bs-Latn-BA"/>
        </w:rPr>
        <w:t>.</w:t>
      </w:r>
      <w:r w:rsidR="00AA0D77" w:rsidRPr="00155F80">
        <w:rPr>
          <w:rFonts w:ascii="Times New Roman" w:hAnsi="Times New Roman"/>
          <w:lang w:val="sl-SI"/>
        </w:rPr>
        <w:t xml:space="preserve"> </w:t>
      </w:r>
      <w:r w:rsidRPr="00155F80">
        <w:rPr>
          <w:rFonts w:ascii="Times New Roman" w:hAnsi="Times New Roman"/>
          <w:lang w:val="sl-SI"/>
        </w:rPr>
        <w:t>Stopa incidenc</w:t>
      </w:r>
      <w:r w:rsidR="00DB0101">
        <w:rPr>
          <w:rFonts w:ascii="Times New Roman" w:hAnsi="Times New Roman"/>
          <w:lang w:val="sl-SI"/>
        </w:rPr>
        <w:t>ij</w:t>
      </w:r>
      <w:r w:rsidRPr="00155F80">
        <w:rPr>
          <w:rFonts w:ascii="Times New Roman" w:hAnsi="Times New Roman"/>
          <w:lang w:val="sl-SI"/>
        </w:rPr>
        <w:t>e u 2015. godini, (236,94/100000) je veća u odnosu na 2014.</w:t>
      </w:r>
      <w:r w:rsidR="0059128D">
        <w:rPr>
          <w:rFonts w:ascii="Times New Roman" w:hAnsi="Times New Roman"/>
          <w:lang w:val="sl-SI"/>
        </w:rPr>
        <w:t xml:space="preserve"> godine</w:t>
      </w:r>
      <w:r w:rsidRPr="00155F80">
        <w:rPr>
          <w:rFonts w:ascii="Times New Roman" w:hAnsi="Times New Roman"/>
          <w:lang w:val="sl-SI"/>
        </w:rPr>
        <w:t xml:space="preserve"> (183,5/100000) i 2013</w:t>
      </w:r>
      <w:r w:rsidR="0059128D">
        <w:rPr>
          <w:rFonts w:ascii="Times New Roman" w:hAnsi="Times New Roman"/>
          <w:lang w:val="sl-SI"/>
        </w:rPr>
        <w:t xml:space="preserve">. </w:t>
      </w:r>
      <w:r w:rsidRPr="00155F80">
        <w:rPr>
          <w:rFonts w:ascii="Times New Roman" w:hAnsi="Times New Roman"/>
          <w:lang w:val="sl-SI"/>
        </w:rPr>
        <w:t xml:space="preserve"> godinu </w:t>
      </w:r>
      <w:r w:rsidRPr="00155F80">
        <w:rPr>
          <w:rStyle w:val="Emphasis"/>
          <w:rFonts w:ascii="Times New Roman" w:hAnsi="Times New Roman"/>
          <w:i w:val="0"/>
          <w:iCs w:val="0"/>
          <w:lang w:val="sl-SI"/>
        </w:rPr>
        <w:t>(189,90/100.000 stanovnika)</w:t>
      </w:r>
      <w:r w:rsidRPr="00155F80">
        <w:rPr>
          <w:rFonts w:ascii="Times New Roman" w:hAnsi="Times New Roman"/>
          <w:lang w:val="sl-SI"/>
        </w:rPr>
        <w:t xml:space="preserve">. </w:t>
      </w:r>
    </w:p>
    <w:p w:rsidR="00F8495E" w:rsidRDefault="00A131AD" w:rsidP="003066C2">
      <w:pPr>
        <w:spacing w:line="276" w:lineRule="auto"/>
        <w:rPr>
          <w:rStyle w:val="Emphasis"/>
          <w:rFonts w:ascii="Times New Roman" w:hAnsi="Times New Roman"/>
          <w:i w:val="0"/>
          <w:iCs w:val="0"/>
        </w:rPr>
      </w:pPr>
      <w:r w:rsidRPr="00155F80">
        <w:rPr>
          <w:rStyle w:val="Emphasis"/>
          <w:rFonts w:ascii="Times New Roman" w:hAnsi="Times New Roman"/>
          <w:i w:val="0"/>
          <w:iCs w:val="0"/>
          <w:lang w:val="sl-SI"/>
        </w:rPr>
        <w:t xml:space="preserve">Zavod za javno zdravstvo Federacije BiH </w:t>
      </w:r>
      <w:r w:rsidR="00DB0101">
        <w:rPr>
          <w:rStyle w:val="Emphasis"/>
          <w:rFonts w:ascii="Times New Roman" w:hAnsi="Times New Roman"/>
          <w:i w:val="0"/>
          <w:iCs w:val="0"/>
          <w:lang w:val="sl-SI"/>
        </w:rPr>
        <w:t>obavlja</w:t>
      </w:r>
      <w:r w:rsidRPr="00155F80">
        <w:rPr>
          <w:rStyle w:val="Emphasis"/>
          <w:rFonts w:ascii="Times New Roman" w:hAnsi="Times New Roman"/>
          <w:i w:val="0"/>
          <w:iCs w:val="0"/>
          <w:lang w:val="sl-SI"/>
        </w:rPr>
        <w:t xml:space="preserve"> analize na osnovne fizičko-kemijske i mikrobiološke parametre, kao i veliki broj drugih toksikoloških parametara, prema zahtjevima inspekcijskih organa i kroz ugovorne usluge s komunalnim poduzećima i punionicama izvorske, stolne i mineralne vode. </w:t>
      </w:r>
      <w:r w:rsidR="00914983">
        <w:rPr>
          <w:rStyle w:val="Emphasis"/>
          <w:rFonts w:ascii="Times New Roman" w:hAnsi="Times New Roman"/>
          <w:i w:val="0"/>
          <w:iCs w:val="0"/>
        </w:rPr>
        <w:t>U su</w:t>
      </w:r>
      <w:r w:rsidRPr="00155F80">
        <w:rPr>
          <w:rStyle w:val="Emphasis"/>
          <w:rFonts w:ascii="Times New Roman" w:hAnsi="Times New Roman"/>
          <w:i w:val="0"/>
          <w:iCs w:val="0"/>
        </w:rPr>
        <w:t xml:space="preserve">radnji s Agencijom za vodno područje slivova Jadranskog mora </w:t>
      </w:r>
      <w:r w:rsidR="00914983">
        <w:rPr>
          <w:rStyle w:val="Emphasis"/>
          <w:rFonts w:ascii="Times New Roman" w:hAnsi="Times New Roman"/>
          <w:i w:val="0"/>
          <w:iCs w:val="0"/>
        </w:rPr>
        <w:t>obavlja</w:t>
      </w:r>
      <w:r w:rsidRPr="00155F80">
        <w:rPr>
          <w:rStyle w:val="Emphasis"/>
          <w:rFonts w:ascii="Times New Roman" w:hAnsi="Times New Roman"/>
          <w:i w:val="0"/>
          <w:iCs w:val="0"/>
        </w:rPr>
        <w:t xml:space="preserve"> se monitoring </w:t>
      </w:r>
      <w:r w:rsidR="00914983">
        <w:rPr>
          <w:rStyle w:val="Emphasis"/>
          <w:rFonts w:ascii="Times New Roman" w:hAnsi="Times New Roman"/>
          <w:i w:val="0"/>
          <w:iCs w:val="0"/>
        </w:rPr>
        <w:t>k</w:t>
      </w:r>
      <w:r w:rsidRPr="00155F80">
        <w:rPr>
          <w:rStyle w:val="Emphasis"/>
          <w:rFonts w:ascii="Times New Roman" w:hAnsi="Times New Roman"/>
          <w:i w:val="0"/>
          <w:iCs w:val="0"/>
        </w:rPr>
        <w:t>emijskih, mikrobioloških i radioloških parametara u podzemnim i površinskim vodama rijeka Neretve i Cetine, od izvora do ušća, njihovih pritoka, prirodnih jezera i vještačkih akumulacija, te mora na području op</w:t>
      </w:r>
      <w:r w:rsidR="00914983">
        <w:rPr>
          <w:rStyle w:val="Emphasis"/>
          <w:rFonts w:ascii="Times New Roman" w:hAnsi="Times New Roman"/>
          <w:i w:val="0"/>
          <w:iCs w:val="0"/>
        </w:rPr>
        <w:t>ć</w:t>
      </w:r>
      <w:r w:rsidRPr="00155F80">
        <w:rPr>
          <w:rStyle w:val="Emphasis"/>
          <w:rFonts w:ascii="Times New Roman" w:hAnsi="Times New Roman"/>
          <w:i w:val="0"/>
          <w:iCs w:val="0"/>
        </w:rPr>
        <w:t>ine Neum.</w:t>
      </w:r>
    </w:p>
    <w:p w:rsidR="003066C2" w:rsidRDefault="003066C2" w:rsidP="003066C2">
      <w:pPr>
        <w:spacing w:line="276" w:lineRule="auto"/>
        <w:rPr>
          <w:rStyle w:val="Emphasis"/>
          <w:rFonts w:ascii="Times New Roman" w:eastAsiaTheme="majorEastAsia" w:hAnsi="Times New Roman"/>
          <w:b/>
          <w:bCs/>
          <w:i w:val="0"/>
        </w:rPr>
      </w:pPr>
    </w:p>
    <w:p w:rsidR="00A131AD" w:rsidRPr="00155F80" w:rsidRDefault="008F6458" w:rsidP="000C0138">
      <w:pPr>
        <w:pStyle w:val="Poglavlje3"/>
        <w:spacing w:line="276" w:lineRule="auto"/>
        <w:rPr>
          <w:rStyle w:val="Emphasis"/>
          <w:iCs/>
        </w:rPr>
      </w:pPr>
      <w:bookmarkStart w:id="326" w:name="_Toc456095929"/>
      <w:r>
        <w:rPr>
          <w:rStyle w:val="Emphasis"/>
          <w:iCs/>
        </w:rPr>
        <w:t>4.2</w:t>
      </w:r>
      <w:r w:rsidR="000E1376" w:rsidRPr="00155F80">
        <w:rPr>
          <w:rStyle w:val="Emphasis"/>
          <w:iCs/>
        </w:rPr>
        <w:t xml:space="preserve">.2 </w:t>
      </w:r>
      <w:bookmarkEnd w:id="326"/>
      <w:r w:rsidR="00914983">
        <w:rPr>
          <w:rStyle w:val="Emphasis"/>
          <w:iCs/>
        </w:rPr>
        <w:t>Zrak</w:t>
      </w:r>
    </w:p>
    <w:p w:rsidR="00A131AD" w:rsidRPr="00155F80" w:rsidRDefault="00A131AD" w:rsidP="000C0138">
      <w:pPr>
        <w:spacing w:line="276" w:lineRule="auto"/>
        <w:rPr>
          <w:rStyle w:val="Emphasis"/>
          <w:rFonts w:ascii="Times New Roman" w:hAnsi="Times New Roman"/>
          <w:i w:val="0"/>
          <w:iCs w:val="0"/>
        </w:rPr>
      </w:pPr>
    </w:p>
    <w:p w:rsidR="00A131AD" w:rsidRPr="00155F80" w:rsidRDefault="00A131AD" w:rsidP="000C0138">
      <w:pPr>
        <w:spacing w:line="276" w:lineRule="auto"/>
        <w:rPr>
          <w:rFonts w:ascii="Times New Roman" w:hAnsi="Times New Roman"/>
          <w:lang w:val="hr-HR"/>
        </w:rPr>
      </w:pPr>
      <w:r w:rsidRPr="00155F80">
        <w:rPr>
          <w:rStyle w:val="Emphasis"/>
          <w:rFonts w:ascii="Times New Roman" w:hAnsi="Times New Roman"/>
          <w:i w:val="0"/>
          <w:iCs w:val="0"/>
        </w:rPr>
        <w:t>Najva</w:t>
      </w:r>
      <w:r w:rsidRPr="00155F80">
        <w:rPr>
          <w:rStyle w:val="Emphasis"/>
          <w:rFonts w:ascii="Times New Roman" w:hAnsi="Times New Roman"/>
          <w:i w:val="0"/>
          <w:iCs w:val="0"/>
          <w:lang w:val="hr-HR"/>
        </w:rPr>
        <w:t>ž</w:t>
      </w:r>
      <w:r w:rsidRPr="00155F80">
        <w:rPr>
          <w:rStyle w:val="Emphasis"/>
          <w:rFonts w:ascii="Times New Roman" w:hAnsi="Times New Roman"/>
          <w:i w:val="0"/>
          <w:iCs w:val="0"/>
        </w:rPr>
        <w:t>niji</w:t>
      </w:r>
      <w:r w:rsidRPr="00155F80">
        <w:rPr>
          <w:rStyle w:val="Emphasis"/>
          <w:rFonts w:ascii="Times New Roman" w:hAnsi="Times New Roman"/>
          <w:i w:val="0"/>
          <w:iCs w:val="0"/>
          <w:lang w:val="hr-HR"/>
        </w:rPr>
        <w:t xml:space="preserve"> </w:t>
      </w:r>
      <w:r w:rsidR="00914983">
        <w:rPr>
          <w:rStyle w:val="Emphasis"/>
          <w:rFonts w:ascii="Times New Roman" w:hAnsi="Times New Roman"/>
          <w:i w:val="0"/>
          <w:iCs w:val="0"/>
        </w:rPr>
        <w:t>onečišćivači</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zraka</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na</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podru</w:t>
      </w:r>
      <w:r w:rsidRPr="00155F80">
        <w:rPr>
          <w:rStyle w:val="Emphasis"/>
          <w:rFonts w:ascii="Times New Roman" w:hAnsi="Times New Roman"/>
          <w:i w:val="0"/>
          <w:iCs w:val="0"/>
          <w:lang w:val="hr-HR"/>
        </w:rPr>
        <w:t>č</w:t>
      </w:r>
      <w:r w:rsidRPr="00155F80">
        <w:rPr>
          <w:rStyle w:val="Emphasis"/>
          <w:rFonts w:ascii="Times New Roman" w:hAnsi="Times New Roman"/>
          <w:i w:val="0"/>
          <w:iCs w:val="0"/>
        </w:rPr>
        <w:t>ju</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FBiH</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su</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termoelektrane</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industrijski</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pogoni</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motorna</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vozila</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i</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individualna</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lo</w:t>
      </w:r>
      <w:r w:rsidRPr="00155F80">
        <w:rPr>
          <w:rStyle w:val="Emphasis"/>
          <w:rFonts w:ascii="Times New Roman" w:hAnsi="Times New Roman"/>
          <w:i w:val="0"/>
          <w:iCs w:val="0"/>
          <w:lang w:val="hr-HR"/>
        </w:rPr>
        <w:t>ž</w:t>
      </w:r>
      <w:r w:rsidRPr="00155F80">
        <w:rPr>
          <w:rStyle w:val="Emphasis"/>
          <w:rFonts w:ascii="Times New Roman" w:hAnsi="Times New Roman"/>
          <w:i w:val="0"/>
          <w:iCs w:val="0"/>
        </w:rPr>
        <w:t>i</w:t>
      </w:r>
      <w:r w:rsidRPr="00155F80">
        <w:rPr>
          <w:rStyle w:val="Emphasis"/>
          <w:rFonts w:ascii="Times New Roman" w:hAnsi="Times New Roman"/>
          <w:i w:val="0"/>
          <w:iCs w:val="0"/>
          <w:lang w:val="hr-HR"/>
        </w:rPr>
        <w:t>š</w:t>
      </w:r>
      <w:r w:rsidRPr="00155F80">
        <w:rPr>
          <w:rStyle w:val="Emphasis"/>
          <w:rFonts w:ascii="Times New Roman" w:hAnsi="Times New Roman"/>
          <w:i w:val="0"/>
          <w:iCs w:val="0"/>
        </w:rPr>
        <w:t>ta</w:t>
      </w:r>
      <w:r w:rsidRPr="00155F80">
        <w:rPr>
          <w:rFonts w:ascii="Times New Roman" w:hAnsi="Times New Roman"/>
          <w:lang w:val="hr-HR"/>
        </w:rPr>
        <w:t xml:space="preserve"> (zimsk</w:t>
      </w:r>
      <w:r w:rsidR="00914983">
        <w:rPr>
          <w:rFonts w:ascii="Times New Roman" w:hAnsi="Times New Roman"/>
          <w:lang w:val="hr-HR"/>
        </w:rPr>
        <w:t>o</w:t>
      </w:r>
      <w:r w:rsidRPr="00155F80">
        <w:rPr>
          <w:rFonts w:ascii="Times New Roman" w:hAnsi="Times New Roman"/>
          <w:lang w:val="hr-HR"/>
        </w:rPr>
        <w:t xml:space="preserve"> </w:t>
      </w:r>
      <w:r w:rsidR="00914983">
        <w:rPr>
          <w:rFonts w:ascii="Times New Roman" w:hAnsi="Times New Roman"/>
          <w:lang w:val="hr-HR"/>
        </w:rPr>
        <w:t>razdoblje</w:t>
      </w:r>
      <w:r w:rsidRPr="00155F80">
        <w:rPr>
          <w:rFonts w:ascii="Times New Roman" w:hAnsi="Times New Roman"/>
          <w:lang w:val="hr-HR"/>
        </w:rPr>
        <w:t xml:space="preserve">). Osnovni indikatori </w:t>
      </w:r>
      <w:r w:rsidR="00914983">
        <w:rPr>
          <w:rFonts w:ascii="Times New Roman" w:hAnsi="Times New Roman"/>
          <w:lang w:val="hr-HR"/>
        </w:rPr>
        <w:t>onečišćenja zraka</w:t>
      </w:r>
      <w:r w:rsidRPr="00155F80">
        <w:rPr>
          <w:rFonts w:ascii="Times New Roman" w:hAnsi="Times New Roman"/>
          <w:lang w:val="hr-HR"/>
        </w:rPr>
        <w:t xml:space="preserve"> su SO</w:t>
      </w:r>
      <w:r w:rsidRPr="00155F80">
        <w:rPr>
          <w:rFonts w:ascii="Times New Roman" w:hAnsi="Times New Roman"/>
          <w:vertAlign w:val="subscript"/>
          <w:lang w:val="hr-HR"/>
        </w:rPr>
        <w:t>2</w:t>
      </w:r>
      <w:r w:rsidRPr="00155F80">
        <w:rPr>
          <w:rFonts w:ascii="Times New Roman" w:hAnsi="Times New Roman"/>
          <w:lang w:val="hr-HR"/>
        </w:rPr>
        <w:t xml:space="preserve">, </w:t>
      </w:r>
      <w:r w:rsidR="00C651BA">
        <w:rPr>
          <w:rFonts w:ascii="Times New Roman" w:hAnsi="Times New Roman"/>
          <w:lang w:val="hr-HR"/>
        </w:rPr>
        <w:t>dušični</w:t>
      </w:r>
      <w:r w:rsidRPr="00155F80">
        <w:rPr>
          <w:rFonts w:ascii="Times New Roman" w:hAnsi="Times New Roman"/>
          <w:lang w:val="hr-HR"/>
        </w:rPr>
        <w:t xml:space="preserve"> oksidi i lebdeće čestice (PM </w:t>
      </w:r>
      <w:r w:rsidRPr="00155F80">
        <w:rPr>
          <w:rFonts w:ascii="Times New Roman" w:hAnsi="Times New Roman"/>
          <w:vertAlign w:val="subscript"/>
          <w:lang w:val="hr-HR"/>
        </w:rPr>
        <w:t>10</w:t>
      </w:r>
      <w:r w:rsidRPr="00155F80">
        <w:rPr>
          <w:rFonts w:ascii="Times New Roman" w:hAnsi="Times New Roman"/>
          <w:lang w:val="hr-HR"/>
        </w:rPr>
        <w:t xml:space="preserve">, PM </w:t>
      </w:r>
      <w:r w:rsidRPr="00155F80">
        <w:rPr>
          <w:rFonts w:ascii="Times New Roman" w:hAnsi="Times New Roman"/>
          <w:vertAlign w:val="subscript"/>
          <w:lang w:val="hr-HR"/>
        </w:rPr>
        <w:t>2,5</w:t>
      </w:r>
      <w:r w:rsidRPr="00155F80">
        <w:rPr>
          <w:rFonts w:ascii="Times New Roman" w:hAnsi="Times New Roman"/>
          <w:lang w:val="hr-HR"/>
        </w:rPr>
        <w:t>). Ukoliko prosječne koncentracije ovih polutanata u zraku prelaze maksimalno dozvoljene vrijednosti, može doći do ozbiljnog oštećenja zdravlja ljudi. U zraku se t</w:t>
      </w:r>
      <w:r w:rsidR="00914983">
        <w:rPr>
          <w:rFonts w:ascii="Times New Roman" w:hAnsi="Times New Roman"/>
          <w:lang w:val="hr-HR"/>
        </w:rPr>
        <w:t>ije</w:t>
      </w:r>
      <w:r w:rsidRPr="00155F80">
        <w:rPr>
          <w:rFonts w:ascii="Times New Roman" w:hAnsi="Times New Roman"/>
          <w:lang w:val="hr-HR"/>
        </w:rPr>
        <w:t xml:space="preserve">kom </w:t>
      </w:r>
      <w:r w:rsidR="00914983">
        <w:rPr>
          <w:rFonts w:ascii="Times New Roman" w:hAnsi="Times New Roman"/>
          <w:lang w:val="hr-HR"/>
        </w:rPr>
        <w:t>svibnja</w:t>
      </w:r>
      <w:r w:rsidRPr="00155F80">
        <w:rPr>
          <w:rFonts w:ascii="Times New Roman" w:hAnsi="Times New Roman"/>
          <w:lang w:val="hr-HR"/>
        </w:rPr>
        <w:t xml:space="preserve"> i </w:t>
      </w:r>
      <w:r w:rsidR="00914983">
        <w:rPr>
          <w:rFonts w:ascii="Times New Roman" w:hAnsi="Times New Roman"/>
          <w:lang w:val="hr-HR"/>
        </w:rPr>
        <w:t>lipnja</w:t>
      </w:r>
      <w:r w:rsidRPr="00155F80">
        <w:rPr>
          <w:rFonts w:ascii="Times New Roman" w:hAnsi="Times New Roman"/>
          <w:lang w:val="hr-HR"/>
        </w:rPr>
        <w:t xml:space="preserve"> nalaze i velike količine p</w:t>
      </w:r>
      <w:r w:rsidR="00914983">
        <w:rPr>
          <w:rFonts w:ascii="Times New Roman" w:hAnsi="Times New Roman"/>
          <w:lang w:val="hr-HR"/>
        </w:rPr>
        <w:t>eludi</w:t>
      </w:r>
      <w:r w:rsidRPr="00155F80">
        <w:rPr>
          <w:rFonts w:ascii="Times New Roman" w:hAnsi="Times New Roman"/>
          <w:lang w:val="hr-HR"/>
        </w:rPr>
        <w:t xml:space="preserve"> trava i drveća, što može dovesti do pogoršanja </w:t>
      </w:r>
      <w:r w:rsidRPr="00155F80">
        <w:rPr>
          <w:rFonts w:ascii="Times New Roman" w:hAnsi="Times New Roman"/>
          <w:lang w:val="hr-HR"/>
        </w:rPr>
        <w:lastRenderedPageBreak/>
        <w:t>zdravstvenog stanja stanovnika alergičnih na ove supstance, o</w:t>
      </w:r>
      <w:r w:rsidR="00914983">
        <w:rPr>
          <w:rFonts w:ascii="Times New Roman" w:hAnsi="Times New Roman"/>
          <w:lang w:val="hr-HR"/>
        </w:rPr>
        <w:t>sobito</w:t>
      </w:r>
      <w:r w:rsidRPr="00155F80">
        <w:rPr>
          <w:rFonts w:ascii="Times New Roman" w:hAnsi="Times New Roman"/>
          <w:lang w:val="hr-HR"/>
        </w:rPr>
        <w:t xml:space="preserve"> ako boluju od </w:t>
      </w:r>
      <w:r w:rsidR="00914983">
        <w:rPr>
          <w:rStyle w:val="Emphasis"/>
          <w:rFonts w:ascii="Times New Roman" w:hAnsi="Times New Roman"/>
          <w:i w:val="0"/>
          <w:iCs w:val="0"/>
        </w:rPr>
        <w:t>k</w:t>
      </w:r>
      <w:r w:rsidRPr="00155F80">
        <w:rPr>
          <w:rStyle w:val="Emphasis"/>
          <w:rFonts w:ascii="Times New Roman" w:hAnsi="Times New Roman"/>
          <w:i w:val="0"/>
          <w:iCs w:val="0"/>
        </w:rPr>
        <w:t>roni</w:t>
      </w:r>
      <w:r w:rsidRPr="00155F80">
        <w:rPr>
          <w:rStyle w:val="Emphasis"/>
          <w:rFonts w:ascii="Times New Roman" w:hAnsi="Times New Roman"/>
          <w:i w:val="0"/>
          <w:iCs w:val="0"/>
          <w:lang w:val="hr-HR"/>
        </w:rPr>
        <w:t>č</w:t>
      </w:r>
      <w:r w:rsidRPr="00155F80">
        <w:rPr>
          <w:rStyle w:val="Emphasis"/>
          <w:rFonts w:ascii="Times New Roman" w:hAnsi="Times New Roman"/>
          <w:i w:val="0"/>
          <w:iCs w:val="0"/>
        </w:rPr>
        <w:t>nih</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opstruktivnih</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plu</w:t>
      </w:r>
      <w:r w:rsidRPr="00155F80">
        <w:rPr>
          <w:rStyle w:val="Emphasis"/>
          <w:rFonts w:ascii="Times New Roman" w:hAnsi="Times New Roman"/>
          <w:i w:val="0"/>
          <w:iCs w:val="0"/>
          <w:lang w:val="hr-HR"/>
        </w:rPr>
        <w:t>ć</w:t>
      </w:r>
      <w:r w:rsidRPr="00155F80">
        <w:rPr>
          <w:rStyle w:val="Emphasis"/>
          <w:rFonts w:ascii="Times New Roman" w:hAnsi="Times New Roman"/>
          <w:i w:val="0"/>
          <w:iCs w:val="0"/>
        </w:rPr>
        <w:t>nih</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oboljenja</w:t>
      </w:r>
      <w:r w:rsidRPr="00155F80">
        <w:rPr>
          <w:rFonts w:ascii="Times New Roman" w:hAnsi="Times New Roman"/>
          <w:lang w:val="hr-HR"/>
        </w:rPr>
        <w:t xml:space="preserve">. </w:t>
      </w:r>
    </w:p>
    <w:p w:rsidR="00A131AD" w:rsidRPr="00155F80" w:rsidRDefault="00A131AD" w:rsidP="000C0138">
      <w:pPr>
        <w:spacing w:line="276" w:lineRule="auto"/>
        <w:rPr>
          <w:rFonts w:ascii="Times New Roman" w:hAnsi="Times New Roman"/>
          <w:color w:val="000000"/>
          <w:lang w:val="pl-PL"/>
        </w:rPr>
      </w:pPr>
      <w:r w:rsidRPr="00155F80">
        <w:rPr>
          <w:rFonts w:ascii="Times New Roman" w:hAnsi="Times New Roman"/>
          <w:color w:val="000000"/>
        </w:rPr>
        <w:t>Iako</w:t>
      </w:r>
      <w:r w:rsidRPr="00155F80">
        <w:rPr>
          <w:rFonts w:ascii="Times New Roman" w:hAnsi="Times New Roman"/>
          <w:color w:val="000000"/>
          <w:lang w:val="bs-Latn-BA"/>
        </w:rPr>
        <w:t xml:space="preserve"> </w:t>
      </w:r>
      <w:r w:rsidRPr="00155F80">
        <w:rPr>
          <w:rFonts w:ascii="Times New Roman" w:hAnsi="Times New Roman"/>
          <w:color w:val="000000"/>
        </w:rPr>
        <w:t>je</w:t>
      </w:r>
      <w:r w:rsidRPr="00155F80">
        <w:rPr>
          <w:rFonts w:ascii="Times New Roman" w:hAnsi="Times New Roman"/>
          <w:color w:val="000000"/>
          <w:lang w:val="bs-Latn-BA"/>
        </w:rPr>
        <w:t xml:space="preserve"> 70-</w:t>
      </w:r>
      <w:r w:rsidRPr="00155F80">
        <w:rPr>
          <w:rFonts w:ascii="Times New Roman" w:hAnsi="Times New Roman"/>
          <w:color w:val="000000"/>
        </w:rPr>
        <w:t>ih</w:t>
      </w:r>
      <w:r w:rsidRPr="00155F80">
        <w:rPr>
          <w:rFonts w:ascii="Times New Roman" w:hAnsi="Times New Roman"/>
          <w:color w:val="000000"/>
          <w:lang w:val="bs-Latn-BA"/>
        </w:rPr>
        <w:t xml:space="preserve"> </w:t>
      </w:r>
      <w:r w:rsidRPr="00155F80">
        <w:rPr>
          <w:rFonts w:ascii="Times New Roman" w:hAnsi="Times New Roman"/>
          <w:color w:val="000000"/>
        </w:rPr>
        <w:t>i</w:t>
      </w:r>
      <w:r w:rsidRPr="00155F80">
        <w:rPr>
          <w:rFonts w:ascii="Times New Roman" w:hAnsi="Times New Roman"/>
          <w:color w:val="000000"/>
          <w:lang w:val="bs-Latn-BA"/>
        </w:rPr>
        <w:t xml:space="preserve"> 80-</w:t>
      </w:r>
      <w:r w:rsidRPr="00155F80">
        <w:rPr>
          <w:rFonts w:ascii="Times New Roman" w:hAnsi="Times New Roman"/>
          <w:color w:val="000000"/>
        </w:rPr>
        <w:t>ih</w:t>
      </w:r>
      <w:r w:rsidRPr="00155F80">
        <w:rPr>
          <w:rFonts w:ascii="Times New Roman" w:hAnsi="Times New Roman"/>
          <w:color w:val="000000"/>
          <w:lang w:val="bs-Latn-BA"/>
        </w:rPr>
        <w:t xml:space="preserve"> </w:t>
      </w:r>
      <w:r w:rsidRPr="00155F80">
        <w:rPr>
          <w:rFonts w:ascii="Times New Roman" w:hAnsi="Times New Roman"/>
          <w:color w:val="000000"/>
        </w:rPr>
        <w:t>godina</w:t>
      </w:r>
      <w:r w:rsidRPr="00155F80">
        <w:rPr>
          <w:rFonts w:ascii="Times New Roman" w:hAnsi="Times New Roman"/>
          <w:color w:val="000000"/>
          <w:lang w:val="bs-Latn-BA"/>
        </w:rPr>
        <w:t xml:space="preserve"> </w:t>
      </w:r>
      <w:r w:rsidRPr="00155F80">
        <w:rPr>
          <w:rFonts w:ascii="Times New Roman" w:hAnsi="Times New Roman"/>
          <w:color w:val="000000"/>
        </w:rPr>
        <w:t>pro</w:t>
      </w:r>
      <w:r w:rsidRPr="00155F80">
        <w:rPr>
          <w:rFonts w:ascii="Times New Roman" w:hAnsi="Times New Roman"/>
          <w:color w:val="000000"/>
          <w:lang w:val="bs-Latn-BA"/>
        </w:rPr>
        <w:t>š</w:t>
      </w:r>
      <w:r w:rsidRPr="00155F80">
        <w:rPr>
          <w:rFonts w:ascii="Times New Roman" w:hAnsi="Times New Roman"/>
          <w:color w:val="000000"/>
        </w:rPr>
        <w:t>log</w:t>
      </w:r>
      <w:r w:rsidRPr="00155F80">
        <w:rPr>
          <w:rFonts w:ascii="Times New Roman" w:hAnsi="Times New Roman"/>
          <w:color w:val="000000"/>
          <w:lang w:val="bs-Latn-BA"/>
        </w:rPr>
        <w:t xml:space="preserve"> </w:t>
      </w:r>
      <w:r w:rsidRPr="00155F80">
        <w:rPr>
          <w:rFonts w:ascii="Times New Roman" w:hAnsi="Times New Roman"/>
          <w:color w:val="000000"/>
        </w:rPr>
        <w:t>stolje</w:t>
      </w:r>
      <w:r w:rsidRPr="00155F80">
        <w:rPr>
          <w:rFonts w:ascii="Times New Roman" w:hAnsi="Times New Roman"/>
          <w:color w:val="000000"/>
          <w:lang w:val="bs-Latn-BA"/>
        </w:rPr>
        <w:t>ć</w:t>
      </w:r>
      <w:r w:rsidRPr="00155F80">
        <w:rPr>
          <w:rFonts w:ascii="Times New Roman" w:hAnsi="Times New Roman"/>
          <w:color w:val="000000"/>
        </w:rPr>
        <w:t>a</w:t>
      </w:r>
      <w:r w:rsidRPr="00155F80">
        <w:rPr>
          <w:rFonts w:ascii="Times New Roman" w:hAnsi="Times New Roman"/>
          <w:color w:val="000000"/>
          <w:lang w:val="bs-Latn-BA"/>
        </w:rPr>
        <w:t xml:space="preserve"> </w:t>
      </w:r>
      <w:r w:rsidR="00914983">
        <w:rPr>
          <w:rFonts w:ascii="Times New Roman" w:hAnsi="Times New Roman"/>
          <w:color w:val="000000"/>
        </w:rPr>
        <w:t>onečišćenje</w:t>
      </w:r>
      <w:r w:rsidRPr="00155F80">
        <w:rPr>
          <w:rFonts w:ascii="Times New Roman" w:hAnsi="Times New Roman"/>
          <w:color w:val="000000"/>
          <w:lang w:val="bs-Latn-BA"/>
        </w:rPr>
        <w:t xml:space="preserve"> </w:t>
      </w:r>
      <w:r w:rsidRPr="00155F80">
        <w:rPr>
          <w:rFonts w:ascii="Times New Roman" w:hAnsi="Times New Roman"/>
          <w:color w:val="000000"/>
        </w:rPr>
        <w:t>zraka</w:t>
      </w:r>
      <w:r w:rsidRPr="00155F80">
        <w:rPr>
          <w:rFonts w:ascii="Times New Roman" w:hAnsi="Times New Roman"/>
          <w:color w:val="000000"/>
          <w:lang w:val="bs-Latn-BA"/>
        </w:rPr>
        <w:t xml:space="preserve"> </w:t>
      </w:r>
      <w:r w:rsidRPr="00155F80">
        <w:rPr>
          <w:rFonts w:ascii="Times New Roman" w:hAnsi="Times New Roman"/>
          <w:color w:val="000000"/>
        </w:rPr>
        <w:t>u</w:t>
      </w:r>
      <w:r w:rsidRPr="00155F80">
        <w:rPr>
          <w:rFonts w:ascii="Times New Roman" w:hAnsi="Times New Roman"/>
          <w:color w:val="000000"/>
          <w:lang w:val="bs-Latn-BA"/>
        </w:rPr>
        <w:t xml:space="preserve"> </w:t>
      </w:r>
      <w:r w:rsidRPr="00155F80">
        <w:rPr>
          <w:rFonts w:ascii="Times New Roman" w:hAnsi="Times New Roman"/>
          <w:color w:val="000000"/>
        </w:rPr>
        <w:t>na</w:t>
      </w:r>
      <w:r w:rsidRPr="00155F80">
        <w:rPr>
          <w:rFonts w:ascii="Times New Roman" w:hAnsi="Times New Roman"/>
          <w:color w:val="000000"/>
          <w:lang w:val="bs-Latn-BA"/>
        </w:rPr>
        <w:t>š</w:t>
      </w:r>
      <w:r w:rsidRPr="00155F80">
        <w:rPr>
          <w:rFonts w:ascii="Times New Roman" w:hAnsi="Times New Roman"/>
          <w:color w:val="000000"/>
        </w:rPr>
        <w:t>im</w:t>
      </w:r>
      <w:r w:rsidRPr="00155F80">
        <w:rPr>
          <w:rFonts w:ascii="Times New Roman" w:hAnsi="Times New Roman"/>
          <w:color w:val="000000"/>
          <w:lang w:val="bs-Latn-BA"/>
        </w:rPr>
        <w:t xml:space="preserve"> </w:t>
      </w:r>
      <w:r w:rsidRPr="00155F80">
        <w:rPr>
          <w:rFonts w:ascii="Times New Roman" w:hAnsi="Times New Roman"/>
          <w:color w:val="000000"/>
        </w:rPr>
        <w:t>gradovima</w:t>
      </w:r>
      <w:r w:rsidRPr="00155F80">
        <w:rPr>
          <w:rFonts w:ascii="Times New Roman" w:hAnsi="Times New Roman"/>
          <w:color w:val="000000"/>
          <w:lang w:val="bs-Latn-BA"/>
        </w:rPr>
        <w:t xml:space="preserve"> </w:t>
      </w:r>
      <w:r w:rsidRPr="00155F80">
        <w:rPr>
          <w:rFonts w:ascii="Times New Roman" w:hAnsi="Times New Roman"/>
          <w:color w:val="000000"/>
        </w:rPr>
        <w:t>bilo</w:t>
      </w:r>
      <w:r w:rsidRPr="00155F80">
        <w:rPr>
          <w:rFonts w:ascii="Times New Roman" w:hAnsi="Times New Roman"/>
          <w:color w:val="000000"/>
          <w:lang w:val="bs-Latn-BA"/>
        </w:rPr>
        <w:t xml:space="preserve"> </w:t>
      </w:r>
      <w:r w:rsidRPr="00155F80">
        <w:rPr>
          <w:rFonts w:ascii="Times New Roman" w:hAnsi="Times New Roman"/>
          <w:color w:val="000000"/>
        </w:rPr>
        <w:t>znatno</w:t>
      </w:r>
      <w:r w:rsidRPr="00155F80">
        <w:rPr>
          <w:rFonts w:ascii="Times New Roman" w:hAnsi="Times New Roman"/>
          <w:color w:val="000000"/>
          <w:lang w:val="bs-Latn-BA"/>
        </w:rPr>
        <w:t xml:space="preserve"> </w:t>
      </w:r>
      <w:r w:rsidRPr="00155F80">
        <w:rPr>
          <w:rFonts w:ascii="Times New Roman" w:hAnsi="Times New Roman"/>
          <w:color w:val="000000"/>
        </w:rPr>
        <w:t>ve</w:t>
      </w:r>
      <w:r w:rsidRPr="00155F80">
        <w:rPr>
          <w:rFonts w:ascii="Times New Roman" w:hAnsi="Times New Roman"/>
          <w:color w:val="000000"/>
          <w:lang w:val="bs-Latn-BA"/>
        </w:rPr>
        <w:t>ć</w:t>
      </w:r>
      <w:r w:rsidRPr="00155F80">
        <w:rPr>
          <w:rFonts w:ascii="Times New Roman" w:hAnsi="Times New Roman"/>
          <w:color w:val="000000"/>
        </w:rPr>
        <w:t>e</w:t>
      </w:r>
      <w:r w:rsidRPr="00155F80">
        <w:rPr>
          <w:rFonts w:ascii="Times New Roman" w:hAnsi="Times New Roman"/>
          <w:color w:val="000000"/>
          <w:lang w:val="bs-Latn-BA"/>
        </w:rPr>
        <w:t xml:space="preserve">, </w:t>
      </w:r>
      <w:r w:rsidRPr="00155F80">
        <w:rPr>
          <w:rFonts w:ascii="Times New Roman" w:hAnsi="Times New Roman"/>
          <w:color w:val="000000"/>
        </w:rPr>
        <w:t>zabrinjavaju</w:t>
      </w:r>
      <w:r w:rsidRPr="00155F80">
        <w:rPr>
          <w:rFonts w:ascii="Times New Roman" w:hAnsi="Times New Roman"/>
          <w:color w:val="000000"/>
          <w:lang w:val="bs-Latn-BA"/>
        </w:rPr>
        <w:t>ć</w:t>
      </w:r>
      <w:r w:rsidRPr="00155F80">
        <w:rPr>
          <w:rFonts w:ascii="Times New Roman" w:hAnsi="Times New Roman"/>
          <w:color w:val="000000"/>
        </w:rPr>
        <w:t>i</w:t>
      </w:r>
      <w:r w:rsidRPr="00155F80">
        <w:rPr>
          <w:rFonts w:ascii="Times New Roman" w:hAnsi="Times New Roman"/>
          <w:color w:val="000000"/>
          <w:lang w:val="bs-Latn-BA"/>
        </w:rPr>
        <w:t xml:space="preserve"> </w:t>
      </w:r>
      <w:r w:rsidRPr="00155F80">
        <w:rPr>
          <w:rFonts w:ascii="Times New Roman" w:hAnsi="Times New Roman"/>
          <w:color w:val="000000"/>
        </w:rPr>
        <w:t>je</w:t>
      </w:r>
      <w:r w:rsidRPr="00155F80">
        <w:rPr>
          <w:rFonts w:ascii="Times New Roman" w:hAnsi="Times New Roman"/>
          <w:color w:val="000000"/>
          <w:lang w:val="bs-Latn-BA"/>
        </w:rPr>
        <w:t xml:space="preserve"> </w:t>
      </w:r>
      <w:r w:rsidRPr="00155F80">
        <w:rPr>
          <w:rFonts w:ascii="Times New Roman" w:hAnsi="Times New Roman"/>
          <w:color w:val="000000"/>
        </w:rPr>
        <w:t>trend</w:t>
      </w:r>
      <w:r w:rsidRPr="00155F80">
        <w:rPr>
          <w:rFonts w:ascii="Times New Roman" w:hAnsi="Times New Roman"/>
          <w:color w:val="000000"/>
          <w:lang w:val="bs-Latn-BA"/>
        </w:rPr>
        <w:t xml:space="preserve"> </w:t>
      </w:r>
      <w:r w:rsidRPr="00155F80">
        <w:rPr>
          <w:rFonts w:ascii="Times New Roman" w:hAnsi="Times New Roman"/>
          <w:color w:val="000000"/>
        </w:rPr>
        <w:t>pove</w:t>
      </w:r>
      <w:r w:rsidRPr="00155F80">
        <w:rPr>
          <w:rFonts w:ascii="Times New Roman" w:hAnsi="Times New Roman"/>
          <w:color w:val="000000"/>
          <w:lang w:val="bs-Latn-BA"/>
        </w:rPr>
        <w:t>ć</w:t>
      </w:r>
      <w:r w:rsidRPr="00155F80">
        <w:rPr>
          <w:rFonts w:ascii="Times New Roman" w:hAnsi="Times New Roman"/>
          <w:color w:val="000000"/>
        </w:rPr>
        <w:t>anja</w:t>
      </w:r>
      <w:r w:rsidRPr="00155F80">
        <w:rPr>
          <w:rFonts w:ascii="Times New Roman" w:hAnsi="Times New Roman"/>
          <w:color w:val="000000"/>
          <w:lang w:val="bs-Latn-BA"/>
        </w:rPr>
        <w:t xml:space="preserve"> </w:t>
      </w:r>
      <w:r w:rsidR="00FE3B0D">
        <w:rPr>
          <w:rFonts w:ascii="Times New Roman" w:hAnsi="Times New Roman"/>
          <w:color w:val="000000"/>
        </w:rPr>
        <w:t>onečišćenja</w:t>
      </w:r>
      <w:r w:rsidRPr="00155F80">
        <w:rPr>
          <w:rFonts w:ascii="Times New Roman" w:hAnsi="Times New Roman"/>
          <w:color w:val="000000"/>
          <w:lang w:val="bs-Latn-BA"/>
        </w:rPr>
        <w:t xml:space="preserve"> </w:t>
      </w:r>
      <w:r w:rsidRPr="00155F80">
        <w:rPr>
          <w:rFonts w:ascii="Times New Roman" w:hAnsi="Times New Roman"/>
          <w:color w:val="000000"/>
        </w:rPr>
        <w:t>zraka</w:t>
      </w:r>
      <w:r w:rsidRPr="00155F80">
        <w:rPr>
          <w:rFonts w:ascii="Times New Roman" w:hAnsi="Times New Roman"/>
          <w:color w:val="000000"/>
          <w:lang w:val="bs-Latn-BA"/>
        </w:rPr>
        <w:t xml:space="preserve"> </w:t>
      </w:r>
      <w:r w:rsidRPr="00155F80">
        <w:rPr>
          <w:rFonts w:ascii="Times New Roman" w:hAnsi="Times New Roman"/>
          <w:color w:val="000000"/>
        </w:rPr>
        <w:t>iz</w:t>
      </w:r>
      <w:r w:rsidRPr="00155F80">
        <w:rPr>
          <w:rFonts w:ascii="Times New Roman" w:hAnsi="Times New Roman"/>
          <w:color w:val="000000"/>
          <w:lang w:val="bs-Latn-BA"/>
        </w:rPr>
        <w:t xml:space="preserve"> </w:t>
      </w:r>
      <w:r w:rsidRPr="00155F80">
        <w:rPr>
          <w:rFonts w:ascii="Times New Roman" w:hAnsi="Times New Roman"/>
          <w:color w:val="000000"/>
        </w:rPr>
        <w:t>godine</w:t>
      </w:r>
      <w:r w:rsidRPr="00155F80">
        <w:rPr>
          <w:rFonts w:ascii="Times New Roman" w:hAnsi="Times New Roman"/>
          <w:color w:val="000000"/>
          <w:lang w:val="bs-Latn-BA"/>
        </w:rPr>
        <w:t xml:space="preserve"> </w:t>
      </w:r>
      <w:r w:rsidRPr="00155F80">
        <w:rPr>
          <w:rFonts w:ascii="Times New Roman" w:hAnsi="Times New Roman"/>
          <w:color w:val="000000"/>
        </w:rPr>
        <w:t>u</w:t>
      </w:r>
      <w:r w:rsidRPr="00155F80">
        <w:rPr>
          <w:rFonts w:ascii="Times New Roman" w:hAnsi="Times New Roman"/>
          <w:color w:val="000000"/>
          <w:lang w:val="bs-Latn-BA"/>
        </w:rPr>
        <w:t xml:space="preserve"> </w:t>
      </w:r>
      <w:r w:rsidRPr="00155F80">
        <w:rPr>
          <w:rFonts w:ascii="Times New Roman" w:hAnsi="Times New Roman"/>
          <w:color w:val="000000"/>
        </w:rPr>
        <w:t>godinu</w:t>
      </w:r>
      <w:r w:rsidRPr="00155F80">
        <w:rPr>
          <w:rFonts w:ascii="Times New Roman" w:hAnsi="Times New Roman"/>
          <w:color w:val="000000"/>
          <w:lang w:val="bs-Latn-BA"/>
        </w:rPr>
        <w:t xml:space="preserve">. </w:t>
      </w:r>
      <w:r w:rsidRPr="00155F80">
        <w:rPr>
          <w:rFonts w:ascii="Times New Roman" w:hAnsi="Times New Roman"/>
          <w:color w:val="000000"/>
        </w:rPr>
        <w:t>Ovaj</w:t>
      </w:r>
      <w:r w:rsidRPr="00155F80">
        <w:rPr>
          <w:rFonts w:ascii="Times New Roman" w:hAnsi="Times New Roman"/>
          <w:color w:val="000000"/>
          <w:lang w:val="bs-Latn-BA"/>
        </w:rPr>
        <w:t xml:space="preserve"> </w:t>
      </w:r>
      <w:r w:rsidRPr="00155F80">
        <w:rPr>
          <w:rFonts w:ascii="Times New Roman" w:hAnsi="Times New Roman"/>
          <w:color w:val="000000"/>
        </w:rPr>
        <w:t>trend</w:t>
      </w:r>
      <w:r w:rsidRPr="00155F80">
        <w:rPr>
          <w:rFonts w:ascii="Times New Roman" w:hAnsi="Times New Roman"/>
          <w:color w:val="000000"/>
          <w:lang w:val="bs-Latn-BA"/>
        </w:rPr>
        <w:t xml:space="preserve"> </w:t>
      </w:r>
      <w:r w:rsidRPr="00155F80">
        <w:rPr>
          <w:rFonts w:ascii="Times New Roman" w:hAnsi="Times New Roman"/>
          <w:color w:val="000000"/>
        </w:rPr>
        <w:t>je</w:t>
      </w:r>
      <w:r w:rsidRPr="00155F80">
        <w:rPr>
          <w:rFonts w:ascii="Times New Roman" w:hAnsi="Times New Roman"/>
          <w:color w:val="000000"/>
          <w:lang w:val="bs-Latn-BA"/>
        </w:rPr>
        <w:t xml:space="preserve"> </w:t>
      </w:r>
      <w:r w:rsidRPr="00155F80">
        <w:rPr>
          <w:rFonts w:ascii="Times New Roman" w:hAnsi="Times New Roman"/>
          <w:color w:val="000000"/>
        </w:rPr>
        <w:t>odraz</w:t>
      </w:r>
      <w:r w:rsidRPr="00155F80">
        <w:rPr>
          <w:rFonts w:ascii="Times New Roman" w:hAnsi="Times New Roman"/>
          <w:color w:val="000000"/>
          <w:lang w:val="bs-Latn-BA"/>
        </w:rPr>
        <w:t xml:space="preserve"> </w:t>
      </w:r>
      <w:r w:rsidRPr="00155F80">
        <w:rPr>
          <w:rFonts w:ascii="Times New Roman" w:hAnsi="Times New Roman"/>
          <w:color w:val="000000"/>
        </w:rPr>
        <w:t>zastarjelih</w:t>
      </w:r>
      <w:r w:rsidRPr="00155F80">
        <w:rPr>
          <w:rFonts w:ascii="Times New Roman" w:hAnsi="Times New Roman"/>
          <w:color w:val="000000"/>
          <w:lang w:val="bs-Latn-BA"/>
        </w:rPr>
        <w:t xml:space="preserve"> </w:t>
      </w:r>
      <w:r w:rsidRPr="00155F80">
        <w:rPr>
          <w:rFonts w:ascii="Times New Roman" w:hAnsi="Times New Roman"/>
          <w:color w:val="000000"/>
        </w:rPr>
        <w:t>industrijskih</w:t>
      </w:r>
      <w:r w:rsidRPr="00155F80">
        <w:rPr>
          <w:rFonts w:ascii="Times New Roman" w:hAnsi="Times New Roman"/>
          <w:color w:val="000000"/>
          <w:lang w:val="bs-Latn-BA"/>
        </w:rPr>
        <w:t xml:space="preserve"> </w:t>
      </w:r>
      <w:r w:rsidRPr="00155F80">
        <w:rPr>
          <w:rFonts w:ascii="Times New Roman" w:hAnsi="Times New Roman"/>
          <w:color w:val="000000"/>
        </w:rPr>
        <w:t>tehnologija</w:t>
      </w:r>
      <w:r w:rsidRPr="00155F80">
        <w:rPr>
          <w:rFonts w:ascii="Times New Roman" w:hAnsi="Times New Roman"/>
          <w:color w:val="000000"/>
          <w:lang w:val="bs-Latn-BA"/>
        </w:rPr>
        <w:t xml:space="preserve">, </w:t>
      </w:r>
      <w:r w:rsidRPr="00155F80">
        <w:rPr>
          <w:rFonts w:ascii="Times New Roman" w:hAnsi="Times New Roman"/>
          <w:color w:val="000000"/>
        </w:rPr>
        <w:t>trenutnog</w:t>
      </w:r>
      <w:r w:rsidRPr="00155F80">
        <w:rPr>
          <w:rFonts w:ascii="Times New Roman" w:hAnsi="Times New Roman"/>
          <w:color w:val="000000"/>
          <w:lang w:val="bs-Latn-BA"/>
        </w:rPr>
        <w:t xml:space="preserve"> </w:t>
      </w:r>
      <w:r w:rsidRPr="00155F80">
        <w:rPr>
          <w:rFonts w:ascii="Times New Roman" w:hAnsi="Times New Roman"/>
          <w:color w:val="000000"/>
        </w:rPr>
        <w:t>lo</w:t>
      </w:r>
      <w:r w:rsidRPr="00155F80">
        <w:rPr>
          <w:rFonts w:ascii="Times New Roman" w:hAnsi="Times New Roman"/>
          <w:color w:val="000000"/>
          <w:lang w:val="bs-Latn-BA"/>
        </w:rPr>
        <w:t>š</w:t>
      </w:r>
      <w:r w:rsidRPr="00155F80">
        <w:rPr>
          <w:rFonts w:ascii="Times New Roman" w:hAnsi="Times New Roman"/>
          <w:color w:val="000000"/>
        </w:rPr>
        <w:t>eg</w:t>
      </w:r>
      <w:r w:rsidRPr="00155F80">
        <w:rPr>
          <w:rFonts w:ascii="Times New Roman" w:hAnsi="Times New Roman"/>
          <w:color w:val="000000"/>
          <w:lang w:val="bs-Latn-BA"/>
        </w:rPr>
        <w:t xml:space="preserve"> </w:t>
      </w:r>
      <w:r w:rsidRPr="00155F80">
        <w:rPr>
          <w:rFonts w:ascii="Times New Roman" w:hAnsi="Times New Roman"/>
          <w:color w:val="000000"/>
        </w:rPr>
        <w:t>socijalnog</w:t>
      </w:r>
      <w:r w:rsidRPr="00155F80">
        <w:rPr>
          <w:rFonts w:ascii="Times New Roman" w:hAnsi="Times New Roman"/>
          <w:color w:val="000000"/>
          <w:lang w:val="bs-Latn-BA"/>
        </w:rPr>
        <w:t xml:space="preserve"> </w:t>
      </w:r>
      <w:r w:rsidRPr="00155F80">
        <w:rPr>
          <w:rFonts w:ascii="Times New Roman" w:hAnsi="Times New Roman"/>
          <w:color w:val="000000"/>
        </w:rPr>
        <w:t>i</w:t>
      </w:r>
      <w:r w:rsidRPr="00155F80">
        <w:rPr>
          <w:rFonts w:ascii="Times New Roman" w:hAnsi="Times New Roman"/>
          <w:color w:val="000000"/>
          <w:lang w:val="bs-Latn-BA"/>
        </w:rPr>
        <w:t xml:space="preserve"> </w:t>
      </w:r>
      <w:r w:rsidR="00914983">
        <w:rPr>
          <w:rFonts w:ascii="Times New Roman" w:hAnsi="Times New Roman"/>
          <w:color w:val="000000"/>
        </w:rPr>
        <w:t>gospodarskog</w:t>
      </w:r>
      <w:r w:rsidRPr="00155F80">
        <w:rPr>
          <w:rFonts w:ascii="Times New Roman" w:hAnsi="Times New Roman"/>
          <w:color w:val="000000"/>
          <w:lang w:val="bs-Latn-BA"/>
        </w:rPr>
        <w:t xml:space="preserve"> </w:t>
      </w:r>
      <w:r w:rsidRPr="00155F80">
        <w:rPr>
          <w:rFonts w:ascii="Times New Roman" w:hAnsi="Times New Roman"/>
          <w:color w:val="000000"/>
        </w:rPr>
        <w:t>stanja</w:t>
      </w:r>
      <w:r w:rsidRPr="00155F80">
        <w:rPr>
          <w:rFonts w:ascii="Times New Roman" w:hAnsi="Times New Roman"/>
          <w:color w:val="000000"/>
          <w:lang w:val="bs-Latn-BA"/>
        </w:rPr>
        <w:t xml:space="preserve">, </w:t>
      </w:r>
      <w:r w:rsidRPr="00155F80">
        <w:rPr>
          <w:rFonts w:ascii="Times New Roman" w:hAnsi="Times New Roman"/>
          <w:color w:val="000000"/>
        </w:rPr>
        <w:t>nerazvijene</w:t>
      </w:r>
      <w:r w:rsidRPr="00155F80">
        <w:rPr>
          <w:rFonts w:ascii="Times New Roman" w:hAnsi="Times New Roman"/>
          <w:color w:val="000000"/>
          <w:lang w:val="bs-Latn-BA"/>
        </w:rPr>
        <w:t xml:space="preserve"> </w:t>
      </w:r>
      <w:r w:rsidRPr="00155F80">
        <w:rPr>
          <w:rFonts w:ascii="Times New Roman" w:hAnsi="Times New Roman"/>
          <w:color w:val="000000"/>
        </w:rPr>
        <w:t>infrastrukture</w:t>
      </w:r>
      <w:r w:rsidRPr="00155F80">
        <w:rPr>
          <w:rFonts w:ascii="Times New Roman" w:hAnsi="Times New Roman"/>
          <w:color w:val="000000"/>
          <w:lang w:val="bs-Latn-BA"/>
        </w:rPr>
        <w:t xml:space="preserve">, </w:t>
      </w:r>
      <w:r w:rsidRPr="00155F80">
        <w:rPr>
          <w:rFonts w:ascii="Times New Roman" w:hAnsi="Times New Roman"/>
          <w:color w:val="000000"/>
        </w:rPr>
        <w:t>nepovoljne</w:t>
      </w:r>
      <w:r w:rsidRPr="00155F80">
        <w:rPr>
          <w:rFonts w:ascii="Times New Roman" w:hAnsi="Times New Roman"/>
          <w:color w:val="000000"/>
          <w:lang w:val="bs-Latn-BA"/>
        </w:rPr>
        <w:t xml:space="preserve"> </w:t>
      </w:r>
      <w:r w:rsidRPr="00155F80">
        <w:rPr>
          <w:rFonts w:ascii="Times New Roman" w:hAnsi="Times New Roman"/>
          <w:color w:val="000000"/>
        </w:rPr>
        <w:t>starosti</w:t>
      </w:r>
      <w:r w:rsidRPr="00155F80">
        <w:rPr>
          <w:rFonts w:ascii="Times New Roman" w:hAnsi="Times New Roman"/>
          <w:color w:val="000000"/>
          <w:lang w:val="bs-Latn-BA"/>
        </w:rPr>
        <w:t xml:space="preserve"> </w:t>
      </w:r>
      <w:r w:rsidRPr="00155F80">
        <w:rPr>
          <w:rFonts w:ascii="Times New Roman" w:hAnsi="Times New Roman"/>
          <w:color w:val="000000"/>
        </w:rPr>
        <w:t>automobila</w:t>
      </w:r>
      <w:r w:rsidRPr="00155F80">
        <w:rPr>
          <w:rFonts w:ascii="Times New Roman" w:hAnsi="Times New Roman"/>
          <w:color w:val="000000"/>
          <w:lang w:val="bs-Latn-BA"/>
        </w:rPr>
        <w:t xml:space="preserve"> </w:t>
      </w:r>
      <w:r w:rsidRPr="00155F80">
        <w:rPr>
          <w:rFonts w:ascii="Times New Roman" w:hAnsi="Times New Roman"/>
          <w:color w:val="000000"/>
        </w:rPr>
        <w:t>i</w:t>
      </w:r>
      <w:r w:rsidRPr="00155F80">
        <w:rPr>
          <w:rFonts w:ascii="Times New Roman" w:hAnsi="Times New Roman"/>
          <w:color w:val="000000"/>
          <w:lang w:val="bs-Latn-BA"/>
        </w:rPr>
        <w:t xml:space="preserve"> </w:t>
      </w:r>
      <w:r w:rsidRPr="00155F80">
        <w:rPr>
          <w:rFonts w:ascii="Times New Roman" w:hAnsi="Times New Roman"/>
          <w:color w:val="000000"/>
        </w:rPr>
        <w:t>lo</w:t>
      </w:r>
      <w:r w:rsidRPr="00155F80">
        <w:rPr>
          <w:rFonts w:ascii="Times New Roman" w:hAnsi="Times New Roman"/>
          <w:color w:val="000000"/>
          <w:lang w:val="bs-Latn-BA"/>
        </w:rPr>
        <w:t>š</w:t>
      </w:r>
      <w:r w:rsidRPr="00155F80">
        <w:rPr>
          <w:rFonts w:ascii="Times New Roman" w:hAnsi="Times New Roman"/>
          <w:color w:val="000000"/>
        </w:rPr>
        <w:t>e</w:t>
      </w:r>
      <w:r w:rsidR="00914983">
        <w:rPr>
          <w:rFonts w:ascii="Times New Roman" w:hAnsi="Times New Roman"/>
          <w:color w:val="000000"/>
        </w:rPr>
        <w:t>g</w:t>
      </w:r>
      <w:r w:rsidRPr="00155F80">
        <w:rPr>
          <w:rFonts w:ascii="Times New Roman" w:hAnsi="Times New Roman"/>
          <w:color w:val="000000"/>
          <w:lang w:val="bs-Latn-BA"/>
        </w:rPr>
        <w:t xml:space="preserve"> </w:t>
      </w:r>
      <w:r w:rsidRPr="00155F80">
        <w:rPr>
          <w:rFonts w:ascii="Times New Roman" w:hAnsi="Times New Roman"/>
          <w:color w:val="000000"/>
        </w:rPr>
        <w:t>kvalitet</w:t>
      </w:r>
      <w:r w:rsidR="00914983">
        <w:rPr>
          <w:rFonts w:ascii="Times New Roman" w:hAnsi="Times New Roman"/>
          <w:color w:val="000000"/>
        </w:rPr>
        <w:t>a</w:t>
      </w:r>
      <w:r w:rsidRPr="00155F80">
        <w:rPr>
          <w:rFonts w:ascii="Times New Roman" w:hAnsi="Times New Roman"/>
          <w:color w:val="000000"/>
          <w:lang w:val="bs-Latn-BA"/>
        </w:rPr>
        <w:t xml:space="preserve"> </w:t>
      </w:r>
      <w:r w:rsidRPr="00155F80">
        <w:rPr>
          <w:rFonts w:ascii="Times New Roman" w:hAnsi="Times New Roman"/>
          <w:color w:val="000000"/>
        </w:rPr>
        <w:t>goriva</w:t>
      </w:r>
      <w:r w:rsidRPr="00155F80">
        <w:rPr>
          <w:rFonts w:ascii="Times New Roman" w:hAnsi="Times New Roman"/>
          <w:color w:val="000000"/>
          <w:lang w:val="bs-Latn-BA"/>
        </w:rPr>
        <w:t xml:space="preserve">, </w:t>
      </w:r>
      <w:r w:rsidRPr="00155F80">
        <w:rPr>
          <w:rFonts w:ascii="Times New Roman" w:hAnsi="Times New Roman"/>
          <w:color w:val="000000"/>
        </w:rPr>
        <w:t>kao</w:t>
      </w:r>
      <w:r w:rsidRPr="00155F80">
        <w:rPr>
          <w:rFonts w:ascii="Times New Roman" w:hAnsi="Times New Roman"/>
          <w:color w:val="000000"/>
          <w:lang w:val="bs-Latn-BA"/>
        </w:rPr>
        <w:t xml:space="preserve"> </w:t>
      </w:r>
      <w:r w:rsidRPr="00155F80">
        <w:rPr>
          <w:rFonts w:ascii="Times New Roman" w:hAnsi="Times New Roman"/>
          <w:color w:val="000000"/>
        </w:rPr>
        <w:t>i</w:t>
      </w:r>
      <w:r w:rsidRPr="00155F80">
        <w:rPr>
          <w:rFonts w:ascii="Times New Roman" w:hAnsi="Times New Roman"/>
          <w:color w:val="000000"/>
          <w:lang w:val="bs-Latn-BA"/>
        </w:rPr>
        <w:t xml:space="preserve"> </w:t>
      </w:r>
      <w:r w:rsidRPr="00155F80">
        <w:rPr>
          <w:rFonts w:ascii="Times New Roman" w:hAnsi="Times New Roman"/>
          <w:color w:val="000000"/>
        </w:rPr>
        <w:t>nepovoljnih</w:t>
      </w:r>
      <w:r w:rsidRPr="00155F80">
        <w:rPr>
          <w:rFonts w:ascii="Times New Roman" w:hAnsi="Times New Roman"/>
          <w:color w:val="000000"/>
          <w:lang w:val="bs-Latn-BA"/>
        </w:rPr>
        <w:t xml:space="preserve"> </w:t>
      </w:r>
      <w:r w:rsidRPr="00155F80">
        <w:rPr>
          <w:rFonts w:ascii="Times New Roman" w:hAnsi="Times New Roman"/>
          <w:color w:val="000000"/>
        </w:rPr>
        <w:t>op</w:t>
      </w:r>
      <w:r w:rsidR="00914983">
        <w:rPr>
          <w:rFonts w:ascii="Times New Roman" w:hAnsi="Times New Roman"/>
          <w:color w:val="000000"/>
          <w:lang w:val="bs-Latn-BA"/>
        </w:rPr>
        <w:t>ć</w:t>
      </w:r>
      <w:r w:rsidRPr="00155F80">
        <w:rPr>
          <w:rFonts w:ascii="Times New Roman" w:hAnsi="Times New Roman"/>
          <w:color w:val="000000"/>
        </w:rPr>
        <w:t>ih</w:t>
      </w:r>
      <w:r w:rsidRPr="00155F80">
        <w:rPr>
          <w:rFonts w:ascii="Times New Roman" w:hAnsi="Times New Roman"/>
          <w:color w:val="000000"/>
          <w:lang w:val="bs-Latn-BA"/>
        </w:rPr>
        <w:t xml:space="preserve"> </w:t>
      </w:r>
      <w:r w:rsidRPr="00155F80">
        <w:rPr>
          <w:rFonts w:ascii="Times New Roman" w:hAnsi="Times New Roman"/>
          <w:color w:val="000000"/>
        </w:rPr>
        <w:t>prirodno</w:t>
      </w:r>
      <w:r w:rsidRPr="00155F80">
        <w:rPr>
          <w:rFonts w:ascii="Times New Roman" w:hAnsi="Times New Roman"/>
          <w:color w:val="000000"/>
          <w:lang w:val="bs-Latn-BA"/>
        </w:rPr>
        <w:t>-</w:t>
      </w:r>
      <w:r w:rsidR="00914983">
        <w:rPr>
          <w:rFonts w:ascii="Times New Roman" w:hAnsi="Times New Roman"/>
          <w:color w:val="000000"/>
        </w:rPr>
        <w:t>zemljopisnih</w:t>
      </w:r>
      <w:r w:rsidRPr="00155F80">
        <w:rPr>
          <w:rFonts w:ascii="Times New Roman" w:hAnsi="Times New Roman"/>
          <w:color w:val="000000"/>
          <w:lang w:val="bs-Latn-BA"/>
        </w:rPr>
        <w:t xml:space="preserve"> </w:t>
      </w:r>
      <w:r w:rsidRPr="00155F80">
        <w:rPr>
          <w:rFonts w:ascii="Times New Roman" w:hAnsi="Times New Roman"/>
          <w:color w:val="000000"/>
        </w:rPr>
        <w:t>u</w:t>
      </w:r>
      <w:r w:rsidR="00914983">
        <w:rPr>
          <w:rFonts w:ascii="Times New Roman" w:hAnsi="Times New Roman"/>
          <w:color w:val="000000"/>
        </w:rPr>
        <w:t>vjeta</w:t>
      </w:r>
      <w:r w:rsidRPr="00155F80">
        <w:rPr>
          <w:rFonts w:ascii="Times New Roman" w:hAnsi="Times New Roman"/>
          <w:color w:val="000000"/>
          <w:lang w:val="bs-Latn-BA"/>
        </w:rPr>
        <w:t xml:space="preserve">. </w:t>
      </w:r>
      <w:r w:rsidRPr="00155F80">
        <w:rPr>
          <w:rFonts w:ascii="Times New Roman" w:hAnsi="Times New Roman"/>
          <w:color w:val="000000"/>
        </w:rPr>
        <w:t>Dugotrajna</w:t>
      </w:r>
      <w:r w:rsidRPr="00155F80">
        <w:rPr>
          <w:rFonts w:ascii="Times New Roman" w:hAnsi="Times New Roman"/>
          <w:color w:val="000000"/>
          <w:lang w:val="bs-Latn-BA"/>
        </w:rPr>
        <w:t xml:space="preserve"> </w:t>
      </w:r>
      <w:r w:rsidRPr="00155F80">
        <w:rPr>
          <w:rFonts w:ascii="Times New Roman" w:hAnsi="Times New Roman"/>
          <w:color w:val="000000"/>
        </w:rPr>
        <w:t>temperaturna</w:t>
      </w:r>
      <w:r w:rsidRPr="00155F80">
        <w:rPr>
          <w:rFonts w:ascii="Times New Roman" w:hAnsi="Times New Roman"/>
          <w:color w:val="000000"/>
          <w:lang w:val="bs-Latn-BA"/>
        </w:rPr>
        <w:t xml:space="preserve"> </w:t>
      </w:r>
      <w:r w:rsidRPr="00155F80">
        <w:rPr>
          <w:rFonts w:ascii="Times New Roman" w:hAnsi="Times New Roman"/>
          <w:color w:val="000000"/>
        </w:rPr>
        <w:t>inverzija</w:t>
      </w:r>
      <w:r w:rsidRPr="00155F80">
        <w:rPr>
          <w:rFonts w:ascii="Times New Roman" w:hAnsi="Times New Roman"/>
          <w:color w:val="000000"/>
          <w:lang w:val="bs-Latn-BA"/>
        </w:rPr>
        <w:t xml:space="preserve"> </w:t>
      </w:r>
      <w:r w:rsidRPr="00155F80">
        <w:rPr>
          <w:rFonts w:ascii="Times New Roman" w:hAnsi="Times New Roman"/>
          <w:color w:val="000000"/>
        </w:rPr>
        <w:t>na</w:t>
      </w:r>
      <w:r w:rsidRPr="00155F80">
        <w:rPr>
          <w:rFonts w:ascii="Times New Roman" w:hAnsi="Times New Roman"/>
          <w:color w:val="000000"/>
          <w:lang w:val="bs-Latn-BA"/>
        </w:rPr>
        <w:t xml:space="preserve"> </w:t>
      </w:r>
      <w:r w:rsidRPr="00155F80">
        <w:rPr>
          <w:rFonts w:ascii="Times New Roman" w:hAnsi="Times New Roman"/>
          <w:color w:val="000000"/>
        </w:rPr>
        <w:t>ve</w:t>
      </w:r>
      <w:r w:rsidRPr="00155F80">
        <w:rPr>
          <w:rFonts w:ascii="Times New Roman" w:hAnsi="Times New Roman"/>
          <w:color w:val="000000"/>
          <w:lang w:val="bs-Latn-BA"/>
        </w:rPr>
        <w:t>ć</w:t>
      </w:r>
      <w:r w:rsidRPr="00155F80">
        <w:rPr>
          <w:rFonts w:ascii="Times New Roman" w:hAnsi="Times New Roman"/>
          <w:color w:val="000000"/>
        </w:rPr>
        <w:t>em</w:t>
      </w:r>
      <w:r w:rsidRPr="00155F80">
        <w:rPr>
          <w:rFonts w:ascii="Times New Roman" w:hAnsi="Times New Roman"/>
          <w:color w:val="000000"/>
          <w:lang w:val="bs-Latn-BA"/>
        </w:rPr>
        <w:t xml:space="preserve"> </w:t>
      </w:r>
      <w:r w:rsidRPr="00155F80">
        <w:rPr>
          <w:rFonts w:ascii="Times New Roman" w:hAnsi="Times New Roman"/>
          <w:color w:val="000000"/>
        </w:rPr>
        <w:t>podru</w:t>
      </w:r>
      <w:r w:rsidRPr="00155F80">
        <w:rPr>
          <w:rFonts w:ascii="Times New Roman" w:hAnsi="Times New Roman"/>
          <w:color w:val="000000"/>
          <w:lang w:val="bs-Latn-BA"/>
        </w:rPr>
        <w:t>č</w:t>
      </w:r>
      <w:r w:rsidRPr="00155F80">
        <w:rPr>
          <w:rFonts w:ascii="Times New Roman" w:hAnsi="Times New Roman"/>
          <w:color w:val="000000"/>
        </w:rPr>
        <w:t>ju</w:t>
      </w:r>
      <w:r w:rsidRPr="00155F80">
        <w:rPr>
          <w:rFonts w:ascii="Times New Roman" w:hAnsi="Times New Roman"/>
          <w:color w:val="000000"/>
          <w:lang w:val="bs-Latn-BA"/>
        </w:rPr>
        <w:t xml:space="preserve"> </w:t>
      </w:r>
      <w:r w:rsidRPr="00155F80">
        <w:rPr>
          <w:rFonts w:ascii="Times New Roman" w:hAnsi="Times New Roman"/>
          <w:color w:val="000000"/>
        </w:rPr>
        <w:t>Bosne</w:t>
      </w:r>
      <w:r w:rsidRPr="00155F80">
        <w:rPr>
          <w:rFonts w:ascii="Times New Roman" w:hAnsi="Times New Roman"/>
          <w:color w:val="000000"/>
          <w:lang w:val="bs-Latn-BA"/>
        </w:rPr>
        <w:t xml:space="preserve"> </w:t>
      </w:r>
      <w:r w:rsidRPr="00155F80">
        <w:rPr>
          <w:rFonts w:ascii="Times New Roman" w:hAnsi="Times New Roman"/>
          <w:color w:val="000000"/>
        </w:rPr>
        <w:t>i</w:t>
      </w:r>
      <w:r w:rsidRPr="00155F80">
        <w:rPr>
          <w:rFonts w:ascii="Times New Roman" w:hAnsi="Times New Roman"/>
          <w:color w:val="000000"/>
          <w:lang w:val="bs-Latn-BA"/>
        </w:rPr>
        <w:t xml:space="preserve"> </w:t>
      </w:r>
      <w:r w:rsidRPr="00155F80">
        <w:rPr>
          <w:rFonts w:ascii="Times New Roman" w:hAnsi="Times New Roman"/>
          <w:color w:val="000000"/>
        </w:rPr>
        <w:t>Hercegovine</w:t>
      </w:r>
      <w:r w:rsidRPr="00155F80">
        <w:rPr>
          <w:rFonts w:ascii="Times New Roman" w:hAnsi="Times New Roman"/>
          <w:color w:val="000000"/>
          <w:lang w:val="bs-Latn-BA"/>
        </w:rPr>
        <w:t xml:space="preserve">, </w:t>
      </w:r>
      <w:r w:rsidRPr="00155F80">
        <w:rPr>
          <w:rFonts w:ascii="Times New Roman" w:hAnsi="Times New Roman"/>
          <w:color w:val="000000"/>
        </w:rPr>
        <w:t>od</w:t>
      </w:r>
      <w:r w:rsidRPr="00155F80">
        <w:rPr>
          <w:rFonts w:ascii="Times New Roman" w:hAnsi="Times New Roman"/>
          <w:color w:val="000000"/>
          <w:lang w:val="bs-Latn-BA"/>
        </w:rPr>
        <w:t xml:space="preserve"> </w:t>
      </w:r>
      <w:r w:rsidRPr="00155F80">
        <w:rPr>
          <w:rFonts w:ascii="Times New Roman" w:hAnsi="Times New Roman"/>
          <w:color w:val="000000"/>
        </w:rPr>
        <w:t>prve</w:t>
      </w:r>
      <w:r w:rsidRPr="00155F80">
        <w:rPr>
          <w:rFonts w:ascii="Times New Roman" w:hAnsi="Times New Roman"/>
          <w:color w:val="000000"/>
          <w:lang w:val="bs-Latn-BA"/>
        </w:rPr>
        <w:t xml:space="preserve"> </w:t>
      </w:r>
      <w:r w:rsidRPr="00155F80">
        <w:rPr>
          <w:rFonts w:ascii="Times New Roman" w:hAnsi="Times New Roman"/>
          <w:color w:val="000000"/>
        </w:rPr>
        <w:t>polovine</w:t>
      </w:r>
      <w:r w:rsidRPr="00155F80">
        <w:rPr>
          <w:rFonts w:ascii="Times New Roman" w:hAnsi="Times New Roman"/>
          <w:color w:val="000000"/>
          <w:lang w:val="bs-Latn-BA"/>
        </w:rPr>
        <w:t xml:space="preserve"> </w:t>
      </w:r>
      <w:r w:rsidR="00914983">
        <w:rPr>
          <w:rFonts w:ascii="Times New Roman" w:hAnsi="Times New Roman"/>
          <w:color w:val="000000"/>
        </w:rPr>
        <w:t>studenog</w:t>
      </w:r>
      <w:r w:rsidRPr="00155F80">
        <w:rPr>
          <w:rFonts w:ascii="Times New Roman" w:hAnsi="Times New Roman"/>
          <w:color w:val="000000"/>
          <w:lang w:val="bs-Latn-BA"/>
        </w:rPr>
        <w:t xml:space="preserve"> 2015. do kraja </w:t>
      </w:r>
      <w:r w:rsidR="00914983">
        <w:rPr>
          <w:rFonts w:ascii="Times New Roman" w:hAnsi="Times New Roman"/>
          <w:color w:val="000000"/>
          <w:lang w:val="bs-Latn-BA"/>
        </w:rPr>
        <w:t>siječnja</w:t>
      </w:r>
      <w:r w:rsidRPr="00155F80">
        <w:rPr>
          <w:rFonts w:ascii="Times New Roman" w:hAnsi="Times New Roman"/>
          <w:color w:val="000000"/>
          <w:lang w:val="bs-Latn-BA"/>
        </w:rPr>
        <w:t xml:space="preserve"> 2016. godine, </w:t>
      </w:r>
      <w:r w:rsidRPr="00155F80">
        <w:rPr>
          <w:rFonts w:ascii="Times New Roman" w:hAnsi="Times New Roman"/>
          <w:color w:val="000000"/>
        </w:rPr>
        <w:t>za</w:t>
      </w:r>
      <w:r w:rsidRPr="00155F80">
        <w:rPr>
          <w:rFonts w:ascii="Times New Roman" w:hAnsi="Times New Roman"/>
          <w:color w:val="000000"/>
          <w:lang w:val="bs-Latn-BA"/>
        </w:rPr>
        <w:t xml:space="preserve"> </w:t>
      </w:r>
      <w:r w:rsidRPr="00155F80">
        <w:rPr>
          <w:rFonts w:ascii="Times New Roman" w:hAnsi="Times New Roman"/>
          <w:color w:val="000000"/>
        </w:rPr>
        <w:t>posljedicu</w:t>
      </w:r>
      <w:r w:rsidRPr="00155F80">
        <w:rPr>
          <w:rFonts w:ascii="Times New Roman" w:hAnsi="Times New Roman"/>
          <w:color w:val="000000"/>
          <w:lang w:val="bs-Latn-BA"/>
        </w:rPr>
        <w:t xml:space="preserve"> </w:t>
      </w:r>
      <w:r w:rsidRPr="00155F80">
        <w:rPr>
          <w:rFonts w:ascii="Times New Roman" w:hAnsi="Times New Roman"/>
          <w:color w:val="000000"/>
        </w:rPr>
        <w:t>je</w:t>
      </w:r>
      <w:r w:rsidRPr="00155F80">
        <w:rPr>
          <w:rFonts w:ascii="Times New Roman" w:hAnsi="Times New Roman"/>
          <w:color w:val="000000"/>
          <w:lang w:val="bs-Latn-BA"/>
        </w:rPr>
        <w:t xml:space="preserve"> </w:t>
      </w:r>
      <w:r w:rsidRPr="00155F80">
        <w:rPr>
          <w:rFonts w:ascii="Times New Roman" w:hAnsi="Times New Roman"/>
          <w:color w:val="000000"/>
        </w:rPr>
        <w:t>imala</w:t>
      </w:r>
      <w:r w:rsidRPr="00155F80">
        <w:rPr>
          <w:rFonts w:ascii="Times New Roman" w:hAnsi="Times New Roman"/>
          <w:color w:val="000000"/>
          <w:lang w:val="bs-Latn-BA"/>
        </w:rPr>
        <w:t xml:space="preserve"> dužu </w:t>
      </w:r>
      <w:r w:rsidRPr="00155F80">
        <w:rPr>
          <w:rFonts w:ascii="Times New Roman" w:hAnsi="Times New Roman"/>
          <w:color w:val="000000"/>
        </w:rPr>
        <w:t>epizodu</w:t>
      </w:r>
      <w:r w:rsidRPr="00155F80">
        <w:rPr>
          <w:rFonts w:ascii="Times New Roman" w:hAnsi="Times New Roman"/>
          <w:color w:val="000000"/>
          <w:lang w:val="bs-Latn-BA"/>
        </w:rPr>
        <w:t xml:space="preserve"> </w:t>
      </w:r>
      <w:r w:rsidRPr="00155F80">
        <w:rPr>
          <w:rFonts w:ascii="Times New Roman" w:hAnsi="Times New Roman"/>
          <w:color w:val="000000"/>
        </w:rPr>
        <w:t>pove</w:t>
      </w:r>
      <w:r w:rsidRPr="00155F80">
        <w:rPr>
          <w:rFonts w:ascii="Times New Roman" w:hAnsi="Times New Roman"/>
          <w:color w:val="000000"/>
          <w:lang w:val="bs-Latn-BA"/>
        </w:rPr>
        <w:t>ć</w:t>
      </w:r>
      <w:r w:rsidRPr="00155F80">
        <w:rPr>
          <w:rFonts w:ascii="Times New Roman" w:hAnsi="Times New Roman"/>
          <w:color w:val="000000"/>
        </w:rPr>
        <w:t>anog</w:t>
      </w:r>
      <w:r w:rsidRPr="00155F80">
        <w:rPr>
          <w:rFonts w:ascii="Times New Roman" w:hAnsi="Times New Roman"/>
          <w:color w:val="000000"/>
          <w:lang w:val="bs-Latn-BA"/>
        </w:rPr>
        <w:t xml:space="preserve"> </w:t>
      </w:r>
      <w:r w:rsidR="00914983">
        <w:rPr>
          <w:rFonts w:ascii="Times New Roman" w:hAnsi="Times New Roman"/>
          <w:color w:val="000000"/>
        </w:rPr>
        <w:t>onečišćenja</w:t>
      </w:r>
      <w:r w:rsidRPr="00155F80">
        <w:rPr>
          <w:rFonts w:ascii="Times New Roman" w:hAnsi="Times New Roman"/>
          <w:color w:val="000000"/>
          <w:lang w:val="bs-Latn-BA"/>
        </w:rPr>
        <w:t xml:space="preserve"> </w:t>
      </w:r>
      <w:r w:rsidRPr="00155F80">
        <w:rPr>
          <w:rFonts w:ascii="Times New Roman" w:hAnsi="Times New Roman"/>
          <w:color w:val="000000"/>
        </w:rPr>
        <w:t>zraka</w:t>
      </w:r>
      <w:r w:rsidRPr="00155F80">
        <w:rPr>
          <w:rFonts w:ascii="Times New Roman" w:hAnsi="Times New Roman"/>
          <w:color w:val="000000"/>
          <w:lang w:val="bs-Latn-BA"/>
        </w:rPr>
        <w:t xml:space="preserve">, </w:t>
      </w:r>
      <w:r w:rsidRPr="00155F80">
        <w:rPr>
          <w:rFonts w:ascii="Times New Roman" w:hAnsi="Times New Roman"/>
          <w:color w:val="000000"/>
        </w:rPr>
        <w:t>opasnog</w:t>
      </w:r>
      <w:r w:rsidRPr="00155F80">
        <w:rPr>
          <w:rFonts w:ascii="Times New Roman" w:hAnsi="Times New Roman"/>
          <w:color w:val="000000"/>
          <w:lang w:val="bs-Latn-BA"/>
        </w:rPr>
        <w:t xml:space="preserve"> </w:t>
      </w:r>
      <w:r w:rsidRPr="00155F80">
        <w:rPr>
          <w:rFonts w:ascii="Times New Roman" w:hAnsi="Times New Roman"/>
          <w:color w:val="000000"/>
        </w:rPr>
        <w:t>po</w:t>
      </w:r>
      <w:r w:rsidRPr="00155F80">
        <w:rPr>
          <w:rFonts w:ascii="Times New Roman" w:hAnsi="Times New Roman"/>
          <w:color w:val="000000"/>
          <w:lang w:val="bs-Latn-BA"/>
        </w:rPr>
        <w:t xml:space="preserve"> </w:t>
      </w:r>
      <w:r w:rsidRPr="00155F80">
        <w:rPr>
          <w:rFonts w:ascii="Times New Roman" w:hAnsi="Times New Roman"/>
          <w:color w:val="000000"/>
        </w:rPr>
        <w:t>ljudsko</w:t>
      </w:r>
      <w:r w:rsidRPr="00155F80">
        <w:rPr>
          <w:rFonts w:ascii="Times New Roman" w:hAnsi="Times New Roman"/>
          <w:color w:val="000000"/>
          <w:lang w:val="bs-Latn-BA"/>
        </w:rPr>
        <w:t xml:space="preserve"> </w:t>
      </w:r>
      <w:r w:rsidRPr="00155F80">
        <w:rPr>
          <w:rFonts w:ascii="Times New Roman" w:hAnsi="Times New Roman"/>
          <w:color w:val="000000"/>
        </w:rPr>
        <w:t>zdravlje</w:t>
      </w:r>
      <w:r w:rsidRPr="00155F80">
        <w:rPr>
          <w:rFonts w:ascii="Times New Roman" w:hAnsi="Times New Roman"/>
          <w:color w:val="000000"/>
          <w:lang w:val="bs-Latn-BA"/>
        </w:rPr>
        <w:t xml:space="preserve">, </w:t>
      </w:r>
      <w:r w:rsidRPr="00155F80">
        <w:rPr>
          <w:rFonts w:ascii="Times New Roman" w:hAnsi="Times New Roman"/>
          <w:color w:val="000000"/>
        </w:rPr>
        <w:t>osobito</w:t>
      </w:r>
      <w:r w:rsidRPr="00155F80">
        <w:rPr>
          <w:rFonts w:ascii="Times New Roman" w:hAnsi="Times New Roman"/>
          <w:color w:val="000000"/>
          <w:lang w:val="bs-Latn-BA"/>
        </w:rPr>
        <w:t xml:space="preserve"> </w:t>
      </w:r>
      <w:r w:rsidRPr="00155F80">
        <w:rPr>
          <w:rFonts w:ascii="Times New Roman" w:hAnsi="Times New Roman"/>
          <w:color w:val="000000"/>
        </w:rPr>
        <w:t>u</w:t>
      </w:r>
      <w:r w:rsidRPr="00155F80">
        <w:rPr>
          <w:rFonts w:ascii="Times New Roman" w:hAnsi="Times New Roman"/>
          <w:color w:val="000000"/>
          <w:lang w:val="bs-Latn-BA"/>
        </w:rPr>
        <w:t xml:space="preserve"> </w:t>
      </w:r>
      <w:r w:rsidRPr="00155F80">
        <w:rPr>
          <w:rFonts w:ascii="Times New Roman" w:hAnsi="Times New Roman"/>
          <w:color w:val="000000"/>
        </w:rPr>
        <w:t>ve</w:t>
      </w:r>
      <w:r w:rsidRPr="00155F80">
        <w:rPr>
          <w:rFonts w:ascii="Times New Roman" w:hAnsi="Times New Roman"/>
          <w:color w:val="000000"/>
          <w:lang w:val="bs-Latn-BA"/>
        </w:rPr>
        <w:t>ć</w:t>
      </w:r>
      <w:r w:rsidRPr="00155F80">
        <w:rPr>
          <w:rFonts w:ascii="Times New Roman" w:hAnsi="Times New Roman"/>
          <w:color w:val="000000"/>
        </w:rPr>
        <w:t>im</w:t>
      </w:r>
      <w:r w:rsidRPr="00155F80">
        <w:rPr>
          <w:rFonts w:ascii="Times New Roman" w:hAnsi="Times New Roman"/>
          <w:color w:val="000000"/>
          <w:lang w:val="bs-Latn-BA"/>
        </w:rPr>
        <w:t xml:space="preserve"> </w:t>
      </w:r>
      <w:r w:rsidRPr="00155F80">
        <w:rPr>
          <w:rFonts w:ascii="Times New Roman" w:hAnsi="Times New Roman"/>
          <w:color w:val="000000"/>
        </w:rPr>
        <w:t>gradovima</w:t>
      </w:r>
      <w:r w:rsidRPr="00155F80">
        <w:rPr>
          <w:rFonts w:ascii="Times New Roman" w:hAnsi="Times New Roman"/>
          <w:color w:val="000000"/>
          <w:lang w:val="bs-Latn-BA"/>
        </w:rPr>
        <w:t xml:space="preserve"> </w:t>
      </w:r>
      <w:r w:rsidRPr="00155F80">
        <w:rPr>
          <w:rFonts w:ascii="Times New Roman" w:hAnsi="Times New Roman"/>
          <w:color w:val="000000"/>
        </w:rPr>
        <w:t>i</w:t>
      </w:r>
      <w:r w:rsidRPr="00155F80">
        <w:rPr>
          <w:rFonts w:ascii="Times New Roman" w:hAnsi="Times New Roman"/>
          <w:color w:val="000000"/>
          <w:lang w:val="bs-Latn-BA"/>
        </w:rPr>
        <w:t xml:space="preserve"> </w:t>
      </w:r>
      <w:r w:rsidRPr="00155F80">
        <w:rPr>
          <w:rFonts w:ascii="Times New Roman" w:hAnsi="Times New Roman"/>
          <w:color w:val="000000"/>
        </w:rPr>
        <w:t>kotlinama</w:t>
      </w:r>
      <w:r w:rsidRPr="00155F80">
        <w:rPr>
          <w:rFonts w:ascii="Times New Roman" w:hAnsi="Times New Roman"/>
          <w:color w:val="000000"/>
          <w:lang w:val="bs-Latn-BA"/>
        </w:rPr>
        <w:t xml:space="preserve">. </w:t>
      </w:r>
      <w:r w:rsidRPr="00155F80">
        <w:rPr>
          <w:rFonts w:ascii="Times New Roman" w:hAnsi="Times New Roman"/>
          <w:color w:val="000000"/>
        </w:rPr>
        <w:t>Najte</w:t>
      </w:r>
      <w:r w:rsidRPr="00155F80">
        <w:rPr>
          <w:rFonts w:ascii="Times New Roman" w:hAnsi="Times New Roman"/>
          <w:color w:val="000000"/>
          <w:lang w:val="bs-Latn-BA"/>
        </w:rPr>
        <w:t>ž</w:t>
      </w:r>
      <w:r w:rsidRPr="00155F80">
        <w:rPr>
          <w:rFonts w:ascii="Times New Roman" w:hAnsi="Times New Roman"/>
          <w:color w:val="000000"/>
        </w:rPr>
        <w:t>e</w:t>
      </w:r>
      <w:r w:rsidRPr="00155F80">
        <w:rPr>
          <w:rFonts w:ascii="Times New Roman" w:hAnsi="Times New Roman"/>
          <w:color w:val="000000"/>
          <w:lang w:val="bs-Latn-BA"/>
        </w:rPr>
        <w:t xml:space="preserve"> </w:t>
      </w:r>
      <w:r w:rsidRPr="00155F80">
        <w:rPr>
          <w:rFonts w:ascii="Times New Roman" w:hAnsi="Times New Roman"/>
          <w:color w:val="000000"/>
        </w:rPr>
        <w:t>su</w:t>
      </w:r>
      <w:r w:rsidRPr="00155F80">
        <w:rPr>
          <w:rFonts w:ascii="Times New Roman" w:hAnsi="Times New Roman"/>
          <w:color w:val="000000"/>
          <w:lang w:val="bs-Latn-BA"/>
        </w:rPr>
        <w:t xml:space="preserve"> </w:t>
      </w:r>
      <w:r w:rsidRPr="00155F80">
        <w:rPr>
          <w:rFonts w:ascii="Times New Roman" w:hAnsi="Times New Roman"/>
          <w:color w:val="000000"/>
        </w:rPr>
        <w:t>pogo</w:t>
      </w:r>
      <w:r w:rsidRPr="00155F80">
        <w:rPr>
          <w:rFonts w:ascii="Times New Roman" w:hAnsi="Times New Roman"/>
          <w:color w:val="000000"/>
          <w:lang w:val="bs-Latn-BA"/>
        </w:rPr>
        <w:t>đ</w:t>
      </w:r>
      <w:r w:rsidRPr="00155F80">
        <w:rPr>
          <w:rFonts w:ascii="Times New Roman" w:hAnsi="Times New Roman"/>
          <w:color w:val="000000"/>
        </w:rPr>
        <w:t>eni</w:t>
      </w:r>
      <w:r w:rsidRPr="00155F80">
        <w:rPr>
          <w:rFonts w:ascii="Times New Roman" w:hAnsi="Times New Roman"/>
          <w:color w:val="000000"/>
          <w:lang w:val="bs-Latn-BA"/>
        </w:rPr>
        <w:t xml:space="preserve"> </w:t>
      </w:r>
      <w:r w:rsidRPr="00155F80">
        <w:rPr>
          <w:rFonts w:ascii="Times New Roman" w:hAnsi="Times New Roman"/>
          <w:color w:val="000000"/>
        </w:rPr>
        <w:t>grad</w:t>
      </w:r>
      <w:r w:rsidRPr="00155F80">
        <w:rPr>
          <w:rFonts w:ascii="Times New Roman" w:hAnsi="Times New Roman"/>
          <w:color w:val="000000"/>
          <w:lang w:val="bs-Latn-BA"/>
        </w:rPr>
        <w:t xml:space="preserve"> </w:t>
      </w:r>
      <w:r w:rsidRPr="00155F80">
        <w:rPr>
          <w:rFonts w:ascii="Times New Roman" w:hAnsi="Times New Roman"/>
          <w:color w:val="000000"/>
        </w:rPr>
        <w:t>Sarajevo</w:t>
      </w:r>
      <w:r w:rsidRPr="00155F80">
        <w:rPr>
          <w:rFonts w:ascii="Times New Roman" w:hAnsi="Times New Roman"/>
          <w:color w:val="000000"/>
          <w:lang w:val="bs-Latn-BA"/>
        </w:rPr>
        <w:t xml:space="preserve"> </w:t>
      </w:r>
      <w:r w:rsidRPr="00155F80">
        <w:rPr>
          <w:rFonts w:ascii="Times New Roman" w:hAnsi="Times New Roman"/>
          <w:color w:val="000000"/>
        </w:rPr>
        <w:t>i</w:t>
      </w:r>
      <w:r w:rsidRPr="00155F80">
        <w:rPr>
          <w:rFonts w:ascii="Times New Roman" w:hAnsi="Times New Roman"/>
          <w:color w:val="000000"/>
          <w:lang w:val="bs-Latn-BA"/>
        </w:rPr>
        <w:t xml:space="preserve"> </w:t>
      </w:r>
      <w:r w:rsidRPr="00155F80">
        <w:rPr>
          <w:rFonts w:ascii="Times New Roman" w:hAnsi="Times New Roman"/>
          <w:color w:val="000000"/>
        </w:rPr>
        <w:t>industrijski</w:t>
      </w:r>
      <w:r w:rsidRPr="00155F80">
        <w:rPr>
          <w:rFonts w:ascii="Times New Roman" w:hAnsi="Times New Roman"/>
          <w:color w:val="000000"/>
          <w:lang w:val="bs-Latn-BA"/>
        </w:rPr>
        <w:t xml:space="preserve"> </w:t>
      </w:r>
      <w:r w:rsidRPr="00155F80">
        <w:rPr>
          <w:rFonts w:ascii="Times New Roman" w:hAnsi="Times New Roman"/>
          <w:color w:val="000000"/>
        </w:rPr>
        <w:t>centri</w:t>
      </w:r>
      <w:r w:rsidRPr="00155F80">
        <w:rPr>
          <w:rFonts w:ascii="Times New Roman" w:hAnsi="Times New Roman"/>
          <w:color w:val="000000"/>
          <w:lang w:val="bs-Latn-BA"/>
        </w:rPr>
        <w:t xml:space="preserve"> </w:t>
      </w:r>
      <w:r w:rsidRPr="00155F80">
        <w:rPr>
          <w:rFonts w:ascii="Times New Roman" w:hAnsi="Times New Roman"/>
          <w:color w:val="000000"/>
        </w:rPr>
        <w:t>Zenica</w:t>
      </w:r>
      <w:r w:rsidRPr="00155F80">
        <w:rPr>
          <w:rFonts w:ascii="Times New Roman" w:hAnsi="Times New Roman"/>
          <w:color w:val="000000"/>
          <w:lang w:val="bs-Latn-BA"/>
        </w:rPr>
        <w:t xml:space="preserve"> </w:t>
      </w:r>
      <w:r w:rsidRPr="00155F80">
        <w:rPr>
          <w:rFonts w:ascii="Times New Roman" w:hAnsi="Times New Roman"/>
          <w:color w:val="000000"/>
        </w:rPr>
        <w:t>i</w:t>
      </w:r>
      <w:r w:rsidRPr="00155F80">
        <w:rPr>
          <w:rFonts w:ascii="Times New Roman" w:hAnsi="Times New Roman"/>
          <w:color w:val="000000"/>
          <w:lang w:val="bs-Latn-BA"/>
        </w:rPr>
        <w:t xml:space="preserve"> </w:t>
      </w:r>
      <w:r w:rsidRPr="00155F80">
        <w:rPr>
          <w:rFonts w:ascii="Times New Roman" w:hAnsi="Times New Roman"/>
          <w:color w:val="000000"/>
        </w:rPr>
        <w:t>Tuzla</w:t>
      </w:r>
      <w:r w:rsidRPr="00155F80">
        <w:rPr>
          <w:rFonts w:ascii="Times New Roman" w:hAnsi="Times New Roman"/>
          <w:color w:val="000000"/>
          <w:lang w:val="bs-Latn-BA"/>
        </w:rPr>
        <w:t xml:space="preserve">. </w:t>
      </w:r>
      <w:r w:rsidRPr="00155F80">
        <w:rPr>
          <w:rFonts w:ascii="Times New Roman" w:hAnsi="Times New Roman"/>
          <w:color w:val="000000"/>
        </w:rPr>
        <w:t>Kao</w:t>
      </w:r>
      <w:r w:rsidRPr="00155F80">
        <w:rPr>
          <w:rFonts w:ascii="Times New Roman" w:hAnsi="Times New Roman"/>
          <w:color w:val="000000"/>
          <w:lang w:val="bs-Latn-BA"/>
        </w:rPr>
        <w:t xml:space="preserve"> </w:t>
      </w:r>
      <w:r w:rsidRPr="00155F80">
        <w:rPr>
          <w:rFonts w:ascii="Times New Roman" w:hAnsi="Times New Roman"/>
          <w:color w:val="000000"/>
        </w:rPr>
        <w:t>glavni</w:t>
      </w:r>
      <w:r w:rsidRPr="00155F80">
        <w:rPr>
          <w:rFonts w:ascii="Times New Roman" w:hAnsi="Times New Roman"/>
          <w:color w:val="000000"/>
          <w:lang w:val="bs-Latn-BA"/>
        </w:rPr>
        <w:t xml:space="preserve"> </w:t>
      </w:r>
      <w:r w:rsidRPr="00155F80">
        <w:rPr>
          <w:rFonts w:ascii="Times New Roman" w:hAnsi="Times New Roman"/>
          <w:color w:val="000000"/>
        </w:rPr>
        <w:t>izvori</w:t>
      </w:r>
      <w:r w:rsidRPr="00155F80">
        <w:rPr>
          <w:rFonts w:ascii="Times New Roman" w:hAnsi="Times New Roman"/>
          <w:color w:val="000000"/>
          <w:lang w:val="bs-Latn-BA"/>
        </w:rPr>
        <w:t xml:space="preserve"> </w:t>
      </w:r>
      <w:r w:rsidR="00914983">
        <w:rPr>
          <w:rFonts w:ascii="Times New Roman" w:hAnsi="Times New Roman"/>
          <w:color w:val="000000"/>
        </w:rPr>
        <w:t>onečišćenja</w:t>
      </w:r>
      <w:r w:rsidRPr="00155F80">
        <w:rPr>
          <w:rFonts w:ascii="Times New Roman" w:hAnsi="Times New Roman"/>
          <w:color w:val="000000"/>
          <w:lang w:val="bs-Latn-BA"/>
        </w:rPr>
        <w:t xml:space="preserve"> </w:t>
      </w:r>
      <w:r w:rsidRPr="00155F80">
        <w:rPr>
          <w:rFonts w:ascii="Times New Roman" w:hAnsi="Times New Roman"/>
          <w:color w:val="000000"/>
        </w:rPr>
        <w:t>u</w:t>
      </w:r>
      <w:r w:rsidRPr="00155F80">
        <w:rPr>
          <w:rFonts w:ascii="Times New Roman" w:hAnsi="Times New Roman"/>
          <w:color w:val="000000"/>
          <w:lang w:val="bs-Latn-BA"/>
        </w:rPr>
        <w:t xml:space="preserve"> </w:t>
      </w:r>
      <w:r w:rsidRPr="00155F80">
        <w:rPr>
          <w:rFonts w:ascii="Times New Roman" w:hAnsi="Times New Roman"/>
          <w:color w:val="000000"/>
        </w:rPr>
        <w:t>Sarajevu</w:t>
      </w:r>
      <w:r w:rsidRPr="00155F80">
        <w:rPr>
          <w:rFonts w:ascii="Times New Roman" w:hAnsi="Times New Roman"/>
          <w:color w:val="000000"/>
          <w:lang w:val="bs-Latn-BA"/>
        </w:rPr>
        <w:t xml:space="preserve"> </w:t>
      </w:r>
      <w:r w:rsidRPr="00155F80">
        <w:rPr>
          <w:rFonts w:ascii="Times New Roman" w:hAnsi="Times New Roman"/>
          <w:color w:val="000000"/>
        </w:rPr>
        <w:t>su</w:t>
      </w:r>
      <w:r w:rsidRPr="00155F80">
        <w:rPr>
          <w:rFonts w:ascii="Times New Roman" w:hAnsi="Times New Roman"/>
          <w:color w:val="000000"/>
          <w:lang w:val="bs-Latn-BA"/>
        </w:rPr>
        <w:t xml:space="preserve"> </w:t>
      </w:r>
      <w:r w:rsidRPr="00155F80">
        <w:rPr>
          <w:rFonts w:ascii="Times New Roman" w:hAnsi="Times New Roman"/>
          <w:color w:val="000000"/>
        </w:rPr>
        <w:t>detekt</w:t>
      </w:r>
      <w:r w:rsidR="007B4F67">
        <w:rPr>
          <w:rFonts w:ascii="Times New Roman" w:hAnsi="Times New Roman"/>
          <w:color w:val="000000"/>
        </w:rPr>
        <w:t>ir</w:t>
      </w:r>
      <w:r w:rsidRPr="00155F80">
        <w:rPr>
          <w:rFonts w:ascii="Times New Roman" w:hAnsi="Times New Roman"/>
          <w:color w:val="000000"/>
        </w:rPr>
        <w:t>ani</w:t>
      </w:r>
      <w:r w:rsidRPr="00155F80">
        <w:rPr>
          <w:rFonts w:ascii="Times New Roman" w:hAnsi="Times New Roman"/>
          <w:color w:val="000000"/>
          <w:lang w:val="bs-Latn-BA"/>
        </w:rPr>
        <w:t xml:space="preserve"> </w:t>
      </w:r>
      <w:r w:rsidR="00C651BA">
        <w:rPr>
          <w:rFonts w:ascii="Times New Roman" w:hAnsi="Times New Roman"/>
          <w:color w:val="000000"/>
        </w:rPr>
        <w:t>promet</w:t>
      </w:r>
      <w:r w:rsidRPr="00155F80">
        <w:rPr>
          <w:rFonts w:ascii="Times New Roman" w:hAnsi="Times New Roman"/>
          <w:color w:val="000000"/>
          <w:lang w:val="bs-Latn-BA"/>
        </w:rPr>
        <w:t xml:space="preserve"> </w:t>
      </w:r>
      <w:r w:rsidRPr="00155F80">
        <w:rPr>
          <w:rFonts w:ascii="Times New Roman" w:hAnsi="Times New Roman"/>
          <w:color w:val="000000"/>
        </w:rPr>
        <w:t>i</w:t>
      </w:r>
      <w:r w:rsidRPr="00155F80">
        <w:rPr>
          <w:rFonts w:ascii="Times New Roman" w:hAnsi="Times New Roman"/>
          <w:color w:val="000000"/>
          <w:lang w:val="bs-Latn-BA"/>
        </w:rPr>
        <w:t xml:space="preserve"> </w:t>
      </w:r>
      <w:r w:rsidRPr="00155F80">
        <w:rPr>
          <w:rFonts w:ascii="Times New Roman" w:hAnsi="Times New Roman"/>
          <w:color w:val="000000"/>
        </w:rPr>
        <w:t>lo</w:t>
      </w:r>
      <w:r w:rsidRPr="00155F80">
        <w:rPr>
          <w:rFonts w:ascii="Times New Roman" w:hAnsi="Times New Roman"/>
          <w:color w:val="000000"/>
          <w:lang w:val="bs-Latn-BA"/>
        </w:rPr>
        <w:t>ž</w:t>
      </w:r>
      <w:r w:rsidRPr="00155F80">
        <w:rPr>
          <w:rFonts w:ascii="Times New Roman" w:hAnsi="Times New Roman"/>
          <w:color w:val="000000"/>
        </w:rPr>
        <w:t>i</w:t>
      </w:r>
      <w:r w:rsidRPr="00155F80">
        <w:rPr>
          <w:rFonts w:ascii="Times New Roman" w:hAnsi="Times New Roman"/>
          <w:color w:val="000000"/>
          <w:lang w:val="bs-Latn-BA"/>
        </w:rPr>
        <w:t>š</w:t>
      </w:r>
      <w:r w:rsidRPr="00155F80">
        <w:rPr>
          <w:rFonts w:ascii="Times New Roman" w:hAnsi="Times New Roman"/>
          <w:color w:val="000000"/>
        </w:rPr>
        <w:t>ta</w:t>
      </w:r>
      <w:r w:rsidRPr="00155F80">
        <w:rPr>
          <w:rFonts w:ascii="Times New Roman" w:hAnsi="Times New Roman"/>
          <w:color w:val="000000"/>
          <w:lang w:val="bs-Latn-BA"/>
        </w:rPr>
        <w:t xml:space="preserve">. </w:t>
      </w:r>
      <w:r w:rsidRPr="00155F80">
        <w:rPr>
          <w:rFonts w:ascii="Times New Roman" w:hAnsi="Times New Roman"/>
          <w:color w:val="000000"/>
        </w:rPr>
        <w:t>Posljednjih</w:t>
      </w:r>
      <w:r w:rsidRPr="00155F80">
        <w:rPr>
          <w:rFonts w:ascii="Times New Roman" w:hAnsi="Times New Roman"/>
          <w:color w:val="000000"/>
          <w:lang w:val="bs-Latn-BA"/>
        </w:rPr>
        <w:t xml:space="preserve"> </w:t>
      </w:r>
      <w:r w:rsidRPr="00155F80">
        <w:rPr>
          <w:rFonts w:ascii="Times New Roman" w:hAnsi="Times New Roman"/>
          <w:color w:val="000000"/>
        </w:rPr>
        <w:t>godina</w:t>
      </w:r>
      <w:r w:rsidRPr="00155F80">
        <w:rPr>
          <w:rFonts w:ascii="Times New Roman" w:hAnsi="Times New Roman"/>
          <w:color w:val="000000"/>
          <w:lang w:val="bs-Latn-BA"/>
        </w:rPr>
        <w:t xml:space="preserve"> </w:t>
      </w:r>
      <w:r w:rsidRPr="00155F80">
        <w:rPr>
          <w:rFonts w:ascii="Times New Roman" w:hAnsi="Times New Roman"/>
          <w:color w:val="000000"/>
        </w:rPr>
        <w:t>prisutan</w:t>
      </w:r>
      <w:r w:rsidRPr="00155F80">
        <w:rPr>
          <w:rFonts w:ascii="Times New Roman" w:hAnsi="Times New Roman"/>
          <w:color w:val="000000"/>
          <w:lang w:val="bs-Latn-BA"/>
        </w:rPr>
        <w:t xml:space="preserve"> </w:t>
      </w:r>
      <w:r w:rsidRPr="00155F80">
        <w:rPr>
          <w:rFonts w:ascii="Times New Roman" w:hAnsi="Times New Roman"/>
          <w:color w:val="000000"/>
        </w:rPr>
        <w:t>je</w:t>
      </w:r>
      <w:r w:rsidRPr="00155F80">
        <w:rPr>
          <w:rFonts w:ascii="Times New Roman" w:hAnsi="Times New Roman"/>
          <w:color w:val="000000"/>
          <w:lang w:val="bs-Latn-BA"/>
        </w:rPr>
        <w:t xml:space="preserve"> </w:t>
      </w:r>
      <w:r w:rsidRPr="00155F80">
        <w:rPr>
          <w:rFonts w:ascii="Times New Roman" w:hAnsi="Times New Roman"/>
          <w:color w:val="000000"/>
        </w:rPr>
        <w:t>trend</w:t>
      </w:r>
      <w:r w:rsidRPr="00155F80">
        <w:rPr>
          <w:rFonts w:ascii="Times New Roman" w:hAnsi="Times New Roman"/>
          <w:color w:val="000000"/>
          <w:lang w:val="bs-Latn-BA"/>
        </w:rPr>
        <w:t xml:space="preserve"> </w:t>
      </w:r>
      <w:r w:rsidRPr="00155F80">
        <w:rPr>
          <w:rFonts w:ascii="Times New Roman" w:hAnsi="Times New Roman"/>
          <w:color w:val="000000"/>
        </w:rPr>
        <w:t>pove</w:t>
      </w:r>
      <w:r w:rsidRPr="00155F80">
        <w:rPr>
          <w:rFonts w:ascii="Times New Roman" w:hAnsi="Times New Roman"/>
          <w:color w:val="000000"/>
          <w:lang w:val="bs-Latn-BA"/>
        </w:rPr>
        <w:t>ć</w:t>
      </w:r>
      <w:r w:rsidRPr="00155F80">
        <w:rPr>
          <w:rFonts w:ascii="Times New Roman" w:hAnsi="Times New Roman"/>
          <w:color w:val="000000"/>
        </w:rPr>
        <w:t>anja</w:t>
      </w:r>
      <w:r w:rsidRPr="00155F80">
        <w:rPr>
          <w:rFonts w:ascii="Times New Roman" w:hAnsi="Times New Roman"/>
          <w:color w:val="000000"/>
          <w:lang w:val="bs-Latn-BA"/>
        </w:rPr>
        <w:t xml:space="preserve"> </w:t>
      </w:r>
      <w:r w:rsidRPr="00155F80">
        <w:rPr>
          <w:rFonts w:ascii="Times New Roman" w:hAnsi="Times New Roman"/>
          <w:color w:val="000000"/>
        </w:rPr>
        <w:t>broja</w:t>
      </w:r>
      <w:r w:rsidRPr="00155F80">
        <w:rPr>
          <w:rFonts w:ascii="Times New Roman" w:hAnsi="Times New Roman"/>
          <w:color w:val="000000"/>
          <w:lang w:val="bs-Latn-BA"/>
        </w:rPr>
        <w:t xml:space="preserve"> </w:t>
      </w:r>
      <w:r w:rsidRPr="00155F80">
        <w:rPr>
          <w:rFonts w:ascii="Times New Roman" w:hAnsi="Times New Roman"/>
          <w:color w:val="000000"/>
        </w:rPr>
        <w:t>ku</w:t>
      </w:r>
      <w:r w:rsidRPr="00155F80">
        <w:rPr>
          <w:rFonts w:ascii="Times New Roman" w:hAnsi="Times New Roman"/>
          <w:color w:val="000000"/>
          <w:lang w:val="bs-Latn-BA"/>
        </w:rPr>
        <w:t>ć</w:t>
      </w:r>
      <w:r w:rsidRPr="00155F80">
        <w:rPr>
          <w:rFonts w:ascii="Times New Roman" w:hAnsi="Times New Roman"/>
          <w:color w:val="000000"/>
        </w:rPr>
        <w:t>nih</w:t>
      </w:r>
      <w:r w:rsidRPr="00155F80">
        <w:rPr>
          <w:rFonts w:ascii="Times New Roman" w:hAnsi="Times New Roman"/>
          <w:color w:val="000000"/>
          <w:lang w:val="bs-Latn-BA"/>
        </w:rPr>
        <w:t xml:space="preserve"> </w:t>
      </w:r>
      <w:r w:rsidRPr="00155F80">
        <w:rPr>
          <w:rFonts w:ascii="Times New Roman" w:hAnsi="Times New Roman"/>
          <w:color w:val="000000"/>
        </w:rPr>
        <w:t>lo</w:t>
      </w:r>
      <w:r w:rsidRPr="00155F80">
        <w:rPr>
          <w:rFonts w:ascii="Times New Roman" w:hAnsi="Times New Roman"/>
          <w:color w:val="000000"/>
          <w:lang w:val="bs-Latn-BA"/>
        </w:rPr>
        <w:t>ž</w:t>
      </w:r>
      <w:r w:rsidRPr="00155F80">
        <w:rPr>
          <w:rFonts w:ascii="Times New Roman" w:hAnsi="Times New Roman"/>
          <w:color w:val="000000"/>
        </w:rPr>
        <w:t>i</w:t>
      </w:r>
      <w:r w:rsidRPr="00155F80">
        <w:rPr>
          <w:rFonts w:ascii="Times New Roman" w:hAnsi="Times New Roman"/>
          <w:color w:val="000000"/>
          <w:lang w:val="bs-Latn-BA"/>
        </w:rPr>
        <w:t>š</w:t>
      </w:r>
      <w:r w:rsidRPr="00155F80">
        <w:rPr>
          <w:rFonts w:ascii="Times New Roman" w:hAnsi="Times New Roman"/>
          <w:color w:val="000000"/>
        </w:rPr>
        <w:t>ta</w:t>
      </w:r>
      <w:r w:rsidRPr="00155F80">
        <w:rPr>
          <w:rFonts w:ascii="Times New Roman" w:hAnsi="Times New Roman"/>
          <w:color w:val="000000"/>
          <w:lang w:val="bs-Latn-BA"/>
        </w:rPr>
        <w:t xml:space="preserve"> </w:t>
      </w:r>
      <w:r w:rsidRPr="00155F80">
        <w:rPr>
          <w:rFonts w:ascii="Times New Roman" w:hAnsi="Times New Roman"/>
          <w:color w:val="000000"/>
        </w:rPr>
        <w:t>na</w:t>
      </w:r>
      <w:r w:rsidRPr="00155F80">
        <w:rPr>
          <w:rFonts w:ascii="Times New Roman" w:hAnsi="Times New Roman"/>
          <w:color w:val="000000"/>
          <w:lang w:val="bs-Latn-BA"/>
        </w:rPr>
        <w:t xml:space="preserve"> </w:t>
      </w:r>
      <w:r w:rsidRPr="00155F80">
        <w:rPr>
          <w:rFonts w:ascii="Times New Roman" w:hAnsi="Times New Roman"/>
          <w:color w:val="000000"/>
        </w:rPr>
        <w:t>kruta</w:t>
      </w:r>
      <w:r w:rsidRPr="00155F80">
        <w:rPr>
          <w:rFonts w:ascii="Times New Roman" w:hAnsi="Times New Roman"/>
          <w:color w:val="000000"/>
          <w:lang w:val="bs-Latn-BA"/>
        </w:rPr>
        <w:t xml:space="preserve"> </w:t>
      </w:r>
      <w:r w:rsidRPr="00155F80">
        <w:rPr>
          <w:rFonts w:ascii="Times New Roman" w:hAnsi="Times New Roman"/>
          <w:color w:val="000000"/>
        </w:rPr>
        <w:t>goriva</w:t>
      </w:r>
      <w:r w:rsidRPr="00155F80">
        <w:rPr>
          <w:rFonts w:ascii="Times New Roman" w:hAnsi="Times New Roman"/>
          <w:color w:val="000000"/>
          <w:lang w:val="bs-Latn-BA"/>
        </w:rPr>
        <w:t xml:space="preserve"> (</w:t>
      </w:r>
      <w:r w:rsidRPr="00155F80">
        <w:rPr>
          <w:rFonts w:ascii="Times New Roman" w:hAnsi="Times New Roman"/>
          <w:color w:val="000000"/>
        </w:rPr>
        <w:t>drvo</w:t>
      </w:r>
      <w:r w:rsidRPr="00155F80">
        <w:rPr>
          <w:rFonts w:ascii="Times New Roman" w:hAnsi="Times New Roman"/>
          <w:color w:val="000000"/>
          <w:lang w:val="bs-Latn-BA"/>
        </w:rPr>
        <w:t xml:space="preserve"> </w:t>
      </w:r>
      <w:r w:rsidRPr="00155F80">
        <w:rPr>
          <w:rFonts w:ascii="Times New Roman" w:hAnsi="Times New Roman"/>
          <w:color w:val="000000"/>
        </w:rPr>
        <w:t>i</w:t>
      </w:r>
      <w:r w:rsidRPr="00155F80">
        <w:rPr>
          <w:rFonts w:ascii="Times New Roman" w:hAnsi="Times New Roman"/>
          <w:color w:val="000000"/>
          <w:lang w:val="bs-Latn-BA"/>
        </w:rPr>
        <w:t xml:space="preserve"> </w:t>
      </w:r>
      <w:r w:rsidRPr="00155F80">
        <w:rPr>
          <w:rFonts w:ascii="Times New Roman" w:hAnsi="Times New Roman"/>
          <w:color w:val="000000"/>
        </w:rPr>
        <w:t>ugalj</w:t>
      </w:r>
      <w:r w:rsidRPr="00155F80">
        <w:rPr>
          <w:rFonts w:ascii="Times New Roman" w:hAnsi="Times New Roman"/>
          <w:color w:val="000000"/>
          <w:lang w:val="bs-Latn-BA"/>
        </w:rPr>
        <w:t xml:space="preserve">) </w:t>
      </w:r>
      <w:r w:rsidRPr="00155F80">
        <w:rPr>
          <w:rFonts w:ascii="Times New Roman" w:hAnsi="Times New Roman"/>
          <w:color w:val="000000"/>
        </w:rPr>
        <w:t>zbog</w:t>
      </w:r>
      <w:r w:rsidRPr="00155F80">
        <w:rPr>
          <w:rFonts w:ascii="Times New Roman" w:hAnsi="Times New Roman"/>
          <w:color w:val="000000"/>
          <w:lang w:val="bs-Latn-BA"/>
        </w:rPr>
        <w:t xml:space="preserve"> </w:t>
      </w:r>
      <w:r w:rsidRPr="00155F80">
        <w:rPr>
          <w:rFonts w:ascii="Times New Roman" w:hAnsi="Times New Roman"/>
          <w:color w:val="000000"/>
        </w:rPr>
        <w:t>sve</w:t>
      </w:r>
      <w:r w:rsidRPr="00155F80">
        <w:rPr>
          <w:rFonts w:ascii="Times New Roman" w:hAnsi="Times New Roman"/>
          <w:color w:val="000000"/>
          <w:lang w:val="bs-Latn-BA"/>
        </w:rPr>
        <w:t xml:space="preserve"> </w:t>
      </w:r>
      <w:r w:rsidRPr="00155F80">
        <w:rPr>
          <w:rFonts w:ascii="Times New Roman" w:hAnsi="Times New Roman"/>
          <w:color w:val="000000"/>
        </w:rPr>
        <w:t>ve</w:t>
      </w:r>
      <w:r w:rsidRPr="00155F80">
        <w:rPr>
          <w:rFonts w:ascii="Times New Roman" w:hAnsi="Times New Roman"/>
          <w:color w:val="000000"/>
          <w:lang w:val="bs-Latn-BA"/>
        </w:rPr>
        <w:t>ć</w:t>
      </w:r>
      <w:r w:rsidRPr="00155F80">
        <w:rPr>
          <w:rFonts w:ascii="Times New Roman" w:hAnsi="Times New Roman"/>
          <w:color w:val="000000"/>
        </w:rPr>
        <w:t>ih</w:t>
      </w:r>
      <w:r w:rsidRPr="00155F80">
        <w:rPr>
          <w:rFonts w:ascii="Times New Roman" w:hAnsi="Times New Roman"/>
          <w:color w:val="000000"/>
          <w:lang w:val="bs-Latn-BA"/>
        </w:rPr>
        <w:t xml:space="preserve"> </w:t>
      </w:r>
      <w:r w:rsidRPr="00155F80">
        <w:rPr>
          <w:rFonts w:ascii="Times New Roman" w:hAnsi="Times New Roman"/>
          <w:color w:val="000000"/>
        </w:rPr>
        <w:t>cijena</w:t>
      </w:r>
      <w:r w:rsidRPr="00155F80">
        <w:rPr>
          <w:rFonts w:ascii="Times New Roman" w:hAnsi="Times New Roman"/>
          <w:color w:val="000000"/>
          <w:lang w:val="bs-Latn-BA"/>
        </w:rPr>
        <w:t xml:space="preserve"> </w:t>
      </w:r>
      <w:r w:rsidRPr="00155F80">
        <w:rPr>
          <w:rFonts w:ascii="Times New Roman" w:hAnsi="Times New Roman"/>
          <w:color w:val="000000"/>
        </w:rPr>
        <w:t>prirodnog</w:t>
      </w:r>
      <w:r w:rsidRPr="00155F80">
        <w:rPr>
          <w:rFonts w:ascii="Times New Roman" w:hAnsi="Times New Roman"/>
          <w:color w:val="000000"/>
          <w:lang w:val="bs-Latn-BA"/>
        </w:rPr>
        <w:t xml:space="preserve"> </w:t>
      </w:r>
      <w:r w:rsidRPr="00155F80">
        <w:rPr>
          <w:rFonts w:ascii="Times New Roman" w:hAnsi="Times New Roman"/>
          <w:color w:val="000000"/>
        </w:rPr>
        <w:t>gasa</w:t>
      </w:r>
      <w:r w:rsidRPr="00155F80">
        <w:rPr>
          <w:rFonts w:ascii="Times New Roman" w:hAnsi="Times New Roman"/>
          <w:color w:val="000000"/>
          <w:lang w:val="bs-Latn-BA"/>
        </w:rPr>
        <w:t xml:space="preserve">. </w:t>
      </w:r>
      <w:r w:rsidRPr="00155F80">
        <w:rPr>
          <w:rFonts w:ascii="Times New Roman" w:hAnsi="Times New Roman"/>
          <w:color w:val="000000"/>
        </w:rPr>
        <w:t>U</w:t>
      </w:r>
      <w:r w:rsidRPr="00155F80">
        <w:rPr>
          <w:rFonts w:ascii="Times New Roman" w:hAnsi="Times New Roman"/>
          <w:color w:val="000000"/>
          <w:lang w:val="bs-Latn-BA"/>
        </w:rPr>
        <w:t xml:space="preserve"> </w:t>
      </w:r>
      <w:r w:rsidRPr="00155F80">
        <w:rPr>
          <w:rFonts w:ascii="Times New Roman" w:hAnsi="Times New Roman"/>
          <w:color w:val="000000"/>
        </w:rPr>
        <w:t>Zenici</w:t>
      </w:r>
      <w:r w:rsidRPr="00155F80">
        <w:rPr>
          <w:rFonts w:ascii="Times New Roman" w:hAnsi="Times New Roman"/>
          <w:color w:val="000000"/>
          <w:lang w:val="bs-Latn-BA"/>
        </w:rPr>
        <w:t xml:space="preserve"> </w:t>
      </w:r>
      <w:r w:rsidRPr="00155F80">
        <w:rPr>
          <w:rFonts w:ascii="Times New Roman" w:hAnsi="Times New Roman"/>
          <w:color w:val="000000"/>
        </w:rPr>
        <w:t>i</w:t>
      </w:r>
      <w:r w:rsidRPr="00155F80">
        <w:rPr>
          <w:rFonts w:ascii="Times New Roman" w:hAnsi="Times New Roman"/>
          <w:color w:val="000000"/>
          <w:lang w:val="bs-Latn-BA"/>
        </w:rPr>
        <w:t xml:space="preserve"> </w:t>
      </w:r>
      <w:r w:rsidRPr="00155F80">
        <w:rPr>
          <w:rFonts w:ascii="Times New Roman" w:hAnsi="Times New Roman"/>
          <w:color w:val="000000"/>
        </w:rPr>
        <w:t>Tuzli</w:t>
      </w:r>
      <w:r w:rsidRPr="00155F80">
        <w:rPr>
          <w:rFonts w:ascii="Times New Roman" w:hAnsi="Times New Roman"/>
          <w:color w:val="000000"/>
          <w:lang w:val="bs-Latn-BA"/>
        </w:rPr>
        <w:t xml:space="preserve"> </w:t>
      </w:r>
      <w:r w:rsidRPr="00155F80">
        <w:rPr>
          <w:rFonts w:ascii="Times New Roman" w:hAnsi="Times New Roman"/>
          <w:color w:val="000000"/>
        </w:rPr>
        <w:t>zna</w:t>
      </w:r>
      <w:r w:rsidRPr="00155F80">
        <w:rPr>
          <w:rFonts w:ascii="Times New Roman" w:hAnsi="Times New Roman"/>
          <w:color w:val="000000"/>
          <w:lang w:val="bs-Latn-BA"/>
        </w:rPr>
        <w:t>č</w:t>
      </w:r>
      <w:r w:rsidRPr="00155F80">
        <w:rPr>
          <w:rFonts w:ascii="Times New Roman" w:hAnsi="Times New Roman"/>
          <w:color w:val="000000"/>
        </w:rPr>
        <w:t>ajno</w:t>
      </w:r>
      <w:r w:rsidRPr="00155F80">
        <w:rPr>
          <w:rFonts w:ascii="Times New Roman" w:hAnsi="Times New Roman"/>
          <w:color w:val="000000"/>
          <w:lang w:val="bs-Latn-BA"/>
        </w:rPr>
        <w:t xml:space="preserve"> </w:t>
      </w:r>
      <w:r w:rsidRPr="00155F80">
        <w:rPr>
          <w:rFonts w:ascii="Times New Roman" w:hAnsi="Times New Roman"/>
          <w:color w:val="000000"/>
        </w:rPr>
        <w:t>mjesto</w:t>
      </w:r>
      <w:r w:rsidRPr="00155F80">
        <w:rPr>
          <w:rFonts w:ascii="Times New Roman" w:hAnsi="Times New Roman"/>
          <w:color w:val="000000"/>
          <w:lang w:val="bs-Latn-BA"/>
        </w:rPr>
        <w:t xml:space="preserve"> </w:t>
      </w:r>
      <w:r w:rsidRPr="00155F80">
        <w:rPr>
          <w:rFonts w:ascii="Times New Roman" w:hAnsi="Times New Roman"/>
          <w:color w:val="000000"/>
        </w:rPr>
        <w:t>u</w:t>
      </w:r>
      <w:r w:rsidRPr="00155F80">
        <w:rPr>
          <w:rFonts w:ascii="Times New Roman" w:hAnsi="Times New Roman"/>
          <w:color w:val="000000"/>
          <w:lang w:val="bs-Latn-BA"/>
        </w:rPr>
        <w:t xml:space="preserve"> </w:t>
      </w:r>
      <w:r w:rsidRPr="00155F80">
        <w:rPr>
          <w:rFonts w:ascii="Times New Roman" w:hAnsi="Times New Roman"/>
          <w:color w:val="000000"/>
        </w:rPr>
        <w:t>ukupnom</w:t>
      </w:r>
      <w:r w:rsidRPr="00155F80">
        <w:rPr>
          <w:rFonts w:ascii="Times New Roman" w:hAnsi="Times New Roman"/>
          <w:color w:val="000000"/>
          <w:lang w:val="bs-Latn-BA"/>
        </w:rPr>
        <w:t xml:space="preserve"> </w:t>
      </w:r>
      <w:r w:rsidR="007B4F67">
        <w:rPr>
          <w:rFonts w:ascii="Times New Roman" w:hAnsi="Times New Roman"/>
          <w:color w:val="000000"/>
          <w:lang w:val="bs-Latn-BA"/>
        </w:rPr>
        <w:t>onečišćenju</w:t>
      </w:r>
      <w:r w:rsidRPr="00155F80">
        <w:rPr>
          <w:rFonts w:ascii="Times New Roman" w:hAnsi="Times New Roman"/>
          <w:color w:val="000000"/>
          <w:lang w:val="bs-Latn-BA"/>
        </w:rPr>
        <w:t xml:space="preserve"> </w:t>
      </w:r>
      <w:r w:rsidRPr="00155F80">
        <w:rPr>
          <w:rFonts w:ascii="Times New Roman" w:hAnsi="Times New Roman"/>
          <w:color w:val="000000"/>
        </w:rPr>
        <w:t>zraka</w:t>
      </w:r>
      <w:r w:rsidRPr="00155F80">
        <w:rPr>
          <w:rFonts w:ascii="Times New Roman" w:hAnsi="Times New Roman"/>
          <w:color w:val="000000"/>
          <w:lang w:val="bs-Latn-BA"/>
        </w:rPr>
        <w:t xml:space="preserve"> </w:t>
      </w:r>
      <w:r w:rsidRPr="00155F80">
        <w:rPr>
          <w:rFonts w:ascii="Times New Roman" w:hAnsi="Times New Roman"/>
          <w:color w:val="000000"/>
        </w:rPr>
        <w:t>imaju</w:t>
      </w:r>
      <w:r w:rsidRPr="00155F80">
        <w:rPr>
          <w:rFonts w:ascii="Times New Roman" w:hAnsi="Times New Roman"/>
          <w:color w:val="000000"/>
          <w:lang w:val="bs-Latn-BA"/>
        </w:rPr>
        <w:t xml:space="preserve"> </w:t>
      </w:r>
      <w:r w:rsidRPr="00155F80">
        <w:rPr>
          <w:rFonts w:ascii="Times New Roman" w:hAnsi="Times New Roman"/>
          <w:color w:val="000000"/>
        </w:rPr>
        <w:t>industrijska</w:t>
      </w:r>
      <w:r w:rsidRPr="00155F80">
        <w:rPr>
          <w:rFonts w:ascii="Times New Roman" w:hAnsi="Times New Roman"/>
          <w:color w:val="000000"/>
          <w:lang w:val="bs-Latn-BA"/>
        </w:rPr>
        <w:t xml:space="preserve"> </w:t>
      </w:r>
      <w:r w:rsidRPr="00155F80">
        <w:rPr>
          <w:rFonts w:ascii="Times New Roman" w:hAnsi="Times New Roman"/>
          <w:color w:val="000000"/>
        </w:rPr>
        <w:t>i</w:t>
      </w:r>
      <w:r w:rsidRPr="00155F80">
        <w:rPr>
          <w:rFonts w:ascii="Times New Roman" w:hAnsi="Times New Roman"/>
          <w:color w:val="000000"/>
          <w:lang w:val="bs-Latn-BA"/>
        </w:rPr>
        <w:t xml:space="preserve"> </w:t>
      </w:r>
      <w:r w:rsidRPr="00155F80">
        <w:rPr>
          <w:rFonts w:ascii="Times New Roman" w:hAnsi="Times New Roman"/>
          <w:color w:val="000000"/>
        </w:rPr>
        <w:t>energetska</w:t>
      </w:r>
      <w:r w:rsidRPr="00155F80">
        <w:rPr>
          <w:rFonts w:ascii="Times New Roman" w:hAnsi="Times New Roman"/>
          <w:color w:val="000000"/>
          <w:lang w:val="bs-Latn-BA"/>
        </w:rPr>
        <w:t xml:space="preserve"> </w:t>
      </w:r>
      <w:r w:rsidRPr="00155F80">
        <w:rPr>
          <w:rFonts w:ascii="Times New Roman" w:hAnsi="Times New Roman"/>
          <w:color w:val="000000"/>
        </w:rPr>
        <w:t>postrojenja</w:t>
      </w:r>
      <w:r w:rsidRPr="00155F80">
        <w:rPr>
          <w:rFonts w:ascii="Times New Roman" w:hAnsi="Times New Roman"/>
          <w:color w:val="000000"/>
          <w:lang w:val="bs-Latn-BA"/>
        </w:rPr>
        <w:t xml:space="preserve">. </w:t>
      </w:r>
      <w:r w:rsidR="007B4F67">
        <w:rPr>
          <w:rFonts w:ascii="Times New Roman" w:hAnsi="Times New Roman"/>
          <w:color w:val="000000"/>
          <w:lang w:val="pl-PL"/>
        </w:rPr>
        <w:t>Sukladno</w:t>
      </w:r>
      <w:r w:rsidRPr="00155F80">
        <w:rPr>
          <w:rFonts w:ascii="Times New Roman" w:hAnsi="Times New Roman"/>
          <w:color w:val="000000"/>
          <w:lang w:val="pl-PL"/>
        </w:rPr>
        <w:t xml:space="preserve"> </w:t>
      </w:r>
      <w:r w:rsidR="007B4F67">
        <w:rPr>
          <w:rFonts w:ascii="Times New Roman" w:hAnsi="Times New Roman"/>
          <w:color w:val="000000"/>
          <w:lang w:val="pl-PL"/>
        </w:rPr>
        <w:t>tome</w:t>
      </w:r>
      <w:r w:rsidRPr="00155F80">
        <w:rPr>
          <w:rFonts w:ascii="Times New Roman" w:hAnsi="Times New Roman"/>
          <w:color w:val="000000"/>
          <w:lang w:val="pl-PL"/>
        </w:rPr>
        <w:t xml:space="preserve"> su i veće koncentracije sumpordioksida u Tuzli i Zenici u odnosu na Sarajevo. </w:t>
      </w:r>
    </w:p>
    <w:p w:rsidR="00A131AD" w:rsidRPr="00155F80" w:rsidRDefault="00A131AD" w:rsidP="000C0138">
      <w:pPr>
        <w:spacing w:line="276" w:lineRule="auto"/>
        <w:rPr>
          <w:rStyle w:val="Emphasis"/>
          <w:rFonts w:ascii="Times New Roman" w:hAnsi="Times New Roman"/>
          <w:i w:val="0"/>
          <w:iCs w:val="0"/>
          <w:lang w:val="en-US"/>
        </w:rPr>
      </w:pPr>
      <w:r w:rsidRPr="00155F80">
        <w:rPr>
          <w:rFonts w:ascii="Times New Roman" w:hAnsi="Times New Roman"/>
          <w:lang w:val="pl-PL"/>
        </w:rPr>
        <w:t xml:space="preserve">U </w:t>
      </w:r>
      <w:r w:rsidR="007B4F67">
        <w:rPr>
          <w:rFonts w:ascii="Times New Roman" w:hAnsi="Times New Roman"/>
          <w:lang w:val="pl-PL"/>
        </w:rPr>
        <w:t>razdoblju</w:t>
      </w:r>
      <w:r w:rsidRPr="00155F80">
        <w:rPr>
          <w:rFonts w:ascii="Times New Roman" w:hAnsi="Times New Roman"/>
          <w:lang w:val="pl-PL"/>
        </w:rPr>
        <w:t xml:space="preserve"> od </w:t>
      </w:r>
      <w:r w:rsidR="007B4F67">
        <w:rPr>
          <w:rFonts w:ascii="Times New Roman" w:hAnsi="Times New Roman"/>
          <w:lang w:val="pl-PL"/>
        </w:rPr>
        <w:t>studenog</w:t>
      </w:r>
      <w:r w:rsidRPr="00155F80">
        <w:rPr>
          <w:rFonts w:ascii="Times New Roman" w:hAnsi="Times New Roman"/>
          <w:lang w:val="pl-PL"/>
        </w:rPr>
        <w:t xml:space="preserve"> do kraja </w:t>
      </w:r>
      <w:r w:rsidR="007B4F67">
        <w:rPr>
          <w:rFonts w:ascii="Times New Roman" w:hAnsi="Times New Roman"/>
          <w:lang w:val="pl-PL"/>
        </w:rPr>
        <w:t>siječnja</w:t>
      </w:r>
      <w:r w:rsidRPr="00155F80">
        <w:rPr>
          <w:rFonts w:ascii="Times New Roman" w:hAnsi="Times New Roman"/>
          <w:lang w:val="pl-PL"/>
        </w:rPr>
        <w:t xml:space="preserve"> gotovo da nije bilo dana u kojima nisu prekoračene propisane granične vrijednosti za lebdeće čestice ili sumpordioksid na mjernim stanicama u Sarajevu, Zenici i Tuzli. Najviše vrijednosti koncentracija sumpordioksida su zabilježene u Zenici, a lebdećih čestica u Sarajevu. Osim ovih materija u Sarajevu su u nekoliko navrata zabilježena i prekoračenja graničnih vrijednosti koncentracija </w:t>
      </w:r>
      <w:r w:rsidR="007B4F67">
        <w:rPr>
          <w:rFonts w:ascii="Times New Roman" w:hAnsi="Times New Roman"/>
          <w:lang w:val="pl-PL"/>
        </w:rPr>
        <w:t>dušičnih</w:t>
      </w:r>
      <w:r w:rsidRPr="00155F80">
        <w:rPr>
          <w:rFonts w:ascii="Times New Roman" w:hAnsi="Times New Roman"/>
          <w:lang w:val="pl-PL"/>
        </w:rPr>
        <w:t xml:space="preserve"> oksida u zraku. </w:t>
      </w:r>
      <w:r w:rsidRPr="00155F80">
        <w:rPr>
          <w:rFonts w:ascii="Times New Roman" w:hAnsi="Times New Roman"/>
        </w:rPr>
        <w:t xml:space="preserve">U ovom </w:t>
      </w:r>
      <w:r w:rsidR="007B4F67">
        <w:rPr>
          <w:rFonts w:ascii="Times New Roman" w:hAnsi="Times New Roman"/>
        </w:rPr>
        <w:t>razdoblju</w:t>
      </w:r>
      <w:r w:rsidRPr="00155F80">
        <w:rPr>
          <w:rFonts w:ascii="Times New Roman" w:hAnsi="Times New Roman"/>
        </w:rPr>
        <w:t>, koncentracije SO</w:t>
      </w:r>
      <w:r w:rsidRPr="00155F80">
        <w:rPr>
          <w:rFonts w:ascii="Times New Roman" w:hAnsi="Times New Roman"/>
          <w:vertAlign w:val="subscript"/>
        </w:rPr>
        <w:t>2</w:t>
      </w:r>
      <w:r w:rsidRPr="00155F80">
        <w:rPr>
          <w:rFonts w:ascii="Times New Roman" w:hAnsi="Times New Roman"/>
        </w:rPr>
        <w:t xml:space="preserve"> na području Sarajeva su većinu dana bile dvostruko više od dnevnih graničnih vrijednosti, a u nekoliko navrata dnevne vrijednosti su prelazile i 550 μg/m</w:t>
      </w:r>
      <w:r w:rsidRPr="00155F80">
        <w:rPr>
          <w:rFonts w:ascii="Times New Roman" w:hAnsi="Times New Roman"/>
          <w:vertAlign w:val="superscript"/>
        </w:rPr>
        <w:t>3</w:t>
      </w:r>
      <w:r w:rsidRPr="00155F80">
        <w:rPr>
          <w:rFonts w:ascii="Times New Roman" w:hAnsi="Times New Roman"/>
        </w:rPr>
        <w:t>, dok su u Zenici prelazile i 700 μg/m</w:t>
      </w:r>
      <w:r w:rsidRPr="00155F80">
        <w:rPr>
          <w:rFonts w:ascii="Times New Roman" w:hAnsi="Times New Roman"/>
          <w:vertAlign w:val="superscript"/>
        </w:rPr>
        <w:t>3</w:t>
      </w:r>
      <w:r w:rsidRPr="00155F80">
        <w:rPr>
          <w:rFonts w:ascii="Times New Roman" w:hAnsi="Times New Roman"/>
        </w:rPr>
        <w:t>. Dnevne koncentracije ledbećih čestica u Sarajevu su dosezale 450 μg/m</w:t>
      </w:r>
      <w:r w:rsidRPr="00155F80">
        <w:rPr>
          <w:rFonts w:ascii="Times New Roman" w:hAnsi="Times New Roman"/>
          <w:vertAlign w:val="superscript"/>
        </w:rPr>
        <w:t>3</w:t>
      </w:r>
      <w:r w:rsidRPr="00155F80">
        <w:rPr>
          <w:rFonts w:ascii="Times New Roman" w:hAnsi="Times New Roman"/>
        </w:rPr>
        <w:t>, a u Zenici 200μg/m</w:t>
      </w:r>
      <w:r w:rsidRPr="00155F80">
        <w:rPr>
          <w:rFonts w:ascii="Times New Roman" w:hAnsi="Times New Roman"/>
          <w:vertAlign w:val="superscript"/>
        </w:rPr>
        <w:t>3</w:t>
      </w:r>
      <w:r w:rsidRPr="00155F80">
        <w:rPr>
          <w:rFonts w:ascii="Times New Roman" w:hAnsi="Times New Roman"/>
        </w:rPr>
        <w:t>. Slično stanje, sa nešto nižim vrijednostima koncentracije SO</w:t>
      </w:r>
      <w:r w:rsidRPr="00155F80">
        <w:rPr>
          <w:rFonts w:ascii="Times New Roman" w:hAnsi="Times New Roman"/>
          <w:vertAlign w:val="subscript"/>
        </w:rPr>
        <w:t>2</w:t>
      </w:r>
      <w:r w:rsidRPr="00155F80">
        <w:rPr>
          <w:rFonts w:ascii="Times New Roman" w:hAnsi="Times New Roman"/>
        </w:rPr>
        <w:t xml:space="preserve"> i lebdećih čestica, bilo je na području Tuzle. </w:t>
      </w:r>
      <w:r w:rsidRPr="00155F80">
        <w:rPr>
          <w:rFonts w:ascii="Times New Roman" w:hAnsi="Times New Roman"/>
          <w:color w:val="000000"/>
        </w:rPr>
        <w:t xml:space="preserve">Visoke </w:t>
      </w:r>
      <w:r w:rsidRPr="00155F80">
        <w:rPr>
          <w:rStyle w:val="Emphasis"/>
          <w:rFonts w:ascii="Times New Roman" w:hAnsi="Times New Roman"/>
          <w:i w:val="0"/>
          <w:color w:val="000000"/>
        </w:rPr>
        <w:t>koncentracije SO</w:t>
      </w:r>
      <w:r w:rsidRPr="00155F80">
        <w:rPr>
          <w:rStyle w:val="Emphasis"/>
          <w:rFonts w:ascii="Times New Roman" w:hAnsi="Times New Roman"/>
          <w:i w:val="0"/>
          <w:color w:val="000000"/>
          <w:vertAlign w:val="subscript"/>
        </w:rPr>
        <w:t>2</w:t>
      </w:r>
      <w:r w:rsidRPr="00155F80">
        <w:rPr>
          <w:rStyle w:val="Emphasis"/>
          <w:rFonts w:ascii="Times New Roman" w:hAnsi="Times New Roman"/>
          <w:i w:val="0"/>
          <w:color w:val="000000"/>
        </w:rPr>
        <w:t xml:space="preserve"> i lebdećih čestica izmjerene su i na području Kaknja, Lukavca i Živinica. </w:t>
      </w:r>
      <w:r w:rsidRPr="00155F80">
        <w:rPr>
          <w:rFonts w:ascii="Times New Roman" w:hAnsi="Times New Roman"/>
        </w:rPr>
        <w:t xml:space="preserve">Važno je napomenuti da je zrak </w:t>
      </w:r>
      <w:r w:rsidR="007B4F67">
        <w:rPr>
          <w:rFonts w:ascii="Times New Roman" w:hAnsi="Times New Roman"/>
        </w:rPr>
        <w:t>onečišćen</w:t>
      </w:r>
      <w:r w:rsidRPr="00155F80">
        <w:rPr>
          <w:rFonts w:ascii="Times New Roman" w:hAnsi="Times New Roman"/>
        </w:rPr>
        <w:t xml:space="preserve"> već kod koncentracije SO</w:t>
      </w:r>
      <w:r w:rsidRPr="00155F80">
        <w:rPr>
          <w:rFonts w:ascii="Times New Roman" w:hAnsi="Times New Roman"/>
          <w:vertAlign w:val="subscript"/>
        </w:rPr>
        <w:t>2</w:t>
      </w:r>
      <w:r w:rsidRPr="00155F80">
        <w:rPr>
          <w:rFonts w:ascii="Times New Roman" w:hAnsi="Times New Roman"/>
        </w:rPr>
        <w:t xml:space="preserve"> preko 125 μg/m</w:t>
      </w:r>
      <w:r w:rsidRPr="00155F80">
        <w:rPr>
          <w:rFonts w:ascii="Times New Roman" w:hAnsi="Times New Roman"/>
          <w:vertAlign w:val="superscript"/>
        </w:rPr>
        <w:t>3</w:t>
      </w:r>
      <w:r w:rsidRPr="00155F80">
        <w:rPr>
          <w:rFonts w:ascii="Times New Roman" w:hAnsi="Times New Roman"/>
        </w:rPr>
        <w:t xml:space="preserve"> i lebdećih čestica preko 50 μg/m</w:t>
      </w:r>
      <w:r w:rsidRPr="00155F80">
        <w:rPr>
          <w:rFonts w:ascii="Times New Roman" w:hAnsi="Times New Roman"/>
          <w:vertAlign w:val="superscript"/>
        </w:rPr>
        <w:t>3</w:t>
      </w:r>
      <w:r w:rsidRPr="00155F80">
        <w:rPr>
          <w:rFonts w:ascii="Times New Roman" w:hAnsi="Times New Roman"/>
        </w:rPr>
        <w:t xml:space="preserve">. </w:t>
      </w:r>
      <w:r w:rsidRPr="00155F80">
        <w:rPr>
          <w:rFonts w:ascii="Times New Roman" w:hAnsi="Times New Roman"/>
          <w:lang w:eastAsia="bs-Latn-BA"/>
        </w:rPr>
        <w:t xml:space="preserve">Nadležne institucije kantona u kojima su izmjerene najveće koncentracije </w:t>
      </w:r>
      <w:r w:rsidR="007B4F67">
        <w:rPr>
          <w:rFonts w:ascii="Times New Roman" w:hAnsi="Times New Roman"/>
          <w:lang w:eastAsia="bs-Latn-BA"/>
        </w:rPr>
        <w:t>onečišćujućih</w:t>
      </w:r>
      <w:r w:rsidRPr="00155F80">
        <w:rPr>
          <w:rFonts w:ascii="Times New Roman" w:hAnsi="Times New Roman"/>
          <w:lang w:eastAsia="bs-Latn-BA"/>
        </w:rPr>
        <w:t xml:space="preserve"> </w:t>
      </w:r>
      <w:r w:rsidR="007B4F67">
        <w:rPr>
          <w:rFonts w:ascii="Times New Roman" w:hAnsi="Times New Roman"/>
          <w:lang w:eastAsia="bs-Latn-BA"/>
        </w:rPr>
        <w:t>tvari</w:t>
      </w:r>
      <w:r w:rsidRPr="00155F80">
        <w:rPr>
          <w:rFonts w:ascii="Times New Roman" w:hAnsi="Times New Roman"/>
          <w:lang w:eastAsia="bs-Latn-BA"/>
        </w:rPr>
        <w:t xml:space="preserve"> poduzele su mjere s</w:t>
      </w:r>
      <w:r w:rsidR="007B4F67">
        <w:rPr>
          <w:rFonts w:ascii="Times New Roman" w:hAnsi="Times New Roman"/>
          <w:lang w:eastAsia="bs-Latn-BA"/>
        </w:rPr>
        <w:t>u</w:t>
      </w:r>
      <w:r w:rsidRPr="00155F80">
        <w:rPr>
          <w:rFonts w:ascii="Times New Roman" w:hAnsi="Times New Roman"/>
          <w:lang w:eastAsia="bs-Latn-BA"/>
        </w:rPr>
        <w:t>klad</w:t>
      </w:r>
      <w:r w:rsidR="007B4F67">
        <w:rPr>
          <w:rFonts w:ascii="Times New Roman" w:hAnsi="Times New Roman"/>
          <w:lang w:eastAsia="bs-Latn-BA"/>
        </w:rPr>
        <w:t>no</w:t>
      </w:r>
      <w:r w:rsidRPr="00155F80">
        <w:rPr>
          <w:rFonts w:ascii="Times New Roman" w:hAnsi="Times New Roman"/>
          <w:lang w:eastAsia="bs-Latn-BA"/>
        </w:rPr>
        <w:t xml:space="preserve"> done</w:t>
      </w:r>
      <w:r w:rsidR="007B4F67">
        <w:rPr>
          <w:rFonts w:ascii="Times New Roman" w:hAnsi="Times New Roman"/>
          <w:lang w:eastAsia="bs-Latn-BA"/>
        </w:rPr>
        <w:t>s</w:t>
      </w:r>
      <w:r w:rsidRPr="00155F80">
        <w:rPr>
          <w:rFonts w:ascii="Times New Roman" w:hAnsi="Times New Roman"/>
          <w:lang w:eastAsia="bs-Latn-BA"/>
        </w:rPr>
        <w:t>enim lokalnim planovima interventnih mjera za slučajeve prekomjern</w:t>
      </w:r>
      <w:r w:rsidR="007B4F67">
        <w:rPr>
          <w:rFonts w:ascii="Times New Roman" w:hAnsi="Times New Roman"/>
          <w:lang w:eastAsia="bs-Latn-BA"/>
        </w:rPr>
        <w:t>og</w:t>
      </w:r>
      <w:r w:rsidRPr="00155F80">
        <w:rPr>
          <w:rFonts w:ascii="Times New Roman" w:hAnsi="Times New Roman"/>
          <w:lang w:eastAsia="bs-Latn-BA"/>
        </w:rPr>
        <w:t xml:space="preserve"> </w:t>
      </w:r>
      <w:r w:rsidR="007B4F67">
        <w:rPr>
          <w:rFonts w:ascii="Times New Roman" w:hAnsi="Times New Roman"/>
          <w:lang w:eastAsia="bs-Latn-BA"/>
        </w:rPr>
        <w:t>onečišćenja</w:t>
      </w:r>
      <w:r w:rsidRPr="00155F80">
        <w:rPr>
          <w:rFonts w:ascii="Times New Roman" w:hAnsi="Times New Roman"/>
          <w:lang w:eastAsia="bs-Latn-BA"/>
        </w:rPr>
        <w:t xml:space="preserve"> zraka. </w:t>
      </w:r>
      <w:r w:rsidRPr="00155F80">
        <w:rPr>
          <w:rFonts w:ascii="Times New Roman" w:hAnsi="Times New Roman"/>
          <w:lang w:val="en-US"/>
        </w:rPr>
        <w:t>Ovim plano</w:t>
      </w:r>
      <w:r w:rsidRPr="00155F80">
        <w:rPr>
          <w:rFonts w:ascii="Times New Roman" w:hAnsi="Times New Roman"/>
        </w:rPr>
        <w:t>vima</w:t>
      </w:r>
      <w:r w:rsidRPr="00155F80">
        <w:rPr>
          <w:rFonts w:ascii="Times New Roman" w:hAnsi="Times New Roman"/>
          <w:lang w:val="en-US"/>
        </w:rPr>
        <w:t xml:space="preserve"> se utvrđuju vrste rizika i opasnosti, postupak i mjere za uklanjanje opasnosti, subjekti zaduženi za primjenu mjera, odgovornost i ovlaštenja u </w:t>
      </w:r>
      <w:r w:rsidR="007B4F67">
        <w:rPr>
          <w:rFonts w:ascii="Times New Roman" w:hAnsi="Times New Roman"/>
          <w:lang w:val="en-US"/>
        </w:rPr>
        <w:t>s</w:t>
      </w:r>
      <w:r w:rsidRPr="00155F80">
        <w:rPr>
          <w:rFonts w:ascii="Times New Roman" w:hAnsi="Times New Roman"/>
          <w:lang w:val="en-US"/>
        </w:rPr>
        <w:t xml:space="preserve">vezi sa primjenom Plana. </w:t>
      </w:r>
      <w:r w:rsidRPr="00155F80">
        <w:rPr>
          <w:rStyle w:val="Emphasis"/>
          <w:rFonts w:ascii="Times New Roman" w:hAnsi="Times New Roman"/>
          <w:i w:val="0"/>
          <w:iCs w:val="0"/>
          <w:lang w:val="pt-BR"/>
        </w:rPr>
        <w:t>U</w:t>
      </w:r>
      <w:r w:rsidR="007B4F67">
        <w:rPr>
          <w:rStyle w:val="Emphasis"/>
          <w:rFonts w:ascii="Times New Roman" w:hAnsi="Times New Roman"/>
          <w:i w:val="0"/>
          <w:iCs w:val="0"/>
          <w:lang w:val="pt-BR"/>
        </w:rPr>
        <w:t>s</w:t>
      </w:r>
      <w:r w:rsidRPr="00155F80">
        <w:rPr>
          <w:rStyle w:val="Emphasis"/>
          <w:rFonts w:ascii="Times New Roman" w:hAnsi="Times New Roman"/>
          <w:i w:val="0"/>
          <w:iCs w:val="0"/>
          <w:lang w:val="pt-BR"/>
        </w:rPr>
        <w:t xml:space="preserve">poredo sa porastom </w:t>
      </w:r>
      <w:r w:rsidR="007B4F67">
        <w:rPr>
          <w:rStyle w:val="Emphasis"/>
          <w:rFonts w:ascii="Times New Roman" w:hAnsi="Times New Roman"/>
          <w:i w:val="0"/>
          <w:iCs w:val="0"/>
          <w:lang w:val="pt-BR"/>
        </w:rPr>
        <w:t>onečišćenja zraka</w:t>
      </w:r>
      <w:r w:rsidRPr="00155F80">
        <w:rPr>
          <w:rStyle w:val="Emphasis"/>
          <w:rFonts w:ascii="Times New Roman" w:hAnsi="Times New Roman"/>
          <w:i w:val="0"/>
          <w:iCs w:val="0"/>
          <w:lang w:val="pt-BR"/>
        </w:rPr>
        <w:t xml:space="preserve">, u 2014. (177,7/10.000) i 2015. godini (175,8/10.000) je došlo do porasta stope </w:t>
      </w:r>
      <w:r w:rsidR="007B4F67">
        <w:rPr>
          <w:rStyle w:val="Emphasis"/>
          <w:rFonts w:ascii="Times New Roman" w:hAnsi="Times New Roman"/>
          <w:i w:val="0"/>
          <w:iCs w:val="0"/>
          <w:lang w:val="pt-BR"/>
        </w:rPr>
        <w:t>k</w:t>
      </w:r>
      <w:r w:rsidRPr="00155F80">
        <w:rPr>
          <w:rStyle w:val="Emphasis"/>
          <w:rFonts w:ascii="Times New Roman" w:hAnsi="Times New Roman"/>
          <w:i w:val="0"/>
          <w:iCs w:val="0"/>
          <w:lang w:val="pt-BR"/>
        </w:rPr>
        <w:t>roničnih opstruktivnih plućnih oboljenja u odnosu na prethodne godine (2011. godine 153,7/10.000, 2012. 151,9/10.000 i  2013. godi</w:t>
      </w:r>
      <w:r w:rsidR="00AA0D77" w:rsidRPr="00155F80">
        <w:rPr>
          <w:rStyle w:val="Emphasis"/>
          <w:rFonts w:ascii="Times New Roman" w:hAnsi="Times New Roman"/>
          <w:i w:val="0"/>
          <w:iCs w:val="0"/>
          <w:lang w:val="pt-BR"/>
        </w:rPr>
        <w:t>ne 169,8/10.000).</w:t>
      </w:r>
    </w:p>
    <w:p w:rsidR="00A131AD" w:rsidRPr="00155F80" w:rsidRDefault="00A131AD" w:rsidP="000C0138">
      <w:pPr>
        <w:spacing w:line="276" w:lineRule="auto"/>
        <w:rPr>
          <w:rStyle w:val="Emphasis"/>
          <w:rFonts w:ascii="Times New Roman" w:hAnsi="Times New Roman"/>
          <w:i w:val="0"/>
          <w:iCs w:val="0"/>
          <w:color w:val="000000"/>
          <w:lang w:val="bs-Latn-BA"/>
        </w:rPr>
      </w:pPr>
      <w:r w:rsidRPr="00155F80">
        <w:rPr>
          <w:rStyle w:val="Emphasis"/>
          <w:rFonts w:ascii="Times New Roman" w:hAnsi="Times New Roman"/>
          <w:i w:val="0"/>
          <w:iCs w:val="0"/>
          <w:lang w:val="pl-PL"/>
        </w:rPr>
        <w:t>Trenuta</w:t>
      </w:r>
      <w:r w:rsidRPr="00155F80">
        <w:rPr>
          <w:rStyle w:val="Emphasis"/>
          <w:rFonts w:ascii="Times New Roman" w:hAnsi="Times New Roman"/>
          <w:i w:val="0"/>
          <w:iCs w:val="0"/>
          <w:lang w:val="hr-HR"/>
        </w:rPr>
        <w:t>č</w:t>
      </w:r>
      <w:r w:rsidRPr="00155F80">
        <w:rPr>
          <w:rStyle w:val="Emphasis"/>
          <w:rFonts w:ascii="Times New Roman" w:hAnsi="Times New Roman"/>
          <w:i w:val="0"/>
          <w:iCs w:val="0"/>
          <w:lang w:val="pl-PL"/>
        </w:rPr>
        <w:t>na</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lang w:val="pl-PL"/>
        </w:rPr>
        <w:t>situacija</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lang w:val="pl-PL"/>
        </w:rPr>
        <w:t>vezana</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lang w:val="pl-PL"/>
        </w:rPr>
        <w:t>za</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lang w:val="pl-PL"/>
        </w:rPr>
        <w:t>monitoring</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lang w:val="pl-PL"/>
        </w:rPr>
        <w:t>kvaliteta</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lang w:val="pl-PL"/>
        </w:rPr>
        <w:t>zraka</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lang w:val="pl-PL"/>
        </w:rPr>
        <w:t>u</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lang w:val="pl-PL"/>
        </w:rPr>
        <w:t>FBiH</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lang w:val="pl-PL"/>
        </w:rPr>
        <w:t>ima</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lang w:val="pl-PL"/>
        </w:rPr>
        <w:t>dosta</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lang w:val="pl-PL"/>
        </w:rPr>
        <w:t>nedostataka</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lang w:val="pl-PL"/>
        </w:rPr>
        <w:t>od</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lang w:val="pl-PL"/>
        </w:rPr>
        <w:t>kojih</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lang w:val="pl-PL"/>
        </w:rPr>
        <w:t>su</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lang w:val="pl-PL"/>
        </w:rPr>
        <w:t>najva</w:t>
      </w:r>
      <w:r w:rsidRPr="00155F80">
        <w:rPr>
          <w:rStyle w:val="Emphasis"/>
          <w:rFonts w:ascii="Times New Roman" w:hAnsi="Times New Roman"/>
          <w:i w:val="0"/>
          <w:iCs w:val="0"/>
          <w:lang w:val="hr-HR"/>
        </w:rPr>
        <w:t>ž</w:t>
      </w:r>
      <w:r w:rsidRPr="00155F80">
        <w:rPr>
          <w:rStyle w:val="Emphasis"/>
          <w:rFonts w:ascii="Times New Roman" w:hAnsi="Times New Roman"/>
          <w:i w:val="0"/>
          <w:iCs w:val="0"/>
          <w:lang w:val="pl-PL"/>
        </w:rPr>
        <w:t>niji</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lang w:val="pl-PL"/>
        </w:rPr>
        <w:t>nedostatak</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lang w:val="pl-PL"/>
        </w:rPr>
        <w:t>organizacije</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lang w:val="pl-PL"/>
        </w:rPr>
        <w:t>koordinacije</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lang w:val="pl-PL"/>
        </w:rPr>
        <w:t>i</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lang w:val="pl-PL"/>
        </w:rPr>
        <w:t>komunikacije</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lang w:val="pl-PL"/>
        </w:rPr>
        <w:t>izme</w:t>
      </w:r>
      <w:r w:rsidRPr="00155F80">
        <w:rPr>
          <w:rStyle w:val="Emphasis"/>
          <w:rFonts w:ascii="Times New Roman" w:hAnsi="Times New Roman"/>
          <w:i w:val="0"/>
          <w:iCs w:val="0"/>
          <w:lang w:val="hr-HR"/>
        </w:rPr>
        <w:t>đ</w:t>
      </w:r>
      <w:r w:rsidRPr="00155F80">
        <w:rPr>
          <w:rStyle w:val="Emphasis"/>
          <w:rFonts w:ascii="Times New Roman" w:hAnsi="Times New Roman"/>
          <w:i w:val="0"/>
          <w:iCs w:val="0"/>
          <w:lang w:val="pl-PL"/>
        </w:rPr>
        <w:t>u</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lang w:val="pl-PL"/>
        </w:rPr>
        <w:t>razli</w:t>
      </w:r>
      <w:r w:rsidRPr="00155F80">
        <w:rPr>
          <w:rStyle w:val="Emphasis"/>
          <w:rFonts w:ascii="Times New Roman" w:hAnsi="Times New Roman"/>
          <w:i w:val="0"/>
          <w:iCs w:val="0"/>
          <w:lang w:val="hr-HR"/>
        </w:rPr>
        <w:t>č</w:t>
      </w:r>
      <w:r w:rsidRPr="00155F80">
        <w:rPr>
          <w:rStyle w:val="Emphasis"/>
          <w:rFonts w:ascii="Times New Roman" w:hAnsi="Times New Roman"/>
          <w:i w:val="0"/>
          <w:iCs w:val="0"/>
          <w:lang w:val="pl-PL"/>
        </w:rPr>
        <w:t>itih</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lang w:val="pl-PL"/>
        </w:rPr>
        <w:t>javnih</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lang w:val="pl-PL"/>
        </w:rPr>
        <w:t>institucija</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Monitoring</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kvaliteta</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zraka</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provode</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javne</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institucije</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ili</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sami</w:t>
      </w:r>
      <w:r w:rsidRPr="00155F80">
        <w:rPr>
          <w:rStyle w:val="Emphasis"/>
          <w:rFonts w:ascii="Times New Roman" w:hAnsi="Times New Roman"/>
          <w:i w:val="0"/>
          <w:iCs w:val="0"/>
          <w:lang w:val="hr-HR"/>
        </w:rPr>
        <w:t xml:space="preserve"> </w:t>
      </w:r>
      <w:r w:rsidR="007B4F67">
        <w:rPr>
          <w:rStyle w:val="Emphasis"/>
          <w:rFonts w:ascii="Times New Roman" w:hAnsi="Times New Roman"/>
          <w:i w:val="0"/>
          <w:iCs w:val="0"/>
          <w:lang w:val="hr-HR"/>
        </w:rPr>
        <w:t>onečišćivači</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a</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ispituju</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se</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osnovni</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parametri</w:t>
      </w:r>
      <w:r w:rsidRPr="00155F80">
        <w:rPr>
          <w:rStyle w:val="Emphasis"/>
          <w:rFonts w:ascii="Times New Roman" w:hAnsi="Times New Roman"/>
          <w:i w:val="0"/>
          <w:iCs w:val="0"/>
          <w:lang w:val="hr-HR"/>
        </w:rPr>
        <w:t xml:space="preserve"> </w:t>
      </w:r>
      <w:r w:rsidR="00FE3B0D">
        <w:rPr>
          <w:rStyle w:val="Emphasis"/>
          <w:rFonts w:ascii="Times New Roman" w:hAnsi="Times New Roman"/>
          <w:i w:val="0"/>
          <w:iCs w:val="0"/>
        </w:rPr>
        <w:t>onečišćenja</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zraka</w:t>
      </w:r>
      <w:r w:rsidRPr="00155F80">
        <w:rPr>
          <w:rStyle w:val="Emphasis"/>
          <w:rFonts w:ascii="Times New Roman" w:hAnsi="Times New Roman"/>
          <w:i w:val="0"/>
          <w:iCs w:val="0"/>
          <w:lang w:val="hr-HR"/>
        </w:rPr>
        <w:t xml:space="preserve"> - </w:t>
      </w:r>
      <w:r w:rsidRPr="00155F80">
        <w:rPr>
          <w:rStyle w:val="Emphasis"/>
          <w:rFonts w:ascii="Times New Roman" w:hAnsi="Times New Roman"/>
          <w:i w:val="0"/>
          <w:iCs w:val="0"/>
        </w:rPr>
        <w:t>SO</w:t>
      </w:r>
      <w:r w:rsidRPr="00155F80">
        <w:rPr>
          <w:rStyle w:val="Emphasis"/>
          <w:rFonts w:ascii="Times New Roman" w:hAnsi="Times New Roman"/>
          <w:i w:val="0"/>
          <w:iCs w:val="0"/>
          <w:vertAlign w:val="subscript"/>
          <w:lang w:val="hr-HR"/>
        </w:rPr>
        <w:t>2</w:t>
      </w:r>
      <w:r w:rsidRPr="00155F80">
        <w:rPr>
          <w:rStyle w:val="Emphasis"/>
          <w:rFonts w:ascii="Times New Roman" w:hAnsi="Times New Roman"/>
          <w:i w:val="0"/>
          <w:iCs w:val="0"/>
          <w:lang w:val="hr-HR"/>
        </w:rPr>
        <w:t xml:space="preserve">, </w:t>
      </w:r>
      <w:r w:rsidR="007B4F67">
        <w:rPr>
          <w:rStyle w:val="Emphasis"/>
          <w:rFonts w:ascii="Times New Roman" w:hAnsi="Times New Roman"/>
          <w:i w:val="0"/>
          <w:iCs w:val="0"/>
          <w:lang w:val="hr-HR"/>
        </w:rPr>
        <w:t>dušični</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oksidi</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CO</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i</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lebde</w:t>
      </w:r>
      <w:r w:rsidRPr="00155F80">
        <w:rPr>
          <w:rStyle w:val="Emphasis"/>
          <w:rFonts w:ascii="Times New Roman" w:hAnsi="Times New Roman"/>
          <w:i w:val="0"/>
          <w:iCs w:val="0"/>
          <w:lang w:val="hr-HR"/>
        </w:rPr>
        <w:t>ć</w:t>
      </w:r>
      <w:r w:rsidRPr="00155F80">
        <w:rPr>
          <w:rStyle w:val="Emphasis"/>
          <w:rFonts w:ascii="Times New Roman" w:hAnsi="Times New Roman"/>
          <w:i w:val="0"/>
          <w:iCs w:val="0"/>
        </w:rPr>
        <w:t>e</w:t>
      </w:r>
      <w:r w:rsidRPr="00155F80">
        <w:rPr>
          <w:rStyle w:val="Emphasis"/>
          <w:rFonts w:ascii="Times New Roman" w:hAnsi="Times New Roman"/>
          <w:i w:val="0"/>
          <w:iCs w:val="0"/>
          <w:lang w:val="hr-HR"/>
        </w:rPr>
        <w:t xml:space="preserve"> č</w:t>
      </w:r>
      <w:r w:rsidRPr="00155F80">
        <w:rPr>
          <w:rStyle w:val="Emphasis"/>
          <w:rFonts w:ascii="Times New Roman" w:hAnsi="Times New Roman"/>
          <w:i w:val="0"/>
          <w:iCs w:val="0"/>
        </w:rPr>
        <w:t>estice</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Nedosta</w:t>
      </w:r>
      <w:r w:rsidR="007B4F67">
        <w:rPr>
          <w:rStyle w:val="Emphasis"/>
          <w:rFonts w:ascii="Times New Roman" w:hAnsi="Times New Roman"/>
          <w:i w:val="0"/>
          <w:iCs w:val="0"/>
        </w:rPr>
        <w:t>t</w:t>
      </w:r>
      <w:r w:rsidRPr="00155F80">
        <w:rPr>
          <w:rStyle w:val="Emphasis"/>
          <w:rFonts w:ascii="Times New Roman" w:hAnsi="Times New Roman"/>
          <w:i w:val="0"/>
          <w:iCs w:val="0"/>
        </w:rPr>
        <w:t>ci</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u</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mjerenju</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parametara</w:t>
      </w:r>
      <w:r w:rsidRPr="00155F80">
        <w:rPr>
          <w:rStyle w:val="Emphasis"/>
          <w:rFonts w:ascii="Times New Roman" w:hAnsi="Times New Roman"/>
          <w:i w:val="0"/>
          <w:iCs w:val="0"/>
          <w:lang w:val="hr-HR"/>
        </w:rPr>
        <w:t xml:space="preserve"> </w:t>
      </w:r>
      <w:r w:rsidR="00FE3B0D">
        <w:rPr>
          <w:rStyle w:val="Emphasis"/>
          <w:rFonts w:ascii="Times New Roman" w:hAnsi="Times New Roman"/>
          <w:i w:val="0"/>
          <w:iCs w:val="0"/>
        </w:rPr>
        <w:t>onečišćenja</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odnose</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se</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na</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lebde</w:t>
      </w:r>
      <w:r w:rsidRPr="00155F80">
        <w:rPr>
          <w:rStyle w:val="Emphasis"/>
          <w:rFonts w:ascii="Times New Roman" w:hAnsi="Times New Roman"/>
          <w:i w:val="0"/>
          <w:iCs w:val="0"/>
          <w:lang w:val="hr-HR"/>
        </w:rPr>
        <w:t>ć</w:t>
      </w:r>
      <w:r w:rsidRPr="00155F80">
        <w:rPr>
          <w:rStyle w:val="Emphasis"/>
          <w:rFonts w:ascii="Times New Roman" w:hAnsi="Times New Roman"/>
          <w:i w:val="0"/>
          <w:iCs w:val="0"/>
        </w:rPr>
        <w:t>e</w:t>
      </w:r>
      <w:r w:rsidRPr="00155F80">
        <w:rPr>
          <w:rStyle w:val="Emphasis"/>
          <w:rFonts w:ascii="Times New Roman" w:hAnsi="Times New Roman"/>
          <w:i w:val="0"/>
          <w:iCs w:val="0"/>
          <w:lang w:val="hr-HR"/>
        </w:rPr>
        <w:t xml:space="preserve"> č</w:t>
      </w:r>
      <w:r w:rsidRPr="00155F80">
        <w:rPr>
          <w:rStyle w:val="Emphasis"/>
          <w:rFonts w:ascii="Times New Roman" w:hAnsi="Times New Roman"/>
          <w:i w:val="0"/>
          <w:iCs w:val="0"/>
        </w:rPr>
        <w:t>estice</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PM</w:t>
      </w:r>
      <w:r w:rsidRPr="00155F80">
        <w:rPr>
          <w:rStyle w:val="Emphasis"/>
          <w:rFonts w:ascii="Times New Roman" w:hAnsi="Times New Roman"/>
          <w:i w:val="0"/>
          <w:iCs w:val="0"/>
          <w:vertAlign w:val="subscript"/>
          <w:lang w:val="hr-HR"/>
        </w:rPr>
        <w:t xml:space="preserve">10 </w:t>
      </w:r>
      <w:r w:rsidRPr="00155F80">
        <w:rPr>
          <w:rStyle w:val="Emphasis"/>
          <w:rFonts w:ascii="Times New Roman" w:hAnsi="Times New Roman"/>
          <w:i w:val="0"/>
          <w:iCs w:val="0"/>
        </w:rPr>
        <w:t>i</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naro</w:t>
      </w:r>
      <w:r w:rsidRPr="00155F80">
        <w:rPr>
          <w:rStyle w:val="Emphasis"/>
          <w:rFonts w:ascii="Times New Roman" w:hAnsi="Times New Roman"/>
          <w:i w:val="0"/>
          <w:iCs w:val="0"/>
          <w:lang w:val="hr-HR"/>
        </w:rPr>
        <w:t>č</w:t>
      </w:r>
      <w:r w:rsidRPr="00155F80">
        <w:rPr>
          <w:rStyle w:val="Emphasis"/>
          <w:rFonts w:ascii="Times New Roman" w:hAnsi="Times New Roman"/>
          <w:i w:val="0"/>
          <w:iCs w:val="0"/>
        </w:rPr>
        <w:t>ito</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PM</w:t>
      </w:r>
      <w:r w:rsidRPr="00155F80">
        <w:rPr>
          <w:rStyle w:val="Emphasis"/>
          <w:rFonts w:ascii="Times New Roman" w:hAnsi="Times New Roman"/>
          <w:i w:val="0"/>
          <w:iCs w:val="0"/>
          <w:vertAlign w:val="subscript"/>
          <w:lang w:val="hr-HR"/>
        </w:rPr>
        <w:t>2,5</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prizemni</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ozon</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benzen</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i</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te</w:t>
      </w:r>
      <w:r w:rsidRPr="00155F80">
        <w:rPr>
          <w:rStyle w:val="Emphasis"/>
          <w:rFonts w:ascii="Times New Roman" w:hAnsi="Times New Roman"/>
          <w:i w:val="0"/>
          <w:iCs w:val="0"/>
          <w:lang w:val="hr-HR"/>
        </w:rPr>
        <w:t>š</w:t>
      </w:r>
      <w:r w:rsidRPr="00155F80">
        <w:rPr>
          <w:rStyle w:val="Emphasis"/>
          <w:rFonts w:ascii="Times New Roman" w:hAnsi="Times New Roman"/>
          <w:i w:val="0"/>
          <w:iCs w:val="0"/>
        </w:rPr>
        <w:t>ke</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metale</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Neki</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se</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te</w:t>
      </w:r>
      <w:r w:rsidRPr="00155F80">
        <w:rPr>
          <w:rStyle w:val="Emphasis"/>
          <w:rFonts w:ascii="Times New Roman" w:hAnsi="Times New Roman"/>
          <w:i w:val="0"/>
          <w:iCs w:val="0"/>
          <w:lang w:val="hr-HR"/>
        </w:rPr>
        <w:t>š</w:t>
      </w:r>
      <w:r w:rsidRPr="00155F80">
        <w:rPr>
          <w:rStyle w:val="Emphasis"/>
          <w:rFonts w:ascii="Times New Roman" w:hAnsi="Times New Roman"/>
          <w:i w:val="0"/>
          <w:iCs w:val="0"/>
        </w:rPr>
        <w:t>ki</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metali</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mjere</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sporadi</w:t>
      </w:r>
      <w:r w:rsidRPr="00155F80">
        <w:rPr>
          <w:rStyle w:val="Emphasis"/>
          <w:rFonts w:ascii="Times New Roman" w:hAnsi="Times New Roman"/>
          <w:i w:val="0"/>
          <w:iCs w:val="0"/>
          <w:lang w:val="hr-HR"/>
        </w:rPr>
        <w:t>č</w:t>
      </w:r>
      <w:r w:rsidRPr="00155F80">
        <w:rPr>
          <w:rStyle w:val="Emphasis"/>
          <w:rFonts w:ascii="Times New Roman" w:hAnsi="Times New Roman"/>
          <w:i w:val="0"/>
          <w:iCs w:val="0"/>
        </w:rPr>
        <w:t>no</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u</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ovisnosti</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o</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finan</w:t>
      </w:r>
      <w:r w:rsidR="002D27DE">
        <w:rPr>
          <w:rStyle w:val="Emphasis"/>
          <w:rFonts w:ascii="Times New Roman" w:hAnsi="Times New Roman"/>
          <w:i w:val="0"/>
          <w:iCs w:val="0"/>
        </w:rPr>
        <w:t>c</w:t>
      </w:r>
      <w:r w:rsidRPr="00155F80">
        <w:rPr>
          <w:rStyle w:val="Emphasis"/>
          <w:rFonts w:ascii="Times New Roman" w:hAnsi="Times New Roman"/>
          <w:i w:val="0"/>
          <w:iCs w:val="0"/>
        </w:rPr>
        <w:t>iranju</w:t>
      </w:r>
      <w:r w:rsidRPr="00155F80">
        <w:rPr>
          <w:rStyle w:val="Emphasis"/>
          <w:rFonts w:ascii="Times New Roman" w:hAnsi="Times New Roman"/>
          <w:i w:val="0"/>
          <w:iCs w:val="0"/>
          <w:lang w:val="hr-HR"/>
        </w:rPr>
        <w:t xml:space="preserve">. </w:t>
      </w:r>
      <w:r w:rsidRPr="00155F80">
        <w:rPr>
          <w:rFonts w:ascii="Times New Roman" w:hAnsi="Times New Roman"/>
          <w:color w:val="000000"/>
        </w:rPr>
        <w:t>Osim</w:t>
      </w:r>
      <w:r w:rsidRPr="00155F80">
        <w:rPr>
          <w:rFonts w:ascii="Times New Roman" w:hAnsi="Times New Roman"/>
          <w:color w:val="000000"/>
          <w:lang w:val="hr-HR"/>
        </w:rPr>
        <w:t xml:space="preserve"> </w:t>
      </w:r>
      <w:r w:rsidRPr="00155F80">
        <w:rPr>
          <w:rFonts w:ascii="Times New Roman" w:hAnsi="Times New Roman"/>
          <w:color w:val="000000"/>
        </w:rPr>
        <w:t>toga</w:t>
      </w:r>
      <w:r w:rsidRPr="00155F80">
        <w:rPr>
          <w:rFonts w:ascii="Times New Roman" w:hAnsi="Times New Roman"/>
          <w:color w:val="000000"/>
          <w:lang w:val="hr-HR"/>
        </w:rPr>
        <w:t xml:space="preserve">, </w:t>
      </w:r>
      <w:r w:rsidRPr="00155F80">
        <w:rPr>
          <w:rFonts w:ascii="Times New Roman" w:hAnsi="Times New Roman"/>
          <w:color w:val="000000"/>
        </w:rPr>
        <w:t>ne</w:t>
      </w:r>
      <w:r w:rsidRPr="00155F80">
        <w:rPr>
          <w:rFonts w:ascii="Times New Roman" w:hAnsi="Times New Roman"/>
          <w:color w:val="000000"/>
          <w:lang w:val="hr-HR"/>
        </w:rPr>
        <w:t xml:space="preserve"> </w:t>
      </w:r>
      <w:r w:rsidRPr="00155F80">
        <w:rPr>
          <w:rFonts w:ascii="Times New Roman" w:hAnsi="Times New Roman"/>
          <w:color w:val="000000"/>
        </w:rPr>
        <w:t>postoji</w:t>
      </w:r>
      <w:r w:rsidRPr="00155F80">
        <w:rPr>
          <w:rFonts w:ascii="Times New Roman" w:hAnsi="Times New Roman"/>
          <w:color w:val="000000"/>
          <w:lang w:val="hr-HR"/>
        </w:rPr>
        <w:t xml:space="preserve"> </w:t>
      </w:r>
      <w:r w:rsidRPr="00155F80">
        <w:rPr>
          <w:rFonts w:ascii="Times New Roman" w:hAnsi="Times New Roman"/>
          <w:color w:val="000000"/>
        </w:rPr>
        <w:t>monitoring</w:t>
      </w:r>
      <w:r w:rsidRPr="00155F80">
        <w:rPr>
          <w:rFonts w:ascii="Times New Roman" w:hAnsi="Times New Roman"/>
          <w:color w:val="000000"/>
          <w:lang w:val="hr-HR"/>
        </w:rPr>
        <w:t xml:space="preserve"> </w:t>
      </w:r>
      <w:r w:rsidRPr="00155F80">
        <w:rPr>
          <w:rFonts w:ascii="Times New Roman" w:hAnsi="Times New Roman"/>
          <w:color w:val="000000"/>
        </w:rPr>
        <w:t>kvaliteta</w:t>
      </w:r>
      <w:r w:rsidRPr="00155F80">
        <w:rPr>
          <w:rFonts w:ascii="Times New Roman" w:hAnsi="Times New Roman"/>
          <w:color w:val="000000"/>
          <w:lang w:val="hr-HR"/>
        </w:rPr>
        <w:t xml:space="preserve"> </w:t>
      </w:r>
      <w:r w:rsidRPr="00155F80">
        <w:rPr>
          <w:rFonts w:ascii="Times New Roman" w:hAnsi="Times New Roman"/>
          <w:color w:val="000000"/>
        </w:rPr>
        <w:t>zraka</w:t>
      </w:r>
      <w:r w:rsidRPr="00155F80">
        <w:rPr>
          <w:rFonts w:ascii="Times New Roman" w:hAnsi="Times New Roman"/>
          <w:color w:val="000000"/>
          <w:lang w:val="hr-HR"/>
        </w:rPr>
        <w:t xml:space="preserve"> </w:t>
      </w:r>
      <w:r w:rsidRPr="00155F80">
        <w:rPr>
          <w:rFonts w:ascii="Times New Roman" w:hAnsi="Times New Roman"/>
          <w:color w:val="000000"/>
        </w:rPr>
        <w:t>unut</w:t>
      </w:r>
      <w:r w:rsidR="002D27DE">
        <w:rPr>
          <w:rFonts w:ascii="Times New Roman" w:hAnsi="Times New Roman"/>
          <w:color w:val="000000"/>
        </w:rPr>
        <w:t>ar</w:t>
      </w:r>
      <w:r w:rsidRPr="00155F80">
        <w:rPr>
          <w:rFonts w:ascii="Times New Roman" w:hAnsi="Times New Roman"/>
          <w:color w:val="000000"/>
        </w:rPr>
        <w:t>njeg</w:t>
      </w:r>
      <w:r w:rsidRPr="00155F80">
        <w:rPr>
          <w:rFonts w:ascii="Times New Roman" w:hAnsi="Times New Roman"/>
          <w:color w:val="000000"/>
          <w:lang w:val="hr-HR"/>
        </w:rPr>
        <w:t xml:space="preserve"> </w:t>
      </w:r>
      <w:r w:rsidRPr="00155F80">
        <w:rPr>
          <w:rFonts w:ascii="Times New Roman" w:hAnsi="Times New Roman"/>
          <w:color w:val="000000"/>
        </w:rPr>
        <w:t>prostora</w:t>
      </w:r>
      <w:r w:rsidRPr="00155F80">
        <w:rPr>
          <w:rFonts w:ascii="Times New Roman" w:hAnsi="Times New Roman"/>
          <w:color w:val="000000"/>
          <w:lang w:val="hr-HR"/>
        </w:rPr>
        <w:t xml:space="preserve"> </w:t>
      </w:r>
      <w:r w:rsidRPr="00155F80">
        <w:rPr>
          <w:rFonts w:ascii="Times New Roman" w:hAnsi="Times New Roman"/>
          <w:color w:val="000000"/>
        </w:rPr>
        <w:t>koji</w:t>
      </w:r>
      <w:r w:rsidRPr="00155F80">
        <w:rPr>
          <w:rFonts w:ascii="Times New Roman" w:hAnsi="Times New Roman"/>
          <w:color w:val="000000"/>
          <w:lang w:val="hr-HR"/>
        </w:rPr>
        <w:t xml:space="preserve">, </w:t>
      </w:r>
      <w:r w:rsidRPr="00155F80">
        <w:rPr>
          <w:rFonts w:ascii="Times New Roman" w:hAnsi="Times New Roman"/>
          <w:color w:val="000000"/>
        </w:rPr>
        <w:t>ukoliko</w:t>
      </w:r>
      <w:r w:rsidRPr="00155F80">
        <w:rPr>
          <w:rFonts w:ascii="Times New Roman" w:hAnsi="Times New Roman"/>
          <w:color w:val="000000"/>
          <w:lang w:val="hr-HR"/>
        </w:rPr>
        <w:t xml:space="preserve"> </w:t>
      </w:r>
      <w:r w:rsidRPr="00155F80">
        <w:rPr>
          <w:rFonts w:ascii="Times New Roman" w:hAnsi="Times New Roman"/>
          <w:color w:val="000000"/>
        </w:rPr>
        <w:t>je</w:t>
      </w:r>
      <w:r w:rsidRPr="00155F80">
        <w:rPr>
          <w:rFonts w:ascii="Times New Roman" w:hAnsi="Times New Roman"/>
          <w:color w:val="000000"/>
          <w:lang w:val="hr-HR"/>
        </w:rPr>
        <w:t xml:space="preserve"> </w:t>
      </w:r>
      <w:r w:rsidR="002D27DE">
        <w:rPr>
          <w:rFonts w:ascii="Times New Roman" w:hAnsi="Times New Roman"/>
          <w:color w:val="000000"/>
        </w:rPr>
        <w:t>onečišćen</w:t>
      </w:r>
      <w:r w:rsidRPr="00155F80">
        <w:rPr>
          <w:rFonts w:ascii="Times New Roman" w:hAnsi="Times New Roman"/>
          <w:color w:val="000000"/>
          <w:lang w:val="hr-HR"/>
        </w:rPr>
        <w:t xml:space="preserve">, </w:t>
      </w:r>
      <w:r w:rsidRPr="00155F80">
        <w:rPr>
          <w:rFonts w:ascii="Times New Roman" w:hAnsi="Times New Roman"/>
          <w:color w:val="000000"/>
        </w:rPr>
        <w:t>predstavlja</w:t>
      </w:r>
      <w:r w:rsidRPr="00155F80">
        <w:rPr>
          <w:rFonts w:ascii="Times New Roman" w:hAnsi="Times New Roman"/>
          <w:color w:val="000000"/>
          <w:lang w:val="hr-HR"/>
        </w:rPr>
        <w:t xml:space="preserve"> </w:t>
      </w:r>
      <w:r w:rsidRPr="00155F80">
        <w:rPr>
          <w:rFonts w:ascii="Times New Roman" w:hAnsi="Times New Roman"/>
          <w:color w:val="000000"/>
        </w:rPr>
        <w:t>dodatni</w:t>
      </w:r>
      <w:r w:rsidRPr="00155F80">
        <w:rPr>
          <w:rFonts w:ascii="Times New Roman" w:hAnsi="Times New Roman"/>
          <w:color w:val="000000"/>
          <w:lang w:val="hr-HR"/>
        </w:rPr>
        <w:t xml:space="preserve"> </w:t>
      </w:r>
      <w:r w:rsidRPr="00155F80">
        <w:rPr>
          <w:rFonts w:ascii="Times New Roman" w:hAnsi="Times New Roman"/>
          <w:color w:val="000000"/>
        </w:rPr>
        <w:t>zdravstveni</w:t>
      </w:r>
      <w:r w:rsidRPr="00155F80">
        <w:rPr>
          <w:rFonts w:ascii="Times New Roman" w:hAnsi="Times New Roman"/>
          <w:color w:val="000000"/>
          <w:lang w:val="hr-HR"/>
        </w:rPr>
        <w:t xml:space="preserve"> </w:t>
      </w:r>
      <w:r w:rsidRPr="00155F80">
        <w:rPr>
          <w:rFonts w:ascii="Times New Roman" w:hAnsi="Times New Roman"/>
          <w:color w:val="000000"/>
        </w:rPr>
        <w:t>rizik</w:t>
      </w:r>
      <w:r w:rsidRPr="00155F80">
        <w:rPr>
          <w:rFonts w:ascii="Times New Roman" w:hAnsi="Times New Roman"/>
          <w:color w:val="000000"/>
          <w:lang w:val="hr-HR"/>
        </w:rPr>
        <w:t xml:space="preserve">. </w:t>
      </w:r>
      <w:r w:rsidRPr="00155F80">
        <w:rPr>
          <w:rStyle w:val="Emphasis"/>
          <w:rFonts w:ascii="Times New Roman" w:hAnsi="Times New Roman"/>
          <w:i w:val="0"/>
          <w:iCs w:val="0"/>
        </w:rPr>
        <w:t>U</w:t>
      </w:r>
      <w:r w:rsidRPr="00155F80">
        <w:rPr>
          <w:rStyle w:val="Emphasis"/>
          <w:rFonts w:ascii="Times New Roman" w:hAnsi="Times New Roman"/>
          <w:i w:val="0"/>
          <w:iCs w:val="0"/>
          <w:lang w:val="hr-HR"/>
        </w:rPr>
        <w:t xml:space="preserve"> 2013. </w:t>
      </w:r>
      <w:r w:rsidRPr="00155F80">
        <w:rPr>
          <w:rStyle w:val="Emphasis"/>
          <w:rFonts w:ascii="Times New Roman" w:hAnsi="Times New Roman"/>
          <w:i w:val="0"/>
          <w:iCs w:val="0"/>
        </w:rPr>
        <w:t>godini</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Federalno</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ministarstvo</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okoli</w:t>
      </w:r>
      <w:r w:rsidRPr="00155F80">
        <w:rPr>
          <w:rStyle w:val="Emphasis"/>
          <w:rFonts w:ascii="Times New Roman" w:hAnsi="Times New Roman"/>
          <w:i w:val="0"/>
          <w:iCs w:val="0"/>
          <w:lang w:val="hr-HR"/>
        </w:rPr>
        <w:t>š</w:t>
      </w:r>
      <w:r w:rsidRPr="00155F80">
        <w:rPr>
          <w:rStyle w:val="Emphasis"/>
          <w:rFonts w:ascii="Times New Roman" w:hAnsi="Times New Roman"/>
          <w:i w:val="0"/>
          <w:iCs w:val="0"/>
        </w:rPr>
        <w:t>a</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i</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turizma</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i</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Federalni</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hidrometeorolo</w:t>
      </w:r>
      <w:r w:rsidRPr="00155F80">
        <w:rPr>
          <w:rStyle w:val="Emphasis"/>
          <w:rFonts w:ascii="Times New Roman" w:hAnsi="Times New Roman"/>
          <w:i w:val="0"/>
          <w:iCs w:val="0"/>
          <w:lang w:val="hr-HR"/>
        </w:rPr>
        <w:t>š</w:t>
      </w:r>
      <w:r w:rsidRPr="00155F80">
        <w:rPr>
          <w:rStyle w:val="Emphasis"/>
          <w:rFonts w:ascii="Times New Roman" w:hAnsi="Times New Roman"/>
          <w:i w:val="0"/>
          <w:iCs w:val="0"/>
        </w:rPr>
        <w:t>ki</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zavod</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uspostavili</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su</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dvije</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nove</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stanice</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za</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monitoring</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kvaliteta</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zraka</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u</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Jajcu</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i</w:t>
      </w:r>
      <w:r w:rsidRPr="00155F80">
        <w:rPr>
          <w:rStyle w:val="Emphasis"/>
          <w:rFonts w:ascii="Times New Roman" w:hAnsi="Times New Roman"/>
          <w:i w:val="0"/>
          <w:iCs w:val="0"/>
          <w:lang w:val="hr-HR"/>
        </w:rPr>
        <w:t xml:space="preserve"> </w:t>
      </w:r>
      <w:r w:rsidRPr="00155F80">
        <w:rPr>
          <w:rStyle w:val="Emphasis"/>
          <w:rFonts w:ascii="Times New Roman" w:hAnsi="Times New Roman"/>
          <w:i w:val="0"/>
          <w:iCs w:val="0"/>
        </w:rPr>
        <w:t>Zenici</w:t>
      </w:r>
      <w:r w:rsidRPr="00155F80">
        <w:rPr>
          <w:rStyle w:val="Emphasis"/>
          <w:rFonts w:ascii="Times New Roman" w:hAnsi="Times New Roman"/>
          <w:i w:val="0"/>
          <w:iCs w:val="0"/>
          <w:lang w:val="hr-HR"/>
        </w:rPr>
        <w:t xml:space="preserve">. </w:t>
      </w:r>
      <w:r w:rsidRPr="00155F80">
        <w:rPr>
          <w:rFonts w:ascii="Times New Roman" w:hAnsi="Times New Roman"/>
          <w:color w:val="000000"/>
        </w:rPr>
        <w:t>T</w:t>
      </w:r>
      <w:r w:rsidR="002D27DE">
        <w:rPr>
          <w:rFonts w:ascii="Times New Roman" w:hAnsi="Times New Roman"/>
          <w:color w:val="000000"/>
        </w:rPr>
        <w:t>ije</w:t>
      </w:r>
      <w:r w:rsidRPr="00155F80">
        <w:rPr>
          <w:rFonts w:ascii="Times New Roman" w:hAnsi="Times New Roman"/>
          <w:color w:val="000000"/>
        </w:rPr>
        <w:t>kom</w:t>
      </w:r>
      <w:r w:rsidRPr="00155F80">
        <w:rPr>
          <w:rFonts w:ascii="Times New Roman" w:hAnsi="Times New Roman"/>
          <w:color w:val="000000"/>
          <w:lang w:val="bs-Latn-BA"/>
        </w:rPr>
        <w:t xml:space="preserve"> 2015. </w:t>
      </w:r>
      <w:r w:rsidRPr="00155F80">
        <w:rPr>
          <w:rFonts w:ascii="Times New Roman" w:hAnsi="Times New Roman"/>
          <w:color w:val="000000"/>
        </w:rPr>
        <w:t>godine</w:t>
      </w:r>
      <w:r w:rsidRPr="00155F80">
        <w:rPr>
          <w:rFonts w:ascii="Times New Roman" w:hAnsi="Times New Roman"/>
          <w:color w:val="000000"/>
          <w:lang w:val="bs-Latn-BA"/>
        </w:rPr>
        <w:t xml:space="preserve"> </w:t>
      </w:r>
      <w:r w:rsidRPr="00155F80">
        <w:rPr>
          <w:rFonts w:ascii="Times New Roman" w:hAnsi="Times New Roman"/>
          <w:color w:val="000000"/>
        </w:rPr>
        <w:t>realiz</w:t>
      </w:r>
      <w:r w:rsidR="002D27DE">
        <w:rPr>
          <w:rFonts w:ascii="Times New Roman" w:hAnsi="Times New Roman"/>
          <w:color w:val="000000"/>
        </w:rPr>
        <w:t>ira</w:t>
      </w:r>
      <w:r w:rsidRPr="00155F80">
        <w:rPr>
          <w:rFonts w:ascii="Times New Roman" w:hAnsi="Times New Roman"/>
          <w:color w:val="000000"/>
        </w:rPr>
        <w:t>no</w:t>
      </w:r>
      <w:r w:rsidRPr="00155F80">
        <w:rPr>
          <w:rFonts w:ascii="Times New Roman" w:hAnsi="Times New Roman"/>
          <w:color w:val="000000"/>
          <w:lang w:val="bs-Latn-BA"/>
        </w:rPr>
        <w:t xml:space="preserve"> </w:t>
      </w:r>
      <w:r w:rsidRPr="00155F80">
        <w:rPr>
          <w:rFonts w:ascii="Times New Roman" w:hAnsi="Times New Roman"/>
          <w:color w:val="000000"/>
        </w:rPr>
        <w:t>je</w:t>
      </w:r>
      <w:r w:rsidRPr="00155F80">
        <w:rPr>
          <w:rFonts w:ascii="Times New Roman" w:hAnsi="Times New Roman"/>
          <w:color w:val="000000"/>
          <w:lang w:val="bs-Latn-BA"/>
        </w:rPr>
        <w:t xml:space="preserve"> </w:t>
      </w:r>
      <w:r w:rsidRPr="00155F80">
        <w:rPr>
          <w:rFonts w:ascii="Times New Roman" w:hAnsi="Times New Roman"/>
          <w:color w:val="000000"/>
        </w:rPr>
        <w:t>nekoliko</w:t>
      </w:r>
      <w:r w:rsidRPr="00155F80">
        <w:rPr>
          <w:rFonts w:ascii="Times New Roman" w:hAnsi="Times New Roman"/>
          <w:color w:val="000000"/>
          <w:lang w:val="bs-Latn-BA"/>
        </w:rPr>
        <w:t xml:space="preserve"> </w:t>
      </w:r>
      <w:r w:rsidR="002D27DE">
        <w:rPr>
          <w:rFonts w:ascii="Times New Roman" w:hAnsi="Times New Roman"/>
          <w:color w:val="000000"/>
          <w:lang w:val="bs-Latn-BA"/>
        </w:rPr>
        <w:t>važnih</w:t>
      </w:r>
      <w:r w:rsidRPr="00155F80">
        <w:rPr>
          <w:rFonts w:ascii="Times New Roman" w:hAnsi="Times New Roman"/>
          <w:color w:val="000000"/>
          <w:lang w:val="bs-Latn-BA"/>
        </w:rPr>
        <w:t xml:space="preserve"> </w:t>
      </w:r>
      <w:r w:rsidRPr="00155F80">
        <w:rPr>
          <w:rFonts w:ascii="Times New Roman" w:hAnsi="Times New Roman"/>
          <w:color w:val="000000"/>
        </w:rPr>
        <w:t>projekata</w:t>
      </w:r>
      <w:r w:rsidRPr="00155F80">
        <w:rPr>
          <w:rFonts w:ascii="Times New Roman" w:hAnsi="Times New Roman"/>
          <w:color w:val="000000"/>
          <w:lang w:val="bs-Latn-BA"/>
        </w:rPr>
        <w:t xml:space="preserve"> </w:t>
      </w:r>
      <w:r w:rsidRPr="00155F80">
        <w:rPr>
          <w:rFonts w:ascii="Times New Roman" w:hAnsi="Times New Roman"/>
          <w:color w:val="000000"/>
        </w:rPr>
        <w:t>koji</w:t>
      </w:r>
      <w:r w:rsidRPr="00155F80">
        <w:rPr>
          <w:rFonts w:ascii="Times New Roman" w:hAnsi="Times New Roman"/>
          <w:color w:val="000000"/>
          <w:lang w:val="bs-Latn-BA"/>
        </w:rPr>
        <w:t xml:space="preserve"> </w:t>
      </w:r>
      <w:r w:rsidRPr="00155F80">
        <w:rPr>
          <w:rFonts w:ascii="Times New Roman" w:hAnsi="Times New Roman"/>
          <w:color w:val="000000"/>
        </w:rPr>
        <w:t>se</w:t>
      </w:r>
      <w:r w:rsidRPr="00155F80">
        <w:rPr>
          <w:rFonts w:ascii="Times New Roman" w:hAnsi="Times New Roman"/>
          <w:color w:val="000000"/>
          <w:lang w:val="bs-Latn-BA"/>
        </w:rPr>
        <w:t xml:space="preserve"> </w:t>
      </w:r>
      <w:r w:rsidRPr="00155F80">
        <w:rPr>
          <w:rFonts w:ascii="Times New Roman" w:hAnsi="Times New Roman"/>
          <w:color w:val="000000"/>
        </w:rPr>
        <w:t>odnose</w:t>
      </w:r>
      <w:r w:rsidRPr="00155F80">
        <w:rPr>
          <w:rFonts w:ascii="Times New Roman" w:hAnsi="Times New Roman"/>
          <w:color w:val="000000"/>
          <w:lang w:val="bs-Latn-BA"/>
        </w:rPr>
        <w:t xml:space="preserve"> </w:t>
      </w:r>
      <w:r w:rsidRPr="00155F80">
        <w:rPr>
          <w:rFonts w:ascii="Times New Roman" w:hAnsi="Times New Roman"/>
          <w:color w:val="000000"/>
        </w:rPr>
        <w:t>na</w:t>
      </w:r>
      <w:r w:rsidRPr="00155F80">
        <w:rPr>
          <w:rFonts w:ascii="Times New Roman" w:hAnsi="Times New Roman"/>
          <w:color w:val="000000"/>
          <w:lang w:val="bs-Latn-BA"/>
        </w:rPr>
        <w:t xml:space="preserve"> </w:t>
      </w:r>
      <w:r w:rsidRPr="00155F80">
        <w:rPr>
          <w:rFonts w:ascii="Times New Roman" w:hAnsi="Times New Roman"/>
          <w:color w:val="000000"/>
        </w:rPr>
        <w:t>monitoring</w:t>
      </w:r>
      <w:r w:rsidRPr="00155F80">
        <w:rPr>
          <w:rFonts w:ascii="Times New Roman" w:hAnsi="Times New Roman"/>
          <w:color w:val="000000"/>
          <w:lang w:val="bs-Latn-BA"/>
        </w:rPr>
        <w:t xml:space="preserve"> </w:t>
      </w:r>
      <w:r w:rsidRPr="00155F80">
        <w:rPr>
          <w:rFonts w:ascii="Times New Roman" w:hAnsi="Times New Roman"/>
          <w:color w:val="000000"/>
        </w:rPr>
        <w:t>kvaliteta</w:t>
      </w:r>
      <w:r w:rsidRPr="00155F80">
        <w:rPr>
          <w:rFonts w:ascii="Times New Roman" w:hAnsi="Times New Roman"/>
          <w:color w:val="000000"/>
          <w:lang w:val="bs-Latn-BA"/>
        </w:rPr>
        <w:t xml:space="preserve"> </w:t>
      </w:r>
      <w:r w:rsidRPr="00155F80">
        <w:rPr>
          <w:rFonts w:ascii="Times New Roman" w:hAnsi="Times New Roman"/>
          <w:color w:val="000000"/>
        </w:rPr>
        <w:t>zraka</w:t>
      </w:r>
      <w:r w:rsidRPr="00155F80">
        <w:rPr>
          <w:rFonts w:ascii="Times New Roman" w:hAnsi="Times New Roman"/>
          <w:color w:val="000000"/>
          <w:lang w:val="bs-Latn-BA"/>
        </w:rPr>
        <w:t xml:space="preserve"> </w:t>
      </w:r>
      <w:r w:rsidRPr="00155F80">
        <w:rPr>
          <w:rFonts w:ascii="Times New Roman" w:hAnsi="Times New Roman"/>
          <w:color w:val="000000"/>
        </w:rPr>
        <w:t>u</w:t>
      </w:r>
      <w:r w:rsidRPr="00155F80">
        <w:rPr>
          <w:rFonts w:ascii="Times New Roman" w:hAnsi="Times New Roman"/>
          <w:color w:val="000000"/>
          <w:lang w:val="bs-Latn-BA"/>
        </w:rPr>
        <w:t xml:space="preserve"> </w:t>
      </w:r>
      <w:r w:rsidRPr="00155F80">
        <w:rPr>
          <w:rFonts w:ascii="Times New Roman" w:hAnsi="Times New Roman"/>
          <w:color w:val="000000"/>
        </w:rPr>
        <w:t>Federaciji</w:t>
      </w:r>
      <w:r w:rsidRPr="00155F80">
        <w:rPr>
          <w:rFonts w:ascii="Times New Roman" w:hAnsi="Times New Roman"/>
          <w:color w:val="000000"/>
          <w:lang w:val="bs-Latn-BA"/>
        </w:rPr>
        <w:t xml:space="preserve"> </w:t>
      </w:r>
      <w:r w:rsidRPr="00155F80">
        <w:rPr>
          <w:rFonts w:ascii="Times New Roman" w:hAnsi="Times New Roman"/>
          <w:color w:val="000000"/>
        </w:rPr>
        <w:t>BiH</w:t>
      </w:r>
      <w:r w:rsidRPr="00155F80">
        <w:rPr>
          <w:rFonts w:ascii="Times New Roman" w:hAnsi="Times New Roman"/>
          <w:color w:val="000000"/>
          <w:lang w:val="bs-Latn-BA"/>
        </w:rPr>
        <w:t>. M</w:t>
      </w:r>
      <w:r w:rsidRPr="00155F80">
        <w:rPr>
          <w:rFonts w:ascii="Times New Roman" w:hAnsi="Times New Roman"/>
          <w:color w:val="000000"/>
        </w:rPr>
        <w:t>re</w:t>
      </w:r>
      <w:r w:rsidRPr="00155F80">
        <w:rPr>
          <w:rFonts w:ascii="Times New Roman" w:hAnsi="Times New Roman"/>
          <w:color w:val="000000"/>
          <w:lang w:val="bs-Latn-BA"/>
        </w:rPr>
        <w:t>ž</w:t>
      </w:r>
      <w:r w:rsidRPr="00155F80">
        <w:rPr>
          <w:rFonts w:ascii="Times New Roman" w:hAnsi="Times New Roman"/>
          <w:color w:val="000000"/>
        </w:rPr>
        <w:t>a</w:t>
      </w:r>
      <w:r w:rsidRPr="00155F80">
        <w:rPr>
          <w:rFonts w:ascii="Times New Roman" w:hAnsi="Times New Roman"/>
          <w:color w:val="000000"/>
          <w:lang w:val="bs-Latn-BA"/>
        </w:rPr>
        <w:t xml:space="preserve"> </w:t>
      </w:r>
      <w:r w:rsidRPr="00155F80">
        <w:rPr>
          <w:rFonts w:ascii="Times New Roman" w:hAnsi="Times New Roman"/>
          <w:color w:val="000000"/>
        </w:rPr>
        <w:t>stanica</w:t>
      </w:r>
      <w:r w:rsidRPr="00155F80">
        <w:rPr>
          <w:rFonts w:ascii="Times New Roman" w:hAnsi="Times New Roman"/>
          <w:color w:val="000000"/>
          <w:lang w:val="bs-Latn-BA"/>
        </w:rPr>
        <w:t xml:space="preserve"> </w:t>
      </w:r>
      <w:r w:rsidRPr="00155F80">
        <w:rPr>
          <w:rFonts w:ascii="Times New Roman" w:hAnsi="Times New Roman"/>
          <w:color w:val="000000"/>
        </w:rPr>
        <w:t>za</w:t>
      </w:r>
      <w:r w:rsidRPr="00155F80">
        <w:rPr>
          <w:rFonts w:ascii="Times New Roman" w:hAnsi="Times New Roman"/>
          <w:color w:val="000000"/>
          <w:lang w:val="bs-Latn-BA"/>
        </w:rPr>
        <w:t xml:space="preserve"> </w:t>
      </w:r>
      <w:r w:rsidRPr="00155F80">
        <w:rPr>
          <w:rFonts w:ascii="Times New Roman" w:hAnsi="Times New Roman"/>
          <w:color w:val="000000"/>
        </w:rPr>
        <w:t>monitoring</w:t>
      </w:r>
      <w:r w:rsidRPr="00155F80">
        <w:rPr>
          <w:rFonts w:ascii="Times New Roman" w:hAnsi="Times New Roman"/>
          <w:color w:val="000000"/>
          <w:lang w:val="bs-Latn-BA"/>
        </w:rPr>
        <w:t xml:space="preserve"> </w:t>
      </w:r>
      <w:r w:rsidRPr="00155F80">
        <w:rPr>
          <w:rFonts w:ascii="Times New Roman" w:hAnsi="Times New Roman"/>
          <w:color w:val="000000"/>
        </w:rPr>
        <w:t>kvaliteta</w:t>
      </w:r>
      <w:r w:rsidRPr="00155F80">
        <w:rPr>
          <w:rFonts w:ascii="Times New Roman" w:hAnsi="Times New Roman"/>
          <w:color w:val="000000"/>
          <w:lang w:val="bs-Latn-BA"/>
        </w:rPr>
        <w:t xml:space="preserve"> </w:t>
      </w:r>
      <w:r w:rsidRPr="00155F80">
        <w:rPr>
          <w:rFonts w:ascii="Times New Roman" w:hAnsi="Times New Roman"/>
          <w:color w:val="000000"/>
        </w:rPr>
        <w:t>zraka</w:t>
      </w:r>
      <w:r w:rsidRPr="00155F80">
        <w:rPr>
          <w:rFonts w:ascii="Times New Roman" w:hAnsi="Times New Roman"/>
          <w:color w:val="000000"/>
          <w:lang w:val="bs-Latn-BA"/>
        </w:rPr>
        <w:t xml:space="preserve"> </w:t>
      </w:r>
      <w:r w:rsidRPr="00155F80">
        <w:rPr>
          <w:rFonts w:ascii="Times New Roman" w:hAnsi="Times New Roman"/>
          <w:color w:val="000000"/>
        </w:rPr>
        <w:t>je</w:t>
      </w:r>
      <w:r w:rsidRPr="00155F80">
        <w:rPr>
          <w:rFonts w:ascii="Times New Roman" w:hAnsi="Times New Roman"/>
          <w:color w:val="000000"/>
          <w:lang w:val="bs-Latn-BA"/>
        </w:rPr>
        <w:t xml:space="preserve"> </w:t>
      </w:r>
      <w:r w:rsidRPr="00155F80">
        <w:rPr>
          <w:rFonts w:ascii="Times New Roman" w:hAnsi="Times New Roman"/>
          <w:color w:val="000000"/>
        </w:rPr>
        <w:t>pro</w:t>
      </w:r>
      <w:r w:rsidRPr="00155F80">
        <w:rPr>
          <w:rFonts w:ascii="Times New Roman" w:hAnsi="Times New Roman"/>
          <w:color w:val="000000"/>
          <w:lang w:val="bs-Latn-BA"/>
        </w:rPr>
        <w:t>š</w:t>
      </w:r>
      <w:r w:rsidRPr="00155F80">
        <w:rPr>
          <w:rFonts w:ascii="Times New Roman" w:hAnsi="Times New Roman"/>
          <w:color w:val="000000"/>
        </w:rPr>
        <w:t>irena</w:t>
      </w:r>
      <w:r w:rsidRPr="00155F80">
        <w:rPr>
          <w:rFonts w:ascii="Times New Roman" w:hAnsi="Times New Roman"/>
          <w:color w:val="000000"/>
          <w:lang w:val="bs-Latn-BA"/>
        </w:rPr>
        <w:t xml:space="preserve"> </w:t>
      </w:r>
      <w:r w:rsidRPr="00155F80">
        <w:rPr>
          <w:rFonts w:ascii="Times New Roman" w:hAnsi="Times New Roman"/>
          <w:color w:val="000000"/>
        </w:rPr>
        <w:t>uspostav</w:t>
      </w:r>
      <w:r w:rsidR="002D27DE">
        <w:rPr>
          <w:rFonts w:ascii="Times New Roman" w:hAnsi="Times New Roman"/>
          <w:color w:val="000000"/>
        </w:rPr>
        <w:t>o</w:t>
      </w:r>
      <w:r w:rsidRPr="00155F80">
        <w:rPr>
          <w:rFonts w:ascii="Times New Roman" w:hAnsi="Times New Roman"/>
          <w:color w:val="000000"/>
        </w:rPr>
        <w:t>m</w:t>
      </w:r>
      <w:r w:rsidRPr="00155F80">
        <w:rPr>
          <w:rFonts w:ascii="Times New Roman" w:hAnsi="Times New Roman"/>
          <w:color w:val="000000"/>
          <w:lang w:val="bs-Latn-BA"/>
        </w:rPr>
        <w:t xml:space="preserve"> </w:t>
      </w:r>
      <w:r w:rsidRPr="00155F80">
        <w:rPr>
          <w:rFonts w:ascii="Times New Roman" w:hAnsi="Times New Roman"/>
          <w:color w:val="000000"/>
        </w:rPr>
        <w:t>stanice</w:t>
      </w:r>
      <w:r w:rsidRPr="00155F80">
        <w:rPr>
          <w:rFonts w:ascii="Times New Roman" w:hAnsi="Times New Roman"/>
          <w:color w:val="000000"/>
          <w:lang w:val="bs-Latn-BA"/>
        </w:rPr>
        <w:t xml:space="preserve"> </w:t>
      </w:r>
      <w:r w:rsidRPr="00155F80">
        <w:rPr>
          <w:rFonts w:ascii="Times New Roman" w:hAnsi="Times New Roman"/>
          <w:color w:val="000000"/>
        </w:rPr>
        <w:t>u</w:t>
      </w:r>
      <w:r w:rsidRPr="00155F80">
        <w:rPr>
          <w:rFonts w:ascii="Times New Roman" w:hAnsi="Times New Roman"/>
          <w:color w:val="000000"/>
          <w:lang w:val="bs-Latn-BA"/>
        </w:rPr>
        <w:t xml:space="preserve"> </w:t>
      </w:r>
      <w:r w:rsidRPr="00155F80">
        <w:rPr>
          <w:rFonts w:ascii="Times New Roman" w:hAnsi="Times New Roman"/>
          <w:color w:val="000000"/>
        </w:rPr>
        <w:t>Gora</w:t>
      </w:r>
      <w:r w:rsidRPr="00155F80">
        <w:rPr>
          <w:rFonts w:ascii="Times New Roman" w:hAnsi="Times New Roman"/>
          <w:color w:val="000000"/>
          <w:lang w:val="bs-Latn-BA"/>
        </w:rPr>
        <w:t>ž</w:t>
      </w:r>
      <w:r w:rsidRPr="00155F80">
        <w:rPr>
          <w:rFonts w:ascii="Times New Roman" w:hAnsi="Times New Roman"/>
          <w:color w:val="000000"/>
        </w:rPr>
        <w:t>du</w:t>
      </w:r>
      <w:r w:rsidRPr="00155F80">
        <w:rPr>
          <w:rFonts w:ascii="Times New Roman" w:hAnsi="Times New Roman"/>
          <w:color w:val="000000"/>
          <w:lang w:val="bs-Latn-BA"/>
        </w:rPr>
        <w:t xml:space="preserve">, </w:t>
      </w:r>
      <w:r w:rsidRPr="00155F80">
        <w:rPr>
          <w:rFonts w:ascii="Times New Roman" w:hAnsi="Times New Roman"/>
          <w:color w:val="000000"/>
        </w:rPr>
        <w:t>a</w:t>
      </w:r>
      <w:r w:rsidRPr="00155F80">
        <w:rPr>
          <w:rFonts w:ascii="Times New Roman" w:hAnsi="Times New Roman"/>
          <w:color w:val="000000"/>
          <w:lang w:val="bs-Latn-BA"/>
        </w:rPr>
        <w:t xml:space="preserve"> </w:t>
      </w:r>
      <w:r w:rsidRPr="00155F80">
        <w:rPr>
          <w:rFonts w:ascii="Times New Roman" w:hAnsi="Times New Roman"/>
          <w:color w:val="000000"/>
        </w:rPr>
        <w:t>postoje</w:t>
      </w:r>
      <w:r w:rsidRPr="00155F80">
        <w:rPr>
          <w:rFonts w:ascii="Times New Roman" w:hAnsi="Times New Roman"/>
          <w:color w:val="000000"/>
          <w:lang w:val="bs-Latn-BA"/>
        </w:rPr>
        <w:t>ć</w:t>
      </w:r>
      <w:r w:rsidRPr="00155F80">
        <w:rPr>
          <w:rFonts w:ascii="Times New Roman" w:hAnsi="Times New Roman"/>
          <w:color w:val="000000"/>
        </w:rPr>
        <w:t>e</w:t>
      </w:r>
      <w:r w:rsidRPr="00155F80">
        <w:rPr>
          <w:rFonts w:ascii="Times New Roman" w:hAnsi="Times New Roman"/>
          <w:color w:val="000000"/>
          <w:lang w:val="bs-Latn-BA"/>
        </w:rPr>
        <w:t xml:space="preserve"> </w:t>
      </w:r>
      <w:r w:rsidRPr="00155F80">
        <w:rPr>
          <w:rFonts w:ascii="Times New Roman" w:hAnsi="Times New Roman"/>
          <w:color w:val="000000"/>
        </w:rPr>
        <w:t>stanice</w:t>
      </w:r>
      <w:r w:rsidRPr="00155F80">
        <w:rPr>
          <w:rFonts w:ascii="Times New Roman" w:hAnsi="Times New Roman"/>
          <w:color w:val="000000"/>
          <w:lang w:val="bs-Latn-BA"/>
        </w:rPr>
        <w:t xml:space="preserve"> </w:t>
      </w:r>
      <w:r w:rsidRPr="00155F80">
        <w:rPr>
          <w:rFonts w:ascii="Times New Roman" w:hAnsi="Times New Roman"/>
          <w:color w:val="000000"/>
        </w:rPr>
        <w:t>su</w:t>
      </w:r>
      <w:r w:rsidRPr="00155F80">
        <w:rPr>
          <w:rFonts w:ascii="Times New Roman" w:hAnsi="Times New Roman"/>
          <w:color w:val="000000"/>
          <w:lang w:val="bs-Latn-BA"/>
        </w:rPr>
        <w:t xml:space="preserve"> </w:t>
      </w:r>
      <w:r w:rsidRPr="00155F80">
        <w:rPr>
          <w:rFonts w:ascii="Times New Roman" w:hAnsi="Times New Roman"/>
          <w:color w:val="000000"/>
        </w:rPr>
        <w:t>dovedene</w:t>
      </w:r>
      <w:r w:rsidRPr="00155F80">
        <w:rPr>
          <w:rFonts w:ascii="Times New Roman" w:hAnsi="Times New Roman"/>
          <w:color w:val="000000"/>
          <w:lang w:val="bs-Latn-BA"/>
        </w:rPr>
        <w:t xml:space="preserve"> </w:t>
      </w:r>
      <w:r w:rsidRPr="00155F80">
        <w:rPr>
          <w:rFonts w:ascii="Times New Roman" w:hAnsi="Times New Roman"/>
          <w:color w:val="000000"/>
        </w:rPr>
        <w:t>u</w:t>
      </w:r>
      <w:r w:rsidRPr="00155F80">
        <w:rPr>
          <w:rFonts w:ascii="Times New Roman" w:hAnsi="Times New Roman"/>
          <w:color w:val="000000"/>
          <w:lang w:val="bs-Latn-BA"/>
        </w:rPr>
        <w:t xml:space="preserve"> </w:t>
      </w:r>
      <w:r w:rsidRPr="00155F80">
        <w:rPr>
          <w:rFonts w:ascii="Times New Roman" w:hAnsi="Times New Roman"/>
          <w:color w:val="000000"/>
        </w:rPr>
        <w:t>potpuno</w:t>
      </w:r>
      <w:r w:rsidRPr="00155F80">
        <w:rPr>
          <w:rFonts w:ascii="Times New Roman" w:hAnsi="Times New Roman"/>
          <w:color w:val="000000"/>
          <w:lang w:val="bs-Latn-BA"/>
        </w:rPr>
        <w:t xml:space="preserve"> </w:t>
      </w:r>
      <w:r w:rsidRPr="00155F80">
        <w:rPr>
          <w:rFonts w:ascii="Times New Roman" w:hAnsi="Times New Roman"/>
          <w:color w:val="000000"/>
        </w:rPr>
        <w:t>funkcionalno</w:t>
      </w:r>
      <w:r w:rsidRPr="00155F80">
        <w:rPr>
          <w:rFonts w:ascii="Times New Roman" w:hAnsi="Times New Roman"/>
          <w:color w:val="000000"/>
          <w:lang w:val="bs-Latn-BA"/>
        </w:rPr>
        <w:t xml:space="preserve"> </w:t>
      </w:r>
      <w:r w:rsidRPr="00155F80">
        <w:rPr>
          <w:rFonts w:ascii="Times New Roman" w:hAnsi="Times New Roman"/>
          <w:color w:val="000000"/>
        </w:rPr>
        <w:t>stanje</w:t>
      </w:r>
      <w:r w:rsidRPr="00155F80">
        <w:rPr>
          <w:rFonts w:ascii="Times New Roman" w:hAnsi="Times New Roman"/>
          <w:color w:val="000000"/>
          <w:lang w:val="bs-Latn-BA"/>
        </w:rPr>
        <w:t xml:space="preserve"> </w:t>
      </w:r>
      <w:r w:rsidRPr="00155F80">
        <w:rPr>
          <w:rFonts w:ascii="Times New Roman" w:hAnsi="Times New Roman"/>
          <w:color w:val="000000"/>
        </w:rPr>
        <w:t>krajem</w:t>
      </w:r>
      <w:r w:rsidRPr="00155F80">
        <w:rPr>
          <w:rFonts w:ascii="Times New Roman" w:hAnsi="Times New Roman"/>
          <w:color w:val="000000"/>
          <w:lang w:val="bs-Latn-BA"/>
        </w:rPr>
        <w:t xml:space="preserve"> 2015. </w:t>
      </w:r>
      <w:r w:rsidRPr="00155F80">
        <w:rPr>
          <w:rFonts w:ascii="Times New Roman" w:hAnsi="Times New Roman"/>
          <w:color w:val="000000"/>
        </w:rPr>
        <w:t>godine</w:t>
      </w:r>
      <w:r w:rsidRPr="00155F80">
        <w:rPr>
          <w:rFonts w:ascii="Times New Roman" w:hAnsi="Times New Roman"/>
          <w:color w:val="000000"/>
          <w:lang w:val="bs-Latn-BA"/>
        </w:rPr>
        <w:t xml:space="preserve">. </w:t>
      </w:r>
      <w:r w:rsidRPr="00155F80">
        <w:rPr>
          <w:rFonts w:ascii="Times New Roman" w:hAnsi="Times New Roman"/>
          <w:color w:val="000000"/>
        </w:rPr>
        <w:t>Stanica</w:t>
      </w:r>
      <w:r w:rsidRPr="00155F80">
        <w:rPr>
          <w:rFonts w:ascii="Times New Roman" w:hAnsi="Times New Roman"/>
          <w:color w:val="000000"/>
          <w:lang w:val="bs-Latn-BA"/>
        </w:rPr>
        <w:t xml:space="preserve"> </w:t>
      </w:r>
      <w:r w:rsidRPr="00155F80">
        <w:rPr>
          <w:rFonts w:ascii="Times New Roman" w:hAnsi="Times New Roman"/>
          <w:color w:val="000000"/>
        </w:rPr>
        <w:t>u</w:t>
      </w:r>
      <w:r w:rsidRPr="00155F80">
        <w:rPr>
          <w:rFonts w:ascii="Times New Roman" w:hAnsi="Times New Roman"/>
          <w:color w:val="000000"/>
          <w:lang w:val="bs-Latn-BA"/>
        </w:rPr>
        <w:t xml:space="preserve"> </w:t>
      </w:r>
      <w:r w:rsidRPr="00155F80">
        <w:rPr>
          <w:rFonts w:ascii="Times New Roman" w:hAnsi="Times New Roman"/>
          <w:color w:val="000000"/>
        </w:rPr>
        <w:t>Gora</w:t>
      </w:r>
      <w:r w:rsidRPr="00155F80">
        <w:rPr>
          <w:rFonts w:ascii="Times New Roman" w:hAnsi="Times New Roman"/>
          <w:color w:val="000000"/>
          <w:lang w:val="bs-Latn-BA"/>
        </w:rPr>
        <w:t>ž</w:t>
      </w:r>
      <w:r w:rsidRPr="00155F80">
        <w:rPr>
          <w:rFonts w:ascii="Times New Roman" w:hAnsi="Times New Roman"/>
          <w:color w:val="000000"/>
        </w:rPr>
        <w:t>du</w:t>
      </w:r>
      <w:r w:rsidRPr="00155F80">
        <w:rPr>
          <w:rFonts w:ascii="Times New Roman" w:hAnsi="Times New Roman"/>
          <w:color w:val="000000"/>
          <w:lang w:val="bs-Latn-BA"/>
        </w:rPr>
        <w:t xml:space="preserve"> </w:t>
      </w:r>
      <w:r w:rsidRPr="00155F80">
        <w:rPr>
          <w:rFonts w:ascii="Times New Roman" w:hAnsi="Times New Roman"/>
          <w:color w:val="000000"/>
        </w:rPr>
        <w:t>je</w:t>
      </w:r>
      <w:r w:rsidRPr="00155F80">
        <w:rPr>
          <w:rFonts w:ascii="Times New Roman" w:hAnsi="Times New Roman"/>
          <w:color w:val="000000"/>
          <w:lang w:val="bs-Latn-BA"/>
        </w:rPr>
        <w:t xml:space="preserve"> </w:t>
      </w:r>
      <w:r w:rsidRPr="00155F80">
        <w:rPr>
          <w:rFonts w:ascii="Times New Roman" w:hAnsi="Times New Roman"/>
          <w:color w:val="000000"/>
        </w:rPr>
        <w:t>opremljena</w:t>
      </w:r>
      <w:r w:rsidRPr="00155F80">
        <w:rPr>
          <w:rFonts w:ascii="Times New Roman" w:hAnsi="Times New Roman"/>
          <w:color w:val="000000"/>
          <w:lang w:val="bs-Latn-BA"/>
        </w:rPr>
        <w:t xml:space="preserve"> </w:t>
      </w:r>
      <w:r w:rsidRPr="00155F80">
        <w:rPr>
          <w:rFonts w:ascii="Times New Roman" w:hAnsi="Times New Roman"/>
          <w:color w:val="000000"/>
        </w:rPr>
        <w:t>najs</w:t>
      </w:r>
      <w:r w:rsidR="002D27DE">
        <w:rPr>
          <w:rFonts w:ascii="Times New Roman" w:hAnsi="Times New Roman"/>
          <w:color w:val="000000"/>
        </w:rPr>
        <w:t>u</w:t>
      </w:r>
      <w:r w:rsidRPr="00155F80">
        <w:rPr>
          <w:rFonts w:ascii="Times New Roman" w:hAnsi="Times New Roman"/>
          <w:color w:val="000000"/>
        </w:rPr>
        <w:t>vremenijom</w:t>
      </w:r>
      <w:r w:rsidRPr="00155F80">
        <w:rPr>
          <w:rFonts w:ascii="Times New Roman" w:hAnsi="Times New Roman"/>
          <w:color w:val="000000"/>
          <w:lang w:val="bs-Latn-BA"/>
        </w:rPr>
        <w:t xml:space="preserve"> </w:t>
      </w:r>
      <w:r w:rsidRPr="00155F80">
        <w:rPr>
          <w:rFonts w:ascii="Times New Roman" w:hAnsi="Times New Roman"/>
          <w:color w:val="000000"/>
        </w:rPr>
        <w:t>mjernom</w:t>
      </w:r>
      <w:r w:rsidRPr="00155F80">
        <w:rPr>
          <w:rFonts w:ascii="Times New Roman" w:hAnsi="Times New Roman"/>
          <w:color w:val="000000"/>
          <w:lang w:val="bs-Latn-BA"/>
        </w:rPr>
        <w:t xml:space="preserve"> </w:t>
      </w:r>
      <w:r w:rsidRPr="00155F80">
        <w:rPr>
          <w:rFonts w:ascii="Times New Roman" w:hAnsi="Times New Roman"/>
          <w:color w:val="000000"/>
        </w:rPr>
        <w:t>opremom</w:t>
      </w:r>
      <w:r w:rsidRPr="00155F80">
        <w:rPr>
          <w:rFonts w:ascii="Times New Roman" w:hAnsi="Times New Roman"/>
          <w:color w:val="000000"/>
          <w:lang w:val="bs-Latn-BA"/>
        </w:rPr>
        <w:t xml:space="preserve"> </w:t>
      </w:r>
      <w:r w:rsidRPr="00155F80">
        <w:rPr>
          <w:rFonts w:ascii="Times New Roman" w:hAnsi="Times New Roman"/>
          <w:color w:val="000000"/>
        </w:rPr>
        <w:t>za</w:t>
      </w:r>
      <w:r w:rsidRPr="00155F80">
        <w:rPr>
          <w:rFonts w:ascii="Times New Roman" w:hAnsi="Times New Roman"/>
          <w:color w:val="000000"/>
          <w:lang w:val="bs-Latn-BA"/>
        </w:rPr>
        <w:t xml:space="preserve"> </w:t>
      </w:r>
      <w:r w:rsidRPr="00155F80">
        <w:rPr>
          <w:rFonts w:ascii="Times New Roman" w:hAnsi="Times New Roman"/>
          <w:color w:val="000000"/>
        </w:rPr>
        <w:t>pra</w:t>
      </w:r>
      <w:r w:rsidRPr="00155F80">
        <w:rPr>
          <w:rFonts w:ascii="Times New Roman" w:hAnsi="Times New Roman"/>
          <w:color w:val="000000"/>
          <w:lang w:val="bs-Latn-BA"/>
        </w:rPr>
        <w:t>ć</w:t>
      </w:r>
      <w:r w:rsidRPr="00155F80">
        <w:rPr>
          <w:rFonts w:ascii="Times New Roman" w:hAnsi="Times New Roman"/>
          <w:color w:val="000000"/>
        </w:rPr>
        <w:t>enje</w:t>
      </w:r>
      <w:r w:rsidRPr="00155F80">
        <w:rPr>
          <w:rFonts w:ascii="Times New Roman" w:hAnsi="Times New Roman"/>
          <w:color w:val="000000"/>
          <w:lang w:val="bs-Latn-BA"/>
        </w:rPr>
        <w:t xml:space="preserve"> </w:t>
      </w:r>
      <w:r w:rsidRPr="00155F80">
        <w:rPr>
          <w:rFonts w:ascii="Times New Roman" w:hAnsi="Times New Roman"/>
          <w:color w:val="000000"/>
        </w:rPr>
        <w:t>osn</w:t>
      </w:r>
      <w:r w:rsidR="002D27DE">
        <w:rPr>
          <w:rFonts w:ascii="Times New Roman" w:hAnsi="Times New Roman"/>
          <w:color w:val="000000"/>
        </w:rPr>
        <w:t>o</w:t>
      </w:r>
      <w:r w:rsidRPr="00155F80">
        <w:rPr>
          <w:rFonts w:ascii="Times New Roman" w:hAnsi="Times New Roman"/>
          <w:color w:val="000000"/>
        </w:rPr>
        <w:t>vnih</w:t>
      </w:r>
      <w:r w:rsidRPr="00155F80">
        <w:rPr>
          <w:rFonts w:ascii="Times New Roman" w:hAnsi="Times New Roman"/>
          <w:color w:val="000000"/>
          <w:lang w:val="bs-Latn-BA"/>
        </w:rPr>
        <w:t xml:space="preserve"> </w:t>
      </w:r>
      <w:r w:rsidRPr="00155F80">
        <w:rPr>
          <w:rFonts w:ascii="Times New Roman" w:hAnsi="Times New Roman"/>
          <w:color w:val="000000"/>
        </w:rPr>
        <w:t>parametara</w:t>
      </w:r>
      <w:r w:rsidRPr="00155F80">
        <w:rPr>
          <w:rFonts w:ascii="Times New Roman" w:hAnsi="Times New Roman"/>
          <w:color w:val="000000"/>
          <w:lang w:val="bs-Latn-BA"/>
        </w:rPr>
        <w:t xml:space="preserve"> </w:t>
      </w:r>
      <w:r w:rsidR="002D27DE">
        <w:rPr>
          <w:rFonts w:ascii="Times New Roman" w:hAnsi="Times New Roman"/>
          <w:color w:val="000000"/>
          <w:lang w:val="bs-Latn-BA"/>
        </w:rPr>
        <w:t>onečišćenja</w:t>
      </w:r>
      <w:r w:rsidRPr="00155F80">
        <w:rPr>
          <w:rFonts w:ascii="Times New Roman" w:hAnsi="Times New Roman"/>
          <w:color w:val="000000"/>
          <w:lang w:val="bs-Latn-BA"/>
        </w:rPr>
        <w:t xml:space="preserve"> </w:t>
      </w:r>
      <w:r w:rsidRPr="00155F80">
        <w:rPr>
          <w:rFonts w:ascii="Times New Roman" w:hAnsi="Times New Roman"/>
          <w:color w:val="000000"/>
        </w:rPr>
        <w:t>zraka</w:t>
      </w:r>
      <w:r w:rsidRPr="00155F80">
        <w:rPr>
          <w:rFonts w:ascii="Times New Roman" w:hAnsi="Times New Roman"/>
          <w:color w:val="000000"/>
          <w:lang w:val="bs-Latn-BA"/>
        </w:rPr>
        <w:t xml:space="preserve"> </w:t>
      </w:r>
      <w:r w:rsidRPr="00155F80">
        <w:rPr>
          <w:rFonts w:ascii="Times New Roman" w:hAnsi="Times New Roman"/>
          <w:color w:val="000000"/>
        </w:rPr>
        <w:t>i</w:t>
      </w:r>
      <w:r w:rsidRPr="00155F80">
        <w:rPr>
          <w:rFonts w:ascii="Times New Roman" w:hAnsi="Times New Roman"/>
          <w:color w:val="000000"/>
          <w:lang w:val="bs-Latn-BA"/>
        </w:rPr>
        <w:t xml:space="preserve"> </w:t>
      </w:r>
      <w:r w:rsidRPr="00155F80">
        <w:rPr>
          <w:rFonts w:ascii="Times New Roman" w:hAnsi="Times New Roman"/>
          <w:color w:val="000000"/>
        </w:rPr>
        <w:t>meteorolo</w:t>
      </w:r>
      <w:r w:rsidRPr="00155F80">
        <w:rPr>
          <w:rFonts w:ascii="Times New Roman" w:hAnsi="Times New Roman"/>
          <w:color w:val="000000"/>
          <w:lang w:val="bs-Latn-BA"/>
        </w:rPr>
        <w:t>š</w:t>
      </w:r>
      <w:r w:rsidRPr="00155F80">
        <w:rPr>
          <w:rFonts w:ascii="Times New Roman" w:hAnsi="Times New Roman"/>
          <w:color w:val="000000"/>
        </w:rPr>
        <w:t>kih</w:t>
      </w:r>
      <w:r w:rsidRPr="00155F80">
        <w:rPr>
          <w:rFonts w:ascii="Times New Roman" w:hAnsi="Times New Roman"/>
          <w:color w:val="000000"/>
          <w:lang w:val="bs-Latn-BA"/>
        </w:rPr>
        <w:t xml:space="preserve"> </w:t>
      </w:r>
      <w:r w:rsidRPr="00155F80">
        <w:rPr>
          <w:rFonts w:ascii="Times New Roman" w:hAnsi="Times New Roman"/>
          <w:color w:val="000000"/>
        </w:rPr>
        <w:t>parametara</w:t>
      </w:r>
      <w:r w:rsidRPr="00155F80">
        <w:rPr>
          <w:rFonts w:ascii="Times New Roman" w:hAnsi="Times New Roman"/>
          <w:color w:val="000000"/>
          <w:lang w:val="bs-Latn-BA"/>
        </w:rPr>
        <w:t xml:space="preserve">, </w:t>
      </w:r>
      <w:r w:rsidRPr="00155F80">
        <w:rPr>
          <w:rFonts w:ascii="Times New Roman" w:hAnsi="Times New Roman"/>
          <w:color w:val="000000"/>
        </w:rPr>
        <w:t>a</w:t>
      </w:r>
      <w:r w:rsidRPr="00155F80">
        <w:rPr>
          <w:rFonts w:ascii="Times New Roman" w:hAnsi="Times New Roman"/>
          <w:color w:val="000000"/>
          <w:lang w:val="bs-Latn-BA"/>
        </w:rPr>
        <w:t xml:space="preserve"> </w:t>
      </w:r>
      <w:r w:rsidRPr="00155F80">
        <w:rPr>
          <w:rFonts w:ascii="Times New Roman" w:hAnsi="Times New Roman"/>
          <w:color w:val="000000"/>
        </w:rPr>
        <w:t>rezultat</w:t>
      </w:r>
      <w:r w:rsidRPr="00155F80">
        <w:rPr>
          <w:rFonts w:ascii="Times New Roman" w:hAnsi="Times New Roman"/>
          <w:color w:val="000000"/>
          <w:lang w:val="bs-Latn-BA"/>
        </w:rPr>
        <w:t xml:space="preserve"> </w:t>
      </w:r>
      <w:r w:rsidRPr="00155F80">
        <w:rPr>
          <w:rFonts w:ascii="Times New Roman" w:hAnsi="Times New Roman"/>
          <w:color w:val="000000"/>
        </w:rPr>
        <w:t>je</w:t>
      </w:r>
      <w:r w:rsidRPr="00155F80">
        <w:rPr>
          <w:rFonts w:ascii="Times New Roman" w:hAnsi="Times New Roman"/>
          <w:color w:val="000000"/>
          <w:lang w:val="bs-Latn-BA"/>
        </w:rPr>
        <w:t xml:space="preserve"> </w:t>
      </w:r>
      <w:r w:rsidRPr="00155F80">
        <w:rPr>
          <w:rFonts w:ascii="Times New Roman" w:hAnsi="Times New Roman"/>
          <w:color w:val="000000"/>
        </w:rPr>
        <w:t>projekta</w:t>
      </w:r>
      <w:r w:rsidRPr="00155F80">
        <w:rPr>
          <w:rFonts w:ascii="Times New Roman" w:hAnsi="Times New Roman"/>
          <w:color w:val="000000"/>
          <w:lang w:val="bs-Latn-BA"/>
        </w:rPr>
        <w:t xml:space="preserve"> </w:t>
      </w:r>
      <w:r w:rsidRPr="00155F80">
        <w:rPr>
          <w:rFonts w:ascii="Times New Roman" w:hAnsi="Times New Roman"/>
          <w:color w:val="000000"/>
        </w:rPr>
        <w:t>koji</w:t>
      </w:r>
      <w:r w:rsidRPr="00155F80">
        <w:rPr>
          <w:rFonts w:ascii="Times New Roman" w:hAnsi="Times New Roman"/>
          <w:color w:val="000000"/>
          <w:lang w:val="bs-Latn-BA"/>
        </w:rPr>
        <w:t xml:space="preserve"> </w:t>
      </w:r>
      <w:r w:rsidRPr="00155F80">
        <w:rPr>
          <w:rFonts w:ascii="Times New Roman" w:hAnsi="Times New Roman"/>
          <w:color w:val="000000"/>
        </w:rPr>
        <w:t>je</w:t>
      </w:r>
      <w:r w:rsidRPr="00155F80">
        <w:rPr>
          <w:rFonts w:ascii="Times New Roman" w:hAnsi="Times New Roman"/>
          <w:color w:val="000000"/>
          <w:lang w:val="bs-Latn-BA"/>
        </w:rPr>
        <w:t xml:space="preserve"> </w:t>
      </w:r>
      <w:r w:rsidRPr="00155F80">
        <w:rPr>
          <w:rFonts w:ascii="Times New Roman" w:hAnsi="Times New Roman"/>
          <w:bCs/>
          <w:color w:val="000000"/>
        </w:rPr>
        <w:t>finan</w:t>
      </w:r>
      <w:r w:rsidR="002D27DE">
        <w:rPr>
          <w:rFonts w:ascii="Times New Roman" w:hAnsi="Times New Roman"/>
          <w:bCs/>
          <w:color w:val="000000"/>
        </w:rPr>
        <w:t>c</w:t>
      </w:r>
      <w:r w:rsidRPr="00155F80">
        <w:rPr>
          <w:rFonts w:ascii="Times New Roman" w:hAnsi="Times New Roman"/>
          <w:bCs/>
          <w:color w:val="000000"/>
        </w:rPr>
        <w:t>iran</w:t>
      </w:r>
      <w:r w:rsidRPr="00155F80">
        <w:rPr>
          <w:rFonts w:ascii="Times New Roman" w:hAnsi="Times New Roman"/>
          <w:bCs/>
          <w:color w:val="000000"/>
          <w:lang w:val="bs-Latn-BA"/>
        </w:rPr>
        <w:t xml:space="preserve"> </w:t>
      </w:r>
      <w:r w:rsidRPr="00155F80">
        <w:rPr>
          <w:rFonts w:ascii="Times New Roman" w:hAnsi="Times New Roman"/>
          <w:bCs/>
          <w:color w:val="000000"/>
        </w:rPr>
        <w:t>od</w:t>
      </w:r>
      <w:r w:rsidRPr="00155F80">
        <w:rPr>
          <w:rFonts w:ascii="Times New Roman" w:hAnsi="Times New Roman"/>
          <w:bCs/>
          <w:color w:val="000000"/>
          <w:lang w:val="bs-Latn-BA"/>
        </w:rPr>
        <w:t xml:space="preserve"> </w:t>
      </w:r>
      <w:r w:rsidRPr="00155F80">
        <w:rPr>
          <w:rFonts w:ascii="Times New Roman" w:hAnsi="Times New Roman"/>
          <w:bCs/>
          <w:color w:val="000000"/>
        </w:rPr>
        <w:t>strane</w:t>
      </w:r>
      <w:r w:rsidRPr="00155F80">
        <w:rPr>
          <w:rFonts w:ascii="Times New Roman" w:hAnsi="Times New Roman"/>
          <w:bCs/>
          <w:color w:val="000000"/>
          <w:lang w:val="bs-Latn-BA"/>
        </w:rPr>
        <w:t xml:space="preserve"> </w:t>
      </w:r>
      <w:r w:rsidRPr="00155F80">
        <w:rPr>
          <w:rFonts w:ascii="Times New Roman" w:hAnsi="Times New Roman"/>
          <w:bCs/>
          <w:color w:val="000000"/>
        </w:rPr>
        <w:t>Global</w:t>
      </w:r>
      <w:r w:rsidRPr="00155F80">
        <w:rPr>
          <w:rFonts w:ascii="Times New Roman" w:hAnsi="Times New Roman"/>
          <w:bCs/>
          <w:color w:val="000000"/>
          <w:lang w:val="bs-Latn-BA"/>
        </w:rPr>
        <w:t xml:space="preserve"> </w:t>
      </w:r>
      <w:r w:rsidRPr="00155F80">
        <w:rPr>
          <w:rFonts w:ascii="Times New Roman" w:hAnsi="Times New Roman"/>
          <w:bCs/>
          <w:color w:val="000000"/>
        </w:rPr>
        <w:t>Environment</w:t>
      </w:r>
      <w:r w:rsidRPr="00155F80">
        <w:rPr>
          <w:rFonts w:ascii="Times New Roman" w:hAnsi="Times New Roman"/>
          <w:bCs/>
          <w:color w:val="000000"/>
          <w:lang w:val="bs-Latn-BA"/>
        </w:rPr>
        <w:t xml:space="preserve"> </w:t>
      </w:r>
      <w:r w:rsidRPr="00155F80">
        <w:rPr>
          <w:rFonts w:ascii="Times New Roman" w:hAnsi="Times New Roman"/>
          <w:bCs/>
          <w:color w:val="000000"/>
        </w:rPr>
        <w:t>Facility</w:t>
      </w:r>
      <w:r w:rsidRPr="00155F80">
        <w:rPr>
          <w:rFonts w:ascii="Times New Roman" w:hAnsi="Times New Roman"/>
          <w:bCs/>
          <w:color w:val="000000"/>
          <w:lang w:val="bs-Latn-BA"/>
        </w:rPr>
        <w:t>-</w:t>
      </w:r>
      <w:r w:rsidRPr="00155F80">
        <w:rPr>
          <w:rFonts w:ascii="Times New Roman" w:hAnsi="Times New Roman"/>
          <w:bCs/>
          <w:color w:val="000000"/>
        </w:rPr>
        <w:t>a</w:t>
      </w:r>
      <w:r w:rsidRPr="00155F80">
        <w:rPr>
          <w:rFonts w:ascii="Times New Roman" w:hAnsi="Times New Roman"/>
          <w:bCs/>
          <w:color w:val="000000"/>
          <w:lang w:val="bs-Latn-BA"/>
        </w:rPr>
        <w:t xml:space="preserve"> (</w:t>
      </w:r>
      <w:r w:rsidRPr="00155F80">
        <w:rPr>
          <w:rFonts w:ascii="Times New Roman" w:hAnsi="Times New Roman"/>
          <w:bCs/>
          <w:color w:val="000000"/>
        </w:rPr>
        <w:t>GEF</w:t>
      </w:r>
      <w:r w:rsidRPr="00155F80">
        <w:rPr>
          <w:rFonts w:ascii="Times New Roman" w:hAnsi="Times New Roman"/>
          <w:bCs/>
          <w:color w:val="000000"/>
          <w:lang w:val="bs-Latn-BA"/>
        </w:rPr>
        <w:t xml:space="preserve">), </w:t>
      </w:r>
      <w:r w:rsidRPr="00155F80">
        <w:rPr>
          <w:rFonts w:ascii="Times New Roman" w:hAnsi="Times New Roman"/>
          <w:bCs/>
          <w:color w:val="000000"/>
        </w:rPr>
        <w:t>a</w:t>
      </w:r>
      <w:r w:rsidRPr="00155F80">
        <w:rPr>
          <w:rFonts w:ascii="Times New Roman" w:hAnsi="Times New Roman"/>
          <w:bCs/>
          <w:color w:val="000000"/>
          <w:lang w:val="bs-Latn-BA"/>
        </w:rPr>
        <w:t xml:space="preserve"> </w:t>
      </w:r>
      <w:r w:rsidRPr="00155F80">
        <w:rPr>
          <w:rFonts w:ascii="Times New Roman" w:hAnsi="Times New Roman"/>
          <w:bCs/>
          <w:color w:val="000000"/>
        </w:rPr>
        <w:t>implementiran</w:t>
      </w:r>
      <w:r w:rsidRPr="00155F80">
        <w:rPr>
          <w:rFonts w:ascii="Times New Roman" w:hAnsi="Times New Roman"/>
          <w:bCs/>
          <w:color w:val="000000"/>
          <w:lang w:val="bs-Latn-BA"/>
        </w:rPr>
        <w:t xml:space="preserve"> </w:t>
      </w:r>
      <w:r w:rsidRPr="00155F80">
        <w:rPr>
          <w:rFonts w:ascii="Times New Roman" w:hAnsi="Times New Roman"/>
          <w:bCs/>
          <w:color w:val="000000"/>
        </w:rPr>
        <w:t>od</w:t>
      </w:r>
      <w:r w:rsidRPr="00155F80">
        <w:rPr>
          <w:rFonts w:ascii="Times New Roman" w:hAnsi="Times New Roman"/>
          <w:bCs/>
          <w:color w:val="000000"/>
          <w:lang w:val="bs-Latn-BA"/>
        </w:rPr>
        <w:t xml:space="preserve"> </w:t>
      </w:r>
      <w:r w:rsidRPr="00155F80">
        <w:rPr>
          <w:rFonts w:ascii="Times New Roman" w:hAnsi="Times New Roman"/>
          <w:bCs/>
          <w:color w:val="000000"/>
        </w:rPr>
        <w:t>strane</w:t>
      </w:r>
      <w:r w:rsidRPr="00155F80">
        <w:rPr>
          <w:rFonts w:ascii="Times New Roman" w:hAnsi="Times New Roman"/>
          <w:bCs/>
          <w:color w:val="000000"/>
          <w:lang w:val="bs-Latn-BA"/>
        </w:rPr>
        <w:t xml:space="preserve"> </w:t>
      </w:r>
      <w:r w:rsidRPr="00155F80">
        <w:rPr>
          <w:rFonts w:ascii="Times New Roman" w:hAnsi="Times New Roman"/>
          <w:bCs/>
          <w:color w:val="000000"/>
        </w:rPr>
        <w:t>United</w:t>
      </w:r>
      <w:r w:rsidRPr="00155F80">
        <w:rPr>
          <w:rFonts w:ascii="Times New Roman" w:hAnsi="Times New Roman"/>
          <w:bCs/>
          <w:color w:val="000000"/>
          <w:lang w:val="bs-Latn-BA"/>
        </w:rPr>
        <w:t xml:space="preserve"> </w:t>
      </w:r>
      <w:r w:rsidRPr="00155F80">
        <w:rPr>
          <w:rFonts w:ascii="Times New Roman" w:hAnsi="Times New Roman"/>
          <w:bCs/>
          <w:color w:val="000000"/>
        </w:rPr>
        <w:t>Nations</w:t>
      </w:r>
      <w:r w:rsidRPr="00155F80">
        <w:rPr>
          <w:rFonts w:ascii="Times New Roman" w:hAnsi="Times New Roman"/>
          <w:bCs/>
          <w:color w:val="000000"/>
          <w:lang w:val="bs-Latn-BA"/>
        </w:rPr>
        <w:t xml:space="preserve"> </w:t>
      </w:r>
      <w:r w:rsidRPr="00155F80">
        <w:rPr>
          <w:rFonts w:ascii="Times New Roman" w:hAnsi="Times New Roman"/>
          <w:bCs/>
          <w:color w:val="000000"/>
        </w:rPr>
        <w:t>Environmental</w:t>
      </w:r>
      <w:r w:rsidRPr="00155F80">
        <w:rPr>
          <w:rFonts w:ascii="Times New Roman" w:hAnsi="Times New Roman"/>
          <w:bCs/>
          <w:color w:val="000000"/>
          <w:lang w:val="bs-Latn-BA"/>
        </w:rPr>
        <w:t xml:space="preserve"> </w:t>
      </w:r>
      <w:r w:rsidRPr="00155F80">
        <w:rPr>
          <w:rFonts w:ascii="Times New Roman" w:hAnsi="Times New Roman"/>
          <w:bCs/>
          <w:color w:val="000000"/>
        </w:rPr>
        <w:t>Programme</w:t>
      </w:r>
      <w:r w:rsidRPr="00155F80">
        <w:rPr>
          <w:rFonts w:ascii="Times New Roman" w:hAnsi="Times New Roman"/>
          <w:bCs/>
          <w:color w:val="000000"/>
          <w:lang w:val="bs-Latn-BA"/>
        </w:rPr>
        <w:t>-</w:t>
      </w:r>
      <w:r w:rsidRPr="00155F80">
        <w:rPr>
          <w:rFonts w:ascii="Times New Roman" w:hAnsi="Times New Roman"/>
          <w:bCs/>
          <w:color w:val="000000"/>
        </w:rPr>
        <w:t>a</w:t>
      </w:r>
      <w:r w:rsidRPr="00155F80">
        <w:rPr>
          <w:rFonts w:ascii="Times New Roman" w:hAnsi="Times New Roman"/>
          <w:bCs/>
          <w:color w:val="000000"/>
          <w:lang w:val="bs-Latn-BA"/>
        </w:rPr>
        <w:t xml:space="preserve"> (</w:t>
      </w:r>
      <w:r w:rsidRPr="00155F80">
        <w:rPr>
          <w:rFonts w:ascii="Times New Roman" w:hAnsi="Times New Roman"/>
          <w:bCs/>
          <w:color w:val="000000"/>
        </w:rPr>
        <w:t>UNDP</w:t>
      </w:r>
      <w:r w:rsidRPr="00155F80">
        <w:rPr>
          <w:rFonts w:ascii="Times New Roman" w:hAnsi="Times New Roman"/>
          <w:bCs/>
          <w:color w:val="000000"/>
          <w:lang w:val="bs-Latn-BA"/>
        </w:rPr>
        <w:t xml:space="preserve">) </w:t>
      </w:r>
      <w:r w:rsidRPr="00155F80">
        <w:rPr>
          <w:rFonts w:ascii="Times New Roman" w:hAnsi="Times New Roman"/>
          <w:bCs/>
          <w:color w:val="000000"/>
        </w:rPr>
        <w:t>i</w:t>
      </w:r>
      <w:r w:rsidRPr="00155F80">
        <w:rPr>
          <w:rFonts w:ascii="Times New Roman" w:hAnsi="Times New Roman"/>
          <w:bCs/>
          <w:color w:val="000000"/>
          <w:lang w:val="bs-Latn-BA"/>
        </w:rPr>
        <w:t xml:space="preserve"> </w:t>
      </w:r>
      <w:r w:rsidRPr="00155F80">
        <w:rPr>
          <w:rFonts w:ascii="Times New Roman" w:hAnsi="Times New Roman"/>
          <w:bCs/>
          <w:color w:val="000000"/>
        </w:rPr>
        <w:t>Federalnog</w:t>
      </w:r>
      <w:r w:rsidRPr="00155F80">
        <w:rPr>
          <w:rFonts w:ascii="Times New Roman" w:hAnsi="Times New Roman"/>
          <w:bCs/>
          <w:color w:val="000000"/>
          <w:lang w:val="bs-Latn-BA"/>
        </w:rPr>
        <w:t xml:space="preserve"> </w:t>
      </w:r>
      <w:r w:rsidRPr="00155F80">
        <w:rPr>
          <w:rFonts w:ascii="Times New Roman" w:hAnsi="Times New Roman"/>
          <w:bCs/>
          <w:color w:val="000000"/>
        </w:rPr>
        <w:t>hidrometeorolo</w:t>
      </w:r>
      <w:r w:rsidRPr="00155F80">
        <w:rPr>
          <w:rFonts w:ascii="Times New Roman" w:hAnsi="Times New Roman"/>
          <w:bCs/>
          <w:color w:val="000000"/>
          <w:lang w:val="bs-Latn-BA"/>
        </w:rPr>
        <w:t>š</w:t>
      </w:r>
      <w:r w:rsidRPr="00155F80">
        <w:rPr>
          <w:rFonts w:ascii="Times New Roman" w:hAnsi="Times New Roman"/>
          <w:bCs/>
          <w:color w:val="000000"/>
        </w:rPr>
        <w:t>kog</w:t>
      </w:r>
      <w:r w:rsidRPr="00155F80">
        <w:rPr>
          <w:rFonts w:ascii="Times New Roman" w:hAnsi="Times New Roman"/>
          <w:bCs/>
          <w:color w:val="000000"/>
          <w:lang w:val="bs-Latn-BA"/>
        </w:rPr>
        <w:t xml:space="preserve"> </w:t>
      </w:r>
      <w:r w:rsidRPr="00155F80">
        <w:rPr>
          <w:rFonts w:ascii="Times New Roman" w:hAnsi="Times New Roman"/>
          <w:bCs/>
          <w:color w:val="000000"/>
        </w:rPr>
        <w:t>zavoda</w:t>
      </w:r>
      <w:r w:rsidR="00AA0D77" w:rsidRPr="00155F80">
        <w:rPr>
          <w:rFonts w:ascii="Times New Roman" w:hAnsi="Times New Roman"/>
          <w:color w:val="000000"/>
          <w:lang w:val="bs-Latn-BA"/>
        </w:rPr>
        <w:t>.</w:t>
      </w:r>
    </w:p>
    <w:p w:rsidR="00A131AD" w:rsidRPr="00155F80" w:rsidRDefault="00A131AD" w:rsidP="000C0138">
      <w:pPr>
        <w:spacing w:line="276" w:lineRule="auto"/>
        <w:rPr>
          <w:rFonts w:ascii="Times New Roman" w:hAnsi="Times New Roman"/>
          <w:b/>
        </w:rPr>
      </w:pPr>
      <w:bookmarkStart w:id="327" w:name="_Toc392229081"/>
    </w:p>
    <w:p w:rsidR="00A131AD" w:rsidRPr="00155F80" w:rsidRDefault="008F6458" w:rsidP="000C0138">
      <w:pPr>
        <w:pStyle w:val="Poglavlje3"/>
        <w:spacing w:line="276" w:lineRule="auto"/>
        <w:rPr>
          <w:i w:val="0"/>
          <w:lang w:val="bs-Latn-BA"/>
        </w:rPr>
      </w:pPr>
      <w:bookmarkStart w:id="328" w:name="_Toc456095930"/>
      <w:r>
        <w:rPr>
          <w:i w:val="0"/>
        </w:rPr>
        <w:t>4.2</w:t>
      </w:r>
      <w:r w:rsidR="000E1376" w:rsidRPr="00155F80">
        <w:rPr>
          <w:i w:val="0"/>
        </w:rPr>
        <w:t xml:space="preserve">.3 </w:t>
      </w:r>
      <w:r w:rsidR="00A131AD" w:rsidRPr="00155F80">
        <w:rPr>
          <w:i w:val="0"/>
        </w:rPr>
        <w:t>Otpadne</w:t>
      </w:r>
      <w:r w:rsidR="00A131AD" w:rsidRPr="00155F80">
        <w:rPr>
          <w:i w:val="0"/>
          <w:lang w:val="bs-Latn-BA"/>
        </w:rPr>
        <w:t xml:space="preserve"> </w:t>
      </w:r>
      <w:bookmarkEnd w:id="327"/>
      <w:bookmarkEnd w:id="328"/>
      <w:r w:rsidR="002D27DE">
        <w:rPr>
          <w:i w:val="0"/>
        </w:rPr>
        <w:t>tvari</w:t>
      </w:r>
    </w:p>
    <w:p w:rsidR="00A131AD" w:rsidRPr="00155F80" w:rsidRDefault="00A131AD" w:rsidP="000C0138">
      <w:pPr>
        <w:spacing w:line="276" w:lineRule="auto"/>
        <w:rPr>
          <w:rFonts w:ascii="Times New Roman" w:hAnsi="Times New Roman"/>
          <w:b/>
          <w:lang w:val="bs-Latn-BA"/>
        </w:rPr>
      </w:pPr>
    </w:p>
    <w:p w:rsidR="00A131AD" w:rsidRPr="00155F80" w:rsidRDefault="00A131AD" w:rsidP="000C0138">
      <w:pPr>
        <w:spacing w:line="276" w:lineRule="auto"/>
        <w:rPr>
          <w:rFonts w:ascii="Times New Roman" w:hAnsi="Times New Roman"/>
          <w:lang w:val="hr-HR"/>
        </w:rPr>
      </w:pPr>
      <w:r w:rsidRPr="00155F80">
        <w:rPr>
          <w:rFonts w:ascii="Times New Roman" w:hAnsi="Times New Roman"/>
          <w:lang w:val="hr-HR"/>
        </w:rPr>
        <w:t xml:space="preserve">Na području Federacije BiH, odlaganje čvrstih i tečnih otpadnih </w:t>
      </w:r>
      <w:r w:rsidR="002D27DE">
        <w:rPr>
          <w:rFonts w:ascii="Times New Roman" w:hAnsi="Times New Roman"/>
          <w:lang w:val="hr-HR"/>
        </w:rPr>
        <w:t>tvari</w:t>
      </w:r>
      <w:r w:rsidRPr="00155F80">
        <w:rPr>
          <w:rFonts w:ascii="Times New Roman" w:hAnsi="Times New Roman"/>
          <w:lang w:val="hr-HR"/>
        </w:rPr>
        <w:t xml:space="preserve"> predstavlja jedan od glavnih problema javnog zdravstva. Godišnje se po glavi stanovnika proizvede </w:t>
      </w:r>
      <w:smartTag w:uri="urn:schemas-microsoft-com:office:smarttags" w:element="metricconverter">
        <w:smartTagPr>
          <w:attr w:name="ProductID" w:val="270 kg"/>
        </w:smartTagPr>
        <w:r w:rsidRPr="00155F80">
          <w:rPr>
            <w:rFonts w:ascii="Times New Roman" w:hAnsi="Times New Roman"/>
            <w:lang w:val="hr-HR"/>
          </w:rPr>
          <w:t>270 kg</w:t>
        </w:r>
      </w:smartTag>
      <w:r w:rsidRPr="00155F80">
        <w:rPr>
          <w:rFonts w:ascii="Times New Roman" w:hAnsi="Times New Roman"/>
          <w:lang w:val="hr-HR"/>
        </w:rPr>
        <w:t xml:space="preserve"> otpadnih </w:t>
      </w:r>
      <w:r w:rsidR="002D27DE">
        <w:rPr>
          <w:rFonts w:ascii="Times New Roman" w:hAnsi="Times New Roman"/>
          <w:lang w:val="hr-HR"/>
        </w:rPr>
        <w:t>tvari</w:t>
      </w:r>
      <w:r w:rsidRPr="00155F80">
        <w:rPr>
          <w:rFonts w:ascii="Times New Roman" w:hAnsi="Times New Roman"/>
          <w:lang w:val="hr-HR"/>
        </w:rPr>
        <w:t>. Kada je u pitanju čvrsti otpad, najveći problem je njegovo nekontroli</w:t>
      </w:r>
      <w:r w:rsidR="002D27DE">
        <w:rPr>
          <w:rFonts w:ascii="Times New Roman" w:hAnsi="Times New Roman"/>
          <w:lang w:val="hr-HR"/>
        </w:rPr>
        <w:t>r</w:t>
      </w:r>
      <w:r w:rsidRPr="00155F80">
        <w:rPr>
          <w:rFonts w:ascii="Times New Roman" w:hAnsi="Times New Roman"/>
          <w:lang w:val="hr-HR"/>
        </w:rPr>
        <w:t xml:space="preserve">ano odlaganje i stvaranje «divljih» </w:t>
      </w:r>
      <w:r w:rsidR="002D27DE">
        <w:rPr>
          <w:rFonts w:ascii="Times New Roman" w:hAnsi="Times New Roman"/>
          <w:lang w:val="hr-HR"/>
        </w:rPr>
        <w:t>odlagališta</w:t>
      </w:r>
      <w:r w:rsidRPr="00155F80">
        <w:rPr>
          <w:rFonts w:ascii="Times New Roman" w:hAnsi="Times New Roman"/>
          <w:lang w:val="hr-HR"/>
        </w:rPr>
        <w:t xml:space="preserve">. </w:t>
      </w:r>
      <w:r w:rsidRPr="00155F80">
        <w:rPr>
          <w:rFonts w:ascii="Times New Roman" w:hAnsi="Times New Roman"/>
        </w:rPr>
        <w:t>Op</w:t>
      </w:r>
      <w:r w:rsidRPr="00155F80">
        <w:rPr>
          <w:rFonts w:ascii="Times New Roman" w:hAnsi="Times New Roman"/>
          <w:lang w:val="hr-HR"/>
        </w:rPr>
        <w:t>ć</w:t>
      </w:r>
      <w:r w:rsidRPr="00155F80">
        <w:rPr>
          <w:rFonts w:ascii="Times New Roman" w:hAnsi="Times New Roman"/>
        </w:rPr>
        <w:t>insk</w:t>
      </w:r>
      <w:r w:rsidR="002D27DE">
        <w:rPr>
          <w:rFonts w:ascii="Times New Roman" w:hAnsi="Times New Roman"/>
        </w:rPr>
        <w:t>a</w:t>
      </w:r>
      <w:r w:rsidRPr="00155F80">
        <w:rPr>
          <w:rFonts w:ascii="Times New Roman" w:hAnsi="Times New Roman"/>
          <w:lang w:val="hr-HR"/>
        </w:rPr>
        <w:t xml:space="preserve"> </w:t>
      </w:r>
      <w:r w:rsidR="002D27DE">
        <w:rPr>
          <w:rFonts w:ascii="Times New Roman" w:hAnsi="Times New Roman"/>
        </w:rPr>
        <w:t>odlagališta</w:t>
      </w:r>
      <w:r w:rsidRPr="00155F80">
        <w:rPr>
          <w:rFonts w:ascii="Times New Roman" w:hAnsi="Times New Roman"/>
          <w:lang w:val="hr-HR"/>
        </w:rPr>
        <w:t xml:space="preserve"> </w:t>
      </w:r>
      <w:r w:rsidRPr="00155F80">
        <w:rPr>
          <w:rFonts w:ascii="Times New Roman" w:hAnsi="Times New Roman"/>
        </w:rPr>
        <w:t>komunalnog</w:t>
      </w:r>
      <w:r w:rsidRPr="00155F80">
        <w:rPr>
          <w:rFonts w:ascii="Times New Roman" w:hAnsi="Times New Roman"/>
          <w:lang w:val="hr-HR"/>
        </w:rPr>
        <w:t xml:space="preserve"> </w:t>
      </w:r>
      <w:r w:rsidRPr="00155F80">
        <w:rPr>
          <w:rFonts w:ascii="Times New Roman" w:hAnsi="Times New Roman"/>
        </w:rPr>
        <w:t>otpada</w:t>
      </w:r>
      <w:r w:rsidRPr="00155F80">
        <w:rPr>
          <w:rFonts w:ascii="Times New Roman" w:hAnsi="Times New Roman"/>
          <w:lang w:val="hr-HR"/>
        </w:rPr>
        <w:t xml:space="preserve"> </w:t>
      </w:r>
      <w:r w:rsidRPr="00155F80">
        <w:rPr>
          <w:rFonts w:ascii="Times New Roman" w:hAnsi="Times New Roman"/>
        </w:rPr>
        <w:t>su</w:t>
      </w:r>
      <w:r w:rsidRPr="00155F80">
        <w:rPr>
          <w:rFonts w:ascii="Times New Roman" w:hAnsi="Times New Roman"/>
          <w:lang w:val="hr-HR"/>
        </w:rPr>
        <w:t xml:space="preserve"> </w:t>
      </w:r>
      <w:r w:rsidRPr="00155F80">
        <w:rPr>
          <w:rFonts w:ascii="Times New Roman" w:hAnsi="Times New Roman"/>
        </w:rPr>
        <w:t>ve</w:t>
      </w:r>
      <w:r w:rsidRPr="00155F80">
        <w:rPr>
          <w:rFonts w:ascii="Times New Roman" w:hAnsi="Times New Roman"/>
          <w:lang w:val="hr-HR"/>
        </w:rPr>
        <w:t>ć</w:t>
      </w:r>
      <w:r w:rsidRPr="00155F80">
        <w:rPr>
          <w:rFonts w:ascii="Times New Roman" w:hAnsi="Times New Roman"/>
        </w:rPr>
        <w:t>inom</w:t>
      </w:r>
      <w:r w:rsidRPr="00155F80">
        <w:rPr>
          <w:rFonts w:ascii="Times New Roman" w:hAnsi="Times New Roman"/>
          <w:lang w:val="hr-HR"/>
        </w:rPr>
        <w:t xml:space="preserve"> </w:t>
      </w:r>
      <w:r w:rsidRPr="00155F80">
        <w:rPr>
          <w:rFonts w:ascii="Times New Roman" w:hAnsi="Times New Roman"/>
        </w:rPr>
        <w:t>otvorenog</w:t>
      </w:r>
      <w:r w:rsidRPr="00155F80">
        <w:rPr>
          <w:rFonts w:ascii="Times New Roman" w:hAnsi="Times New Roman"/>
          <w:lang w:val="hr-HR"/>
        </w:rPr>
        <w:t xml:space="preserve"> </w:t>
      </w:r>
      <w:r w:rsidRPr="00155F80">
        <w:rPr>
          <w:rFonts w:ascii="Times New Roman" w:hAnsi="Times New Roman"/>
        </w:rPr>
        <w:t>tipa</w:t>
      </w:r>
      <w:r w:rsidRPr="00155F80">
        <w:rPr>
          <w:rFonts w:ascii="Times New Roman" w:hAnsi="Times New Roman"/>
          <w:lang w:val="hr-HR"/>
        </w:rPr>
        <w:t xml:space="preserve"> </w:t>
      </w:r>
      <w:r w:rsidRPr="00155F80">
        <w:rPr>
          <w:rFonts w:ascii="Times New Roman" w:hAnsi="Times New Roman"/>
        </w:rPr>
        <w:t>i</w:t>
      </w:r>
      <w:r w:rsidRPr="00155F80">
        <w:rPr>
          <w:rFonts w:ascii="Times New Roman" w:hAnsi="Times New Roman"/>
          <w:lang w:val="hr-HR"/>
        </w:rPr>
        <w:t xml:space="preserve"> </w:t>
      </w:r>
      <w:r w:rsidRPr="00155F80">
        <w:rPr>
          <w:rFonts w:ascii="Times New Roman" w:hAnsi="Times New Roman"/>
        </w:rPr>
        <w:t>to</w:t>
      </w:r>
      <w:r w:rsidRPr="00155F80">
        <w:rPr>
          <w:rFonts w:ascii="Times New Roman" w:hAnsi="Times New Roman"/>
          <w:lang w:val="hr-HR"/>
        </w:rPr>
        <w:t xml:space="preserve"> </w:t>
      </w:r>
      <w:r w:rsidRPr="00155F80">
        <w:rPr>
          <w:rFonts w:ascii="Times New Roman" w:hAnsi="Times New Roman"/>
        </w:rPr>
        <w:t>su</w:t>
      </w:r>
      <w:r w:rsidRPr="00155F80">
        <w:rPr>
          <w:rFonts w:ascii="Times New Roman" w:hAnsi="Times New Roman"/>
          <w:lang w:val="hr-HR"/>
        </w:rPr>
        <w:t xml:space="preserve"> </w:t>
      </w:r>
      <w:r w:rsidRPr="00155F80">
        <w:rPr>
          <w:rFonts w:ascii="Times New Roman" w:hAnsi="Times New Roman"/>
        </w:rPr>
        <w:t>naj</w:t>
      </w:r>
      <w:r w:rsidRPr="00155F80">
        <w:rPr>
          <w:rFonts w:ascii="Times New Roman" w:hAnsi="Times New Roman"/>
          <w:lang w:val="hr-HR"/>
        </w:rPr>
        <w:t>č</w:t>
      </w:r>
      <w:r w:rsidRPr="00155F80">
        <w:rPr>
          <w:rFonts w:ascii="Times New Roman" w:hAnsi="Times New Roman"/>
        </w:rPr>
        <w:t>e</w:t>
      </w:r>
      <w:r w:rsidRPr="00155F80">
        <w:rPr>
          <w:rFonts w:ascii="Times New Roman" w:hAnsi="Times New Roman"/>
          <w:lang w:val="hr-HR"/>
        </w:rPr>
        <w:t>šć</w:t>
      </w:r>
      <w:r w:rsidRPr="00155F80">
        <w:rPr>
          <w:rFonts w:ascii="Times New Roman" w:hAnsi="Times New Roman"/>
        </w:rPr>
        <w:t>e</w:t>
      </w:r>
      <w:r w:rsidRPr="00155F80">
        <w:rPr>
          <w:rFonts w:ascii="Times New Roman" w:hAnsi="Times New Roman"/>
          <w:lang w:val="hr-HR"/>
        </w:rPr>
        <w:t xml:space="preserve"> </w:t>
      </w:r>
      <w:r w:rsidRPr="00155F80">
        <w:rPr>
          <w:rFonts w:ascii="Times New Roman" w:hAnsi="Times New Roman"/>
        </w:rPr>
        <w:t>prostori</w:t>
      </w:r>
      <w:r w:rsidRPr="00155F80">
        <w:rPr>
          <w:rFonts w:ascii="Times New Roman" w:hAnsi="Times New Roman"/>
          <w:lang w:val="hr-HR"/>
        </w:rPr>
        <w:t xml:space="preserve"> </w:t>
      </w:r>
      <w:r w:rsidRPr="00155F80">
        <w:rPr>
          <w:rFonts w:ascii="Times New Roman" w:hAnsi="Times New Roman"/>
        </w:rPr>
        <w:t>koji</w:t>
      </w:r>
      <w:r w:rsidRPr="00155F80">
        <w:rPr>
          <w:rFonts w:ascii="Times New Roman" w:hAnsi="Times New Roman"/>
          <w:lang w:val="hr-HR"/>
        </w:rPr>
        <w:t xml:space="preserve"> </w:t>
      </w:r>
      <w:r w:rsidRPr="00155F80">
        <w:rPr>
          <w:rFonts w:ascii="Times New Roman" w:hAnsi="Times New Roman"/>
        </w:rPr>
        <w:t>ne</w:t>
      </w:r>
      <w:r w:rsidRPr="00155F80">
        <w:rPr>
          <w:rFonts w:ascii="Times New Roman" w:hAnsi="Times New Roman"/>
          <w:lang w:val="hr-HR"/>
        </w:rPr>
        <w:t xml:space="preserve"> </w:t>
      </w:r>
      <w:r w:rsidRPr="00155F80">
        <w:rPr>
          <w:rFonts w:ascii="Times New Roman" w:hAnsi="Times New Roman"/>
        </w:rPr>
        <w:t>zadovoljavaju</w:t>
      </w:r>
      <w:r w:rsidRPr="00155F80">
        <w:rPr>
          <w:rFonts w:ascii="Times New Roman" w:hAnsi="Times New Roman"/>
          <w:lang w:val="hr-HR"/>
        </w:rPr>
        <w:t xml:space="preserve"> </w:t>
      </w:r>
      <w:r w:rsidRPr="00155F80">
        <w:rPr>
          <w:rFonts w:ascii="Times New Roman" w:hAnsi="Times New Roman"/>
        </w:rPr>
        <w:t>uvjete</w:t>
      </w:r>
      <w:r w:rsidRPr="00155F80">
        <w:rPr>
          <w:rFonts w:ascii="Times New Roman" w:hAnsi="Times New Roman"/>
          <w:lang w:val="hr-HR"/>
        </w:rPr>
        <w:t xml:space="preserve"> </w:t>
      </w:r>
      <w:r w:rsidRPr="00155F80">
        <w:rPr>
          <w:rFonts w:ascii="Times New Roman" w:hAnsi="Times New Roman"/>
        </w:rPr>
        <w:t>sanitarnih</w:t>
      </w:r>
      <w:r w:rsidRPr="00155F80">
        <w:rPr>
          <w:rFonts w:ascii="Times New Roman" w:hAnsi="Times New Roman"/>
          <w:lang w:val="hr-HR"/>
        </w:rPr>
        <w:t xml:space="preserve"> </w:t>
      </w:r>
      <w:r w:rsidR="002D27DE">
        <w:rPr>
          <w:rFonts w:ascii="Times New Roman" w:hAnsi="Times New Roman"/>
        </w:rPr>
        <w:t>odlagališta otpada</w:t>
      </w:r>
      <w:r w:rsidRPr="00155F80">
        <w:rPr>
          <w:rFonts w:ascii="Times New Roman" w:hAnsi="Times New Roman"/>
          <w:lang w:val="hr-HR"/>
        </w:rPr>
        <w:t xml:space="preserve"> </w:t>
      </w:r>
      <w:r w:rsidRPr="00155F80">
        <w:rPr>
          <w:rFonts w:ascii="Times New Roman" w:hAnsi="Times New Roman"/>
        </w:rPr>
        <w:t>niti</w:t>
      </w:r>
      <w:r w:rsidRPr="00155F80">
        <w:rPr>
          <w:rFonts w:ascii="Times New Roman" w:hAnsi="Times New Roman"/>
          <w:lang w:val="hr-HR"/>
        </w:rPr>
        <w:t xml:space="preserve"> </w:t>
      </w:r>
      <w:r w:rsidRPr="00155F80">
        <w:rPr>
          <w:rFonts w:ascii="Times New Roman" w:hAnsi="Times New Roman"/>
        </w:rPr>
        <w:t>su</w:t>
      </w:r>
      <w:r w:rsidRPr="00155F80">
        <w:rPr>
          <w:rFonts w:ascii="Times New Roman" w:hAnsi="Times New Roman"/>
          <w:lang w:val="hr-HR"/>
        </w:rPr>
        <w:t xml:space="preserve"> </w:t>
      </w:r>
      <w:r w:rsidRPr="00155F80">
        <w:rPr>
          <w:rFonts w:ascii="Times New Roman" w:hAnsi="Times New Roman"/>
        </w:rPr>
        <w:t>propisno</w:t>
      </w:r>
      <w:r w:rsidRPr="00155F80">
        <w:rPr>
          <w:rFonts w:ascii="Times New Roman" w:hAnsi="Times New Roman"/>
          <w:lang w:val="hr-HR"/>
        </w:rPr>
        <w:t xml:space="preserve"> </w:t>
      </w:r>
      <w:r w:rsidRPr="00155F80">
        <w:rPr>
          <w:rFonts w:ascii="Times New Roman" w:hAnsi="Times New Roman"/>
        </w:rPr>
        <w:t>pripremljeni</w:t>
      </w:r>
      <w:r w:rsidRPr="00155F80">
        <w:rPr>
          <w:rFonts w:ascii="Times New Roman" w:hAnsi="Times New Roman"/>
          <w:lang w:val="hr-HR"/>
        </w:rPr>
        <w:t xml:space="preserve"> </w:t>
      </w:r>
      <w:r w:rsidRPr="00155F80">
        <w:rPr>
          <w:rFonts w:ascii="Times New Roman" w:hAnsi="Times New Roman"/>
        </w:rPr>
        <w:t>za</w:t>
      </w:r>
      <w:r w:rsidRPr="00155F80">
        <w:rPr>
          <w:rFonts w:ascii="Times New Roman" w:hAnsi="Times New Roman"/>
          <w:lang w:val="hr-HR"/>
        </w:rPr>
        <w:t xml:space="preserve"> </w:t>
      </w:r>
      <w:r w:rsidRPr="00155F80">
        <w:rPr>
          <w:rFonts w:ascii="Times New Roman" w:hAnsi="Times New Roman"/>
        </w:rPr>
        <w:t>tu</w:t>
      </w:r>
      <w:r w:rsidRPr="00155F80">
        <w:rPr>
          <w:rFonts w:ascii="Times New Roman" w:hAnsi="Times New Roman"/>
          <w:lang w:val="hr-HR"/>
        </w:rPr>
        <w:t xml:space="preserve"> </w:t>
      </w:r>
      <w:r w:rsidRPr="00155F80">
        <w:rPr>
          <w:rFonts w:ascii="Times New Roman" w:hAnsi="Times New Roman"/>
        </w:rPr>
        <w:t>namjenu</w:t>
      </w:r>
      <w:r w:rsidRPr="00155F80">
        <w:rPr>
          <w:rFonts w:ascii="Times New Roman" w:hAnsi="Times New Roman"/>
          <w:lang w:val="hr-HR"/>
        </w:rPr>
        <w:t xml:space="preserve">. </w:t>
      </w:r>
      <w:r w:rsidRPr="00155F80">
        <w:rPr>
          <w:rFonts w:ascii="Times New Roman" w:hAnsi="Times New Roman"/>
        </w:rPr>
        <w:t>Ne</w:t>
      </w:r>
      <w:r w:rsidRPr="00155F80">
        <w:rPr>
          <w:rFonts w:ascii="Times New Roman" w:hAnsi="Times New Roman"/>
          <w:lang w:val="hr-HR"/>
        </w:rPr>
        <w:t xml:space="preserve"> </w:t>
      </w:r>
      <w:r w:rsidRPr="00155F80">
        <w:rPr>
          <w:rFonts w:ascii="Times New Roman" w:hAnsi="Times New Roman"/>
        </w:rPr>
        <w:t>postoje</w:t>
      </w:r>
      <w:r w:rsidRPr="00155F80">
        <w:rPr>
          <w:rFonts w:ascii="Times New Roman" w:hAnsi="Times New Roman"/>
          <w:lang w:val="hr-HR"/>
        </w:rPr>
        <w:t xml:space="preserve"> </w:t>
      </w:r>
      <w:r w:rsidRPr="00155F80">
        <w:rPr>
          <w:rFonts w:ascii="Times New Roman" w:hAnsi="Times New Roman"/>
        </w:rPr>
        <w:t>s</w:t>
      </w:r>
      <w:r w:rsidR="002D27DE">
        <w:rPr>
          <w:rFonts w:ascii="Times New Roman" w:hAnsi="Times New Roman"/>
        </w:rPr>
        <w:t>ustavi</w:t>
      </w:r>
      <w:r w:rsidRPr="00155F80">
        <w:rPr>
          <w:rFonts w:ascii="Times New Roman" w:hAnsi="Times New Roman"/>
          <w:lang w:val="hr-HR"/>
        </w:rPr>
        <w:t xml:space="preserve"> </w:t>
      </w:r>
      <w:r w:rsidRPr="00155F80">
        <w:rPr>
          <w:rFonts w:ascii="Times New Roman" w:hAnsi="Times New Roman"/>
        </w:rPr>
        <w:t>za</w:t>
      </w:r>
      <w:r w:rsidRPr="00155F80">
        <w:rPr>
          <w:rFonts w:ascii="Times New Roman" w:hAnsi="Times New Roman"/>
          <w:lang w:val="hr-HR"/>
        </w:rPr>
        <w:t xml:space="preserve"> </w:t>
      </w:r>
      <w:r w:rsidRPr="00155F80">
        <w:rPr>
          <w:rFonts w:ascii="Times New Roman" w:hAnsi="Times New Roman"/>
        </w:rPr>
        <w:t>za</w:t>
      </w:r>
      <w:r w:rsidRPr="00155F80">
        <w:rPr>
          <w:rFonts w:ascii="Times New Roman" w:hAnsi="Times New Roman"/>
          <w:lang w:val="hr-HR"/>
        </w:rPr>
        <w:t>š</w:t>
      </w:r>
      <w:r w:rsidRPr="00155F80">
        <w:rPr>
          <w:rFonts w:ascii="Times New Roman" w:hAnsi="Times New Roman"/>
        </w:rPr>
        <w:t>titu</w:t>
      </w:r>
      <w:r w:rsidRPr="00155F80">
        <w:rPr>
          <w:rFonts w:ascii="Times New Roman" w:hAnsi="Times New Roman"/>
          <w:lang w:val="hr-HR"/>
        </w:rPr>
        <w:t xml:space="preserve"> </w:t>
      </w:r>
      <w:r w:rsidRPr="00155F80">
        <w:rPr>
          <w:rFonts w:ascii="Times New Roman" w:hAnsi="Times New Roman"/>
        </w:rPr>
        <w:t>voda</w:t>
      </w:r>
      <w:r w:rsidRPr="00155F80">
        <w:rPr>
          <w:rFonts w:ascii="Times New Roman" w:hAnsi="Times New Roman"/>
          <w:lang w:val="hr-HR"/>
        </w:rPr>
        <w:t xml:space="preserve">, </w:t>
      </w:r>
      <w:r w:rsidRPr="00155F80">
        <w:rPr>
          <w:rFonts w:ascii="Times New Roman" w:hAnsi="Times New Roman"/>
        </w:rPr>
        <w:t>tla</w:t>
      </w:r>
      <w:r w:rsidRPr="00155F80">
        <w:rPr>
          <w:rFonts w:ascii="Times New Roman" w:hAnsi="Times New Roman"/>
          <w:lang w:val="hr-HR"/>
        </w:rPr>
        <w:t xml:space="preserve"> </w:t>
      </w:r>
      <w:r w:rsidRPr="00155F80">
        <w:rPr>
          <w:rFonts w:ascii="Times New Roman" w:hAnsi="Times New Roman"/>
        </w:rPr>
        <w:t>ili</w:t>
      </w:r>
      <w:r w:rsidRPr="00155F80">
        <w:rPr>
          <w:rFonts w:ascii="Times New Roman" w:hAnsi="Times New Roman"/>
          <w:lang w:val="hr-HR"/>
        </w:rPr>
        <w:t xml:space="preserve"> </w:t>
      </w:r>
      <w:r w:rsidRPr="00155F80">
        <w:rPr>
          <w:rFonts w:ascii="Times New Roman" w:hAnsi="Times New Roman"/>
        </w:rPr>
        <w:t>zraka</w:t>
      </w:r>
      <w:r w:rsidRPr="00155F80">
        <w:rPr>
          <w:rFonts w:ascii="Times New Roman" w:hAnsi="Times New Roman"/>
          <w:lang w:val="hr-HR"/>
        </w:rPr>
        <w:t xml:space="preserve">. </w:t>
      </w:r>
      <w:r w:rsidRPr="00155F80">
        <w:rPr>
          <w:rFonts w:ascii="Times New Roman" w:hAnsi="Times New Roman"/>
        </w:rPr>
        <w:t>Kontrole</w:t>
      </w:r>
      <w:r w:rsidRPr="00155F80">
        <w:rPr>
          <w:rFonts w:ascii="Times New Roman" w:hAnsi="Times New Roman"/>
          <w:lang w:val="hr-HR"/>
        </w:rPr>
        <w:t xml:space="preserve"> </w:t>
      </w:r>
      <w:r w:rsidRPr="00155F80">
        <w:rPr>
          <w:rFonts w:ascii="Times New Roman" w:hAnsi="Times New Roman"/>
        </w:rPr>
        <w:t>procjednih</w:t>
      </w:r>
      <w:r w:rsidRPr="00155F80">
        <w:rPr>
          <w:rFonts w:ascii="Times New Roman" w:hAnsi="Times New Roman"/>
          <w:lang w:val="hr-HR"/>
        </w:rPr>
        <w:t xml:space="preserve"> </w:t>
      </w:r>
      <w:r w:rsidRPr="00155F80">
        <w:rPr>
          <w:rFonts w:ascii="Times New Roman" w:hAnsi="Times New Roman"/>
        </w:rPr>
        <w:t>voda</w:t>
      </w:r>
      <w:r w:rsidRPr="00155F80">
        <w:rPr>
          <w:rFonts w:ascii="Times New Roman" w:hAnsi="Times New Roman"/>
          <w:lang w:val="hr-HR"/>
        </w:rPr>
        <w:t xml:space="preserve"> </w:t>
      </w:r>
      <w:r w:rsidRPr="00155F80">
        <w:rPr>
          <w:rFonts w:ascii="Times New Roman" w:hAnsi="Times New Roman"/>
        </w:rPr>
        <w:t>i</w:t>
      </w:r>
      <w:r w:rsidRPr="00155F80">
        <w:rPr>
          <w:rFonts w:ascii="Times New Roman" w:hAnsi="Times New Roman"/>
          <w:lang w:val="hr-HR"/>
        </w:rPr>
        <w:t xml:space="preserve"> </w:t>
      </w:r>
      <w:r w:rsidR="002D27DE">
        <w:rPr>
          <w:rFonts w:ascii="Times New Roman" w:hAnsi="Times New Roman"/>
        </w:rPr>
        <w:t>plinova</w:t>
      </w:r>
      <w:r w:rsidRPr="00155F80">
        <w:rPr>
          <w:rFonts w:ascii="Times New Roman" w:hAnsi="Times New Roman"/>
          <w:lang w:val="hr-HR"/>
        </w:rPr>
        <w:t xml:space="preserve"> </w:t>
      </w:r>
      <w:r w:rsidRPr="00155F80">
        <w:rPr>
          <w:rFonts w:ascii="Times New Roman" w:hAnsi="Times New Roman"/>
        </w:rPr>
        <w:t>nema</w:t>
      </w:r>
      <w:r w:rsidRPr="00155F80">
        <w:rPr>
          <w:rFonts w:ascii="Times New Roman" w:hAnsi="Times New Roman"/>
          <w:lang w:val="hr-HR"/>
        </w:rPr>
        <w:t xml:space="preserve"> </w:t>
      </w:r>
      <w:r w:rsidRPr="00155F80">
        <w:rPr>
          <w:rFonts w:ascii="Times New Roman" w:hAnsi="Times New Roman"/>
        </w:rPr>
        <w:t>gotovo</w:t>
      </w:r>
      <w:r w:rsidRPr="00155F80">
        <w:rPr>
          <w:rFonts w:ascii="Times New Roman" w:hAnsi="Times New Roman"/>
          <w:lang w:val="hr-HR"/>
        </w:rPr>
        <w:t xml:space="preserve"> </w:t>
      </w:r>
      <w:r w:rsidRPr="00155F80">
        <w:rPr>
          <w:rFonts w:ascii="Times New Roman" w:hAnsi="Times New Roman"/>
        </w:rPr>
        <w:t>ni</w:t>
      </w:r>
      <w:r w:rsidRPr="00155F80">
        <w:rPr>
          <w:rFonts w:ascii="Times New Roman" w:hAnsi="Times New Roman"/>
          <w:lang w:val="hr-HR"/>
        </w:rPr>
        <w:t xml:space="preserve"> </w:t>
      </w:r>
      <w:r w:rsidRPr="00155F80">
        <w:rPr>
          <w:rFonts w:ascii="Times New Roman" w:hAnsi="Times New Roman"/>
        </w:rPr>
        <w:t>na</w:t>
      </w:r>
      <w:r w:rsidRPr="00155F80">
        <w:rPr>
          <w:rFonts w:ascii="Times New Roman" w:hAnsi="Times New Roman"/>
          <w:lang w:val="hr-HR"/>
        </w:rPr>
        <w:t xml:space="preserve"> </w:t>
      </w:r>
      <w:r w:rsidRPr="00155F80">
        <w:rPr>
          <w:rFonts w:ascii="Times New Roman" w:hAnsi="Times New Roman"/>
        </w:rPr>
        <w:t>jednoj</w:t>
      </w:r>
      <w:r w:rsidRPr="00155F80">
        <w:rPr>
          <w:rFonts w:ascii="Times New Roman" w:hAnsi="Times New Roman"/>
          <w:lang w:val="hr-HR"/>
        </w:rPr>
        <w:t xml:space="preserve"> </w:t>
      </w:r>
      <w:r w:rsidRPr="00155F80">
        <w:rPr>
          <w:rFonts w:ascii="Times New Roman" w:hAnsi="Times New Roman"/>
        </w:rPr>
        <w:t>op</w:t>
      </w:r>
      <w:r w:rsidRPr="00155F80">
        <w:rPr>
          <w:rFonts w:ascii="Times New Roman" w:hAnsi="Times New Roman"/>
          <w:lang w:val="hr-HR"/>
        </w:rPr>
        <w:t>ć</w:t>
      </w:r>
      <w:r w:rsidRPr="00155F80">
        <w:rPr>
          <w:rFonts w:ascii="Times New Roman" w:hAnsi="Times New Roman"/>
        </w:rPr>
        <w:t>insko</w:t>
      </w:r>
      <w:r w:rsidR="002D27DE">
        <w:rPr>
          <w:rFonts w:ascii="Times New Roman" w:hAnsi="Times New Roman"/>
        </w:rPr>
        <w:t>m</w:t>
      </w:r>
      <w:r w:rsidRPr="00155F80">
        <w:rPr>
          <w:rFonts w:ascii="Times New Roman" w:hAnsi="Times New Roman"/>
          <w:lang w:val="hr-HR"/>
        </w:rPr>
        <w:t xml:space="preserve"> </w:t>
      </w:r>
      <w:r w:rsidR="002D27DE">
        <w:rPr>
          <w:rFonts w:ascii="Times New Roman" w:hAnsi="Times New Roman"/>
        </w:rPr>
        <w:t>odlagalištu otpada</w:t>
      </w:r>
      <w:r w:rsidRPr="00155F80">
        <w:rPr>
          <w:rFonts w:ascii="Times New Roman" w:hAnsi="Times New Roman"/>
          <w:lang w:val="hr-HR"/>
        </w:rPr>
        <w:t xml:space="preserve">. </w:t>
      </w:r>
      <w:r w:rsidRPr="00155F80">
        <w:rPr>
          <w:rFonts w:ascii="Times New Roman" w:hAnsi="Times New Roman"/>
        </w:rPr>
        <w:t>Neure</w:t>
      </w:r>
      <w:r w:rsidRPr="00155F80">
        <w:rPr>
          <w:rFonts w:ascii="Times New Roman" w:hAnsi="Times New Roman"/>
          <w:lang w:val="hr-HR"/>
        </w:rPr>
        <w:t>đ</w:t>
      </w:r>
      <w:r w:rsidRPr="00155F80">
        <w:rPr>
          <w:rFonts w:ascii="Times New Roman" w:hAnsi="Times New Roman"/>
        </w:rPr>
        <w:t>en</w:t>
      </w:r>
      <w:r w:rsidR="002D27DE">
        <w:rPr>
          <w:rFonts w:ascii="Times New Roman" w:hAnsi="Times New Roman"/>
        </w:rPr>
        <w:t>a</w:t>
      </w:r>
      <w:r w:rsidRPr="00155F80">
        <w:rPr>
          <w:rFonts w:ascii="Times New Roman" w:hAnsi="Times New Roman"/>
          <w:lang w:val="hr-HR"/>
        </w:rPr>
        <w:t xml:space="preserve"> </w:t>
      </w:r>
      <w:r w:rsidR="002D27DE">
        <w:rPr>
          <w:rFonts w:ascii="Times New Roman" w:hAnsi="Times New Roman"/>
        </w:rPr>
        <w:t>odlagališta otpada</w:t>
      </w:r>
      <w:r w:rsidRPr="00155F80">
        <w:rPr>
          <w:rFonts w:ascii="Times New Roman" w:hAnsi="Times New Roman"/>
          <w:lang w:val="hr-HR"/>
        </w:rPr>
        <w:t xml:space="preserve"> </w:t>
      </w:r>
      <w:r w:rsidRPr="00155F80">
        <w:rPr>
          <w:rFonts w:ascii="Times New Roman" w:hAnsi="Times New Roman"/>
        </w:rPr>
        <w:t>su</w:t>
      </w:r>
      <w:r w:rsidRPr="00155F80">
        <w:rPr>
          <w:rFonts w:ascii="Times New Roman" w:hAnsi="Times New Roman"/>
          <w:lang w:val="hr-HR"/>
        </w:rPr>
        <w:t xml:space="preserve"> </w:t>
      </w:r>
      <w:r w:rsidRPr="00155F80">
        <w:rPr>
          <w:rFonts w:ascii="Times New Roman" w:hAnsi="Times New Roman"/>
        </w:rPr>
        <w:t>uglavnom</w:t>
      </w:r>
      <w:r w:rsidRPr="00155F80">
        <w:rPr>
          <w:rFonts w:ascii="Times New Roman" w:hAnsi="Times New Roman"/>
          <w:lang w:val="hr-HR"/>
        </w:rPr>
        <w:t xml:space="preserve"> </w:t>
      </w:r>
      <w:r w:rsidRPr="00155F80">
        <w:rPr>
          <w:rFonts w:ascii="Times New Roman" w:hAnsi="Times New Roman"/>
        </w:rPr>
        <w:t>neogra</w:t>
      </w:r>
      <w:r w:rsidRPr="00155F80">
        <w:rPr>
          <w:rFonts w:ascii="Times New Roman" w:hAnsi="Times New Roman"/>
          <w:lang w:val="hr-HR"/>
        </w:rPr>
        <w:t>đ</w:t>
      </w:r>
      <w:r w:rsidRPr="00155F80">
        <w:rPr>
          <w:rFonts w:ascii="Times New Roman" w:hAnsi="Times New Roman"/>
        </w:rPr>
        <w:t>en</w:t>
      </w:r>
      <w:r w:rsidR="002D27DE">
        <w:rPr>
          <w:rFonts w:ascii="Times New Roman" w:hAnsi="Times New Roman"/>
        </w:rPr>
        <w:t>a</w:t>
      </w:r>
      <w:r w:rsidRPr="00155F80">
        <w:rPr>
          <w:rFonts w:ascii="Times New Roman" w:hAnsi="Times New Roman"/>
          <w:lang w:val="hr-HR"/>
        </w:rPr>
        <w:t xml:space="preserve">, </w:t>
      </w:r>
      <w:r w:rsidRPr="00155F80">
        <w:rPr>
          <w:rFonts w:ascii="Times New Roman" w:hAnsi="Times New Roman"/>
        </w:rPr>
        <w:t>tako</w:t>
      </w:r>
      <w:r w:rsidRPr="00155F80">
        <w:rPr>
          <w:rFonts w:ascii="Times New Roman" w:hAnsi="Times New Roman"/>
          <w:lang w:val="hr-HR"/>
        </w:rPr>
        <w:t xml:space="preserve"> </w:t>
      </w:r>
      <w:r w:rsidRPr="00155F80">
        <w:rPr>
          <w:rFonts w:ascii="Times New Roman" w:hAnsi="Times New Roman"/>
        </w:rPr>
        <w:t>da</w:t>
      </w:r>
      <w:r w:rsidRPr="00155F80">
        <w:rPr>
          <w:rFonts w:ascii="Times New Roman" w:hAnsi="Times New Roman"/>
          <w:lang w:val="hr-HR"/>
        </w:rPr>
        <w:t xml:space="preserve"> </w:t>
      </w:r>
      <w:r w:rsidRPr="00155F80">
        <w:rPr>
          <w:rFonts w:ascii="Times New Roman" w:hAnsi="Times New Roman"/>
        </w:rPr>
        <w:t>ljudi</w:t>
      </w:r>
      <w:r w:rsidRPr="00155F80">
        <w:rPr>
          <w:rFonts w:ascii="Times New Roman" w:hAnsi="Times New Roman"/>
          <w:lang w:val="hr-HR"/>
        </w:rPr>
        <w:t xml:space="preserve"> </w:t>
      </w:r>
      <w:r w:rsidRPr="00155F80">
        <w:rPr>
          <w:rFonts w:ascii="Times New Roman" w:hAnsi="Times New Roman"/>
        </w:rPr>
        <w:t>i</w:t>
      </w:r>
      <w:r w:rsidRPr="00155F80">
        <w:rPr>
          <w:rFonts w:ascii="Times New Roman" w:hAnsi="Times New Roman"/>
          <w:lang w:val="hr-HR"/>
        </w:rPr>
        <w:t xml:space="preserve"> ž</w:t>
      </w:r>
      <w:r w:rsidRPr="00155F80">
        <w:rPr>
          <w:rFonts w:ascii="Times New Roman" w:hAnsi="Times New Roman"/>
        </w:rPr>
        <w:t>ivotinje</w:t>
      </w:r>
      <w:r w:rsidRPr="00155F80">
        <w:rPr>
          <w:rFonts w:ascii="Times New Roman" w:hAnsi="Times New Roman"/>
          <w:lang w:val="hr-HR"/>
        </w:rPr>
        <w:t xml:space="preserve"> </w:t>
      </w:r>
      <w:r w:rsidRPr="00155F80">
        <w:rPr>
          <w:rFonts w:ascii="Times New Roman" w:hAnsi="Times New Roman"/>
        </w:rPr>
        <w:t>neometano</w:t>
      </w:r>
      <w:r w:rsidRPr="00155F80">
        <w:rPr>
          <w:rFonts w:ascii="Times New Roman" w:hAnsi="Times New Roman"/>
          <w:lang w:val="hr-HR"/>
        </w:rPr>
        <w:t xml:space="preserve"> </w:t>
      </w:r>
      <w:r w:rsidRPr="00155F80">
        <w:rPr>
          <w:rFonts w:ascii="Times New Roman" w:hAnsi="Times New Roman"/>
        </w:rPr>
        <w:t>ulaze</w:t>
      </w:r>
      <w:r w:rsidRPr="00155F80">
        <w:rPr>
          <w:rFonts w:ascii="Times New Roman" w:hAnsi="Times New Roman"/>
          <w:lang w:val="hr-HR"/>
        </w:rPr>
        <w:t>, č</w:t>
      </w:r>
      <w:r w:rsidRPr="00155F80">
        <w:rPr>
          <w:rFonts w:ascii="Times New Roman" w:hAnsi="Times New Roman"/>
        </w:rPr>
        <w:t>ime</w:t>
      </w:r>
      <w:r w:rsidRPr="00155F80">
        <w:rPr>
          <w:rFonts w:ascii="Times New Roman" w:hAnsi="Times New Roman"/>
          <w:lang w:val="hr-HR"/>
        </w:rPr>
        <w:t xml:space="preserve"> </w:t>
      </w:r>
      <w:r w:rsidRPr="00155F80">
        <w:rPr>
          <w:rFonts w:ascii="Times New Roman" w:hAnsi="Times New Roman"/>
        </w:rPr>
        <w:t>se</w:t>
      </w:r>
      <w:r w:rsidRPr="00155F80">
        <w:rPr>
          <w:rFonts w:ascii="Times New Roman" w:hAnsi="Times New Roman"/>
          <w:lang w:val="hr-HR"/>
        </w:rPr>
        <w:t xml:space="preserve"> </w:t>
      </w:r>
      <w:r w:rsidRPr="00155F80">
        <w:rPr>
          <w:rFonts w:ascii="Times New Roman" w:hAnsi="Times New Roman"/>
        </w:rPr>
        <w:t>pove</w:t>
      </w:r>
      <w:r w:rsidRPr="00155F80">
        <w:rPr>
          <w:rFonts w:ascii="Times New Roman" w:hAnsi="Times New Roman"/>
          <w:lang w:val="hr-HR"/>
        </w:rPr>
        <w:t>ć</w:t>
      </w:r>
      <w:r w:rsidRPr="00155F80">
        <w:rPr>
          <w:rFonts w:ascii="Times New Roman" w:hAnsi="Times New Roman"/>
        </w:rPr>
        <w:t>ava</w:t>
      </w:r>
      <w:r w:rsidRPr="00155F80">
        <w:rPr>
          <w:rFonts w:ascii="Times New Roman" w:hAnsi="Times New Roman"/>
          <w:lang w:val="hr-HR"/>
        </w:rPr>
        <w:t xml:space="preserve"> </w:t>
      </w:r>
      <w:r w:rsidRPr="00155F80">
        <w:rPr>
          <w:rFonts w:ascii="Times New Roman" w:hAnsi="Times New Roman"/>
        </w:rPr>
        <w:t>rizik</w:t>
      </w:r>
      <w:r w:rsidRPr="00155F80">
        <w:rPr>
          <w:rFonts w:ascii="Times New Roman" w:hAnsi="Times New Roman"/>
          <w:lang w:val="hr-HR"/>
        </w:rPr>
        <w:t xml:space="preserve"> </w:t>
      </w:r>
      <w:r w:rsidRPr="00155F80">
        <w:rPr>
          <w:rFonts w:ascii="Times New Roman" w:hAnsi="Times New Roman"/>
        </w:rPr>
        <w:t>od</w:t>
      </w:r>
      <w:r w:rsidRPr="00155F80">
        <w:rPr>
          <w:rFonts w:ascii="Times New Roman" w:hAnsi="Times New Roman"/>
          <w:lang w:val="hr-HR"/>
        </w:rPr>
        <w:t xml:space="preserve"> š</w:t>
      </w:r>
      <w:r w:rsidRPr="00155F80">
        <w:rPr>
          <w:rFonts w:ascii="Times New Roman" w:hAnsi="Times New Roman"/>
        </w:rPr>
        <w:t>irenja</w:t>
      </w:r>
      <w:r w:rsidRPr="00155F80">
        <w:rPr>
          <w:rFonts w:ascii="Times New Roman" w:hAnsi="Times New Roman"/>
          <w:lang w:val="hr-HR"/>
        </w:rPr>
        <w:t xml:space="preserve"> </w:t>
      </w:r>
      <w:r w:rsidRPr="00155F80">
        <w:rPr>
          <w:rFonts w:ascii="Times New Roman" w:hAnsi="Times New Roman"/>
        </w:rPr>
        <w:t>infektivnih</w:t>
      </w:r>
      <w:r w:rsidRPr="00155F80">
        <w:rPr>
          <w:rFonts w:ascii="Times New Roman" w:hAnsi="Times New Roman"/>
          <w:lang w:val="hr-HR"/>
        </w:rPr>
        <w:t xml:space="preserve"> </w:t>
      </w:r>
      <w:r w:rsidRPr="00155F80">
        <w:rPr>
          <w:rFonts w:ascii="Times New Roman" w:hAnsi="Times New Roman"/>
        </w:rPr>
        <w:t>bolesti</w:t>
      </w:r>
      <w:r w:rsidRPr="00155F80">
        <w:rPr>
          <w:rFonts w:ascii="Times New Roman" w:hAnsi="Times New Roman"/>
          <w:lang w:val="hr-HR"/>
        </w:rPr>
        <w:t xml:space="preserve">. </w:t>
      </w:r>
      <w:r w:rsidRPr="00155F80">
        <w:rPr>
          <w:rFonts w:ascii="Times New Roman" w:hAnsi="Times New Roman"/>
        </w:rPr>
        <w:t>Na</w:t>
      </w:r>
      <w:r w:rsidRPr="00155F80">
        <w:rPr>
          <w:rFonts w:ascii="Times New Roman" w:hAnsi="Times New Roman"/>
          <w:lang w:val="hr-HR"/>
        </w:rPr>
        <w:t xml:space="preserve"> </w:t>
      </w:r>
      <w:r w:rsidRPr="00155F80">
        <w:rPr>
          <w:rFonts w:ascii="Times New Roman" w:hAnsi="Times New Roman"/>
        </w:rPr>
        <w:t>ve</w:t>
      </w:r>
      <w:r w:rsidRPr="00155F80">
        <w:rPr>
          <w:rFonts w:ascii="Times New Roman" w:hAnsi="Times New Roman"/>
          <w:lang w:val="hr-HR"/>
        </w:rPr>
        <w:t>ć</w:t>
      </w:r>
      <w:r w:rsidRPr="00155F80">
        <w:rPr>
          <w:rFonts w:ascii="Times New Roman" w:hAnsi="Times New Roman"/>
        </w:rPr>
        <w:t>ini</w:t>
      </w:r>
      <w:r w:rsidRPr="00155F80">
        <w:rPr>
          <w:rFonts w:ascii="Times New Roman" w:hAnsi="Times New Roman"/>
          <w:lang w:val="hr-HR"/>
        </w:rPr>
        <w:t xml:space="preserve"> </w:t>
      </w:r>
      <w:r w:rsidRPr="00155F80">
        <w:rPr>
          <w:rFonts w:ascii="Times New Roman" w:hAnsi="Times New Roman"/>
        </w:rPr>
        <w:t>ovih</w:t>
      </w:r>
      <w:r w:rsidRPr="00155F80">
        <w:rPr>
          <w:rFonts w:ascii="Times New Roman" w:hAnsi="Times New Roman"/>
          <w:lang w:val="hr-HR"/>
        </w:rPr>
        <w:t xml:space="preserve"> </w:t>
      </w:r>
      <w:r w:rsidR="002D27DE">
        <w:rPr>
          <w:rFonts w:ascii="Times New Roman" w:hAnsi="Times New Roman"/>
        </w:rPr>
        <w:t>deponija</w:t>
      </w:r>
      <w:r w:rsidRPr="00155F80">
        <w:rPr>
          <w:rFonts w:ascii="Times New Roman" w:hAnsi="Times New Roman"/>
          <w:lang w:val="hr-HR"/>
        </w:rPr>
        <w:t xml:space="preserve"> </w:t>
      </w:r>
      <w:r w:rsidRPr="00155F80">
        <w:rPr>
          <w:rFonts w:ascii="Times New Roman" w:hAnsi="Times New Roman"/>
        </w:rPr>
        <w:t>odla</w:t>
      </w:r>
      <w:r w:rsidRPr="00155F80">
        <w:rPr>
          <w:rFonts w:ascii="Times New Roman" w:hAnsi="Times New Roman"/>
          <w:lang w:val="hr-HR"/>
        </w:rPr>
        <w:t>ž</w:t>
      </w:r>
      <w:r w:rsidRPr="00155F80">
        <w:rPr>
          <w:rFonts w:ascii="Times New Roman" w:hAnsi="Times New Roman"/>
        </w:rPr>
        <w:t>u</w:t>
      </w:r>
      <w:r w:rsidRPr="00155F80">
        <w:rPr>
          <w:rFonts w:ascii="Times New Roman" w:hAnsi="Times New Roman"/>
          <w:lang w:val="hr-HR"/>
        </w:rPr>
        <w:t xml:space="preserve"> </w:t>
      </w:r>
      <w:r w:rsidRPr="00155F80">
        <w:rPr>
          <w:rFonts w:ascii="Times New Roman" w:hAnsi="Times New Roman"/>
        </w:rPr>
        <w:t>se</w:t>
      </w:r>
      <w:r w:rsidRPr="00155F80">
        <w:rPr>
          <w:rFonts w:ascii="Times New Roman" w:hAnsi="Times New Roman"/>
          <w:lang w:val="hr-HR"/>
        </w:rPr>
        <w:t xml:space="preserve"> </w:t>
      </w:r>
      <w:r w:rsidRPr="00155F80">
        <w:rPr>
          <w:rFonts w:ascii="Times New Roman" w:hAnsi="Times New Roman"/>
        </w:rPr>
        <w:t>sve</w:t>
      </w:r>
      <w:r w:rsidRPr="00155F80">
        <w:rPr>
          <w:rFonts w:ascii="Times New Roman" w:hAnsi="Times New Roman"/>
          <w:lang w:val="hr-HR"/>
        </w:rPr>
        <w:t xml:space="preserve"> </w:t>
      </w:r>
      <w:r w:rsidRPr="00155F80">
        <w:rPr>
          <w:rFonts w:ascii="Times New Roman" w:hAnsi="Times New Roman"/>
        </w:rPr>
        <w:t>vrste</w:t>
      </w:r>
      <w:r w:rsidRPr="00155F80">
        <w:rPr>
          <w:rFonts w:ascii="Times New Roman" w:hAnsi="Times New Roman"/>
          <w:lang w:val="hr-HR"/>
        </w:rPr>
        <w:t xml:space="preserve"> </w:t>
      </w:r>
      <w:r w:rsidRPr="00155F80">
        <w:rPr>
          <w:rFonts w:ascii="Times New Roman" w:hAnsi="Times New Roman"/>
        </w:rPr>
        <w:t>otpada</w:t>
      </w:r>
      <w:r w:rsidRPr="00155F80">
        <w:rPr>
          <w:rFonts w:ascii="Times New Roman" w:hAnsi="Times New Roman"/>
          <w:lang w:val="hr-HR"/>
        </w:rPr>
        <w:t xml:space="preserve">, </w:t>
      </w:r>
      <w:r w:rsidRPr="00155F80">
        <w:rPr>
          <w:rFonts w:ascii="Times New Roman" w:hAnsi="Times New Roman"/>
        </w:rPr>
        <w:t>od</w:t>
      </w:r>
      <w:r w:rsidRPr="00155F80">
        <w:rPr>
          <w:rFonts w:ascii="Times New Roman" w:hAnsi="Times New Roman"/>
          <w:lang w:val="hr-HR"/>
        </w:rPr>
        <w:t xml:space="preserve"> </w:t>
      </w:r>
      <w:r w:rsidRPr="00155F80">
        <w:rPr>
          <w:rFonts w:ascii="Times New Roman" w:hAnsi="Times New Roman"/>
        </w:rPr>
        <w:t>industrijskog</w:t>
      </w:r>
      <w:r w:rsidRPr="00155F80">
        <w:rPr>
          <w:rFonts w:ascii="Times New Roman" w:hAnsi="Times New Roman"/>
          <w:lang w:val="hr-HR"/>
        </w:rPr>
        <w:t xml:space="preserve"> </w:t>
      </w:r>
      <w:r w:rsidRPr="00155F80">
        <w:rPr>
          <w:rFonts w:ascii="Times New Roman" w:hAnsi="Times New Roman"/>
        </w:rPr>
        <w:t>do</w:t>
      </w:r>
      <w:r w:rsidRPr="00155F80">
        <w:rPr>
          <w:rFonts w:ascii="Times New Roman" w:hAnsi="Times New Roman"/>
          <w:lang w:val="hr-HR"/>
        </w:rPr>
        <w:t xml:space="preserve"> </w:t>
      </w:r>
      <w:r w:rsidRPr="00155F80">
        <w:rPr>
          <w:rFonts w:ascii="Times New Roman" w:hAnsi="Times New Roman"/>
        </w:rPr>
        <w:t>medicinskog</w:t>
      </w:r>
      <w:r w:rsidRPr="00155F80">
        <w:rPr>
          <w:rFonts w:ascii="Times New Roman" w:hAnsi="Times New Roman"/>
          <w:lang w:val="hr-HR"/>
        </w:rPr>
        <w:t xml:space="preserve">. </w:t>
      </w:r>
      <w:r w:rsidRPr="00155F80">
        <w:rPr>
          <w:rFonts w:ascii="Times New Roman" w:hAnsi="Times New Roman"/>
        </w:rPr>
        <w:t>Otpad</w:t>
      </w:r>
      <w:r w:rsidRPr="00155F80">
        <w:rPr>
          <w:rFonts w:ascii="Times New Roman" w:hAnsi="Times New Roman"/>
          <w:lang w:val="hr-HR"/>
        </w:rPr>
        <w:t xml:space="preserve"> ž</w:t>
      </w:r>
      <w:r w:rsidRPr="00155F80">
        <w:rPr>
          <w:rFonts w:ascii="Times New Roman" w:hAnsi="Times New Roman"/>
        </w:rPr>
        <w:t>ivotinjskog</w:t>
      </w:r>
      <w:r w:rsidRPr="00155F80">
        <w:rPr>
          <w:rFonts w:ascii="Times New Roman" w:hAnsi="Times New Roman"/>
          <w:lang w:val="hr-HR"/>
        </w:rPr>
        <w:t xml:space="preserve"> </w:t>
      </w:r>
      <w:r w:rsidRPr="00155F80">
        <w:rPr>
          <w:rFonts w:ascii="Times New Roman" w:hAnsi="Times New Roman"/>
        </w:rPr>
        <w:t>po</w:t>
      </w:r>
      <w:r w:rsidR="002D27DE">
        <w:rPr>
          <w:rFonts w:ascii="Times New Roman" w:hAnsi="Times New Roman"/>
        </w:rPr>
        <w:t>d</w:t>
      </w:r>
      <w:r w:rsidRPr="00155F80">
        <w:rPr>
          <w:rFonts w:ascii="Times New Roman" w:hAnsi="Times New Roman"/>
        </w:rPr>
        <w:t>rije</w:t>
      </w:r>
      <w:r w:rsidR="002D27DE">
        <w:rPr>
          <w:rFonts w:ascii="Times New Roman" w:hAnsi="Times New Roman"/>
        </w:rPr>
        <w:t>t</w:t>
      </w:r>
      <w:r w:rsidRPr="00155F80">
        <w:rPr>
          <w:rFonts w:ascii="Times New Roman" w:hAnsi="Times New Roman"/>
        </w:rPr>
        <w:t>la</w:t>
      </w:r>
      <w:r w:rsidRPr="00155F80">
        <w:rPr>
          <w:rFonts w:ascii="Times New Roman" w:hAnsi="Times New Roman"/>
          <w:lang w:val="hr-HR"/>
        </w:rPr>
        <w:t xml:space="preserve"> (</w:t>
      </w:r>
      <w:r w:rsidRPr="00155F80">
        <w:rPr>
          <w:rFonts w:ascii="Times New Roman" w:hAnsi="Times New Roman"/>
        </w:rPr>
        <w:t>uginule</w:t>
      </w:r>
      <w:r w:rsidRPr="00155F80">
        <w:rPr>
          <w:rFonts w:ascii="Times New Roman" w:hAnsi="Times New Roman"/>
          <w:lang w:val="hr-HR"/>
        </w:rPr>
        <w:t xml:space="preserve"> ž</w:t>
      </w:r>
      <w:r w:rsidRPr="00155F80">
        <w:rPr>
          <w:rFonts w:ascii="Times New Roman" w:hAnsi="Times New Roman"/>
        </w:rPr>
        <w:t>ivotinje</w:t>
      </w:r>
      <w:r w:rsidRPr="00155F80">
        <w:rPr>
          <w:rFonts w:ascii="Times New Roman" w:hAnsi="Times New Roman"/>
          <w:lang w:val="hr-HR"/>
        </w:rPr>
        <w:t xml:space="preserve">) </w:t>
      </w:r>
      <w:r w:rsidRPr="00155F80">
        <w:rPr>
          <w:rFonts w:ascii="Times New Roman" w:hAnsi="Times New Roman"/>
        </w:rPr>
        <w:t>trenutno</w:t>
      </w:r>
      <w:r w:rsidRPr="00155F80">
        <w:rPr>
          <w:rFonts w:ascii="Times New Roman" w:hAnsi="Times New Roman"/>
          <w:lang w:val="hr-HR"/>
        </w:rPr>
        <w:t xml:space="preserve"> </w:t>
      </w:r>
      <w:r w:rsidRPr="00155F80">
        <w:rPr>
          <w:rFonts w:ascii="Times New Roman" w:hAnsi="Times New Roman"/>
        </w:rPr>
        <w:t>preuzimaju</w:t>
      </w:r>
      <w:r w:rsidRPr="00155F80">
        <w:rPr>
          <w:rFonts w:ascii="Times New Roman" w:hAnsi="Times New Roman"/>
          <w:lang w:val="hr-HR"/>
        </w:rPr>
        <w:t xml:space="preserve"> </w:t>
      </w:r>
      <w:r w:rsidRPr="00155F80">
        <w:rPr>
          <w:rFonts w:ascii="Times New Roman" w:hAnsi="Times New Roman"/>
        </w:rPr>
        <w:t>komunalna</w:t>
      </w:r>
      <w:r w:rsidRPr="00155F80">
        <w:rPr>
          <w:rFonts w:ascii="Times New Roman" w:hAnsi="Times New Roman"/>
          <w:lang w:val="hr-HR"/>
        </w:rPr>
        <w:t xml:space="preserve"> </w:t>
      </w:r>
      <w:r w:rsidRPr="00155F80">
        <w:rPr>
          <w:rFonts w:ascii="Times New Roman" w:hAnsi="Times New Roman"/>
        </w:rPr>
        <w:t>poduze</w:t>
      </w:r>
      <w:r w:rsidRPr="00155F80">
        <w:rPr>
          <w:rFonts w:ascii="Times New Roman" w:hAnsi="Times New Roman"/>
          <w:lang w:val="hr-HR"/>
        </w:rPr>
        <w:t>ć</w:t>
      </w:r>
      <w:r w:rsidRPr="00155F80">
        <w:rPr>
          <w:rFonts w:ascii="Times New Roman" w:hAnsi="Times New Roman"/>
        </w:rPr>
        <w:t>a</w:t>
      </w:r>
      <w:r w:rsidRPr="00155F80">
        <w:rPr>
          <w:rFonts w:ascii="Times New Roman" w:hAnsi="Times New Roman"/>
          <w:lang w:val="hr-HR"/>
        </w:rPr>
        <w:t xml:space="preserve">. </w:t>
      </w:r>
      <w:r w:rsidRPr="00155F80">
        <w:rPr>
          <w:rFonts w:ascii="Times New Roman" w:hAnsi="Times New Roman"/>
        </w:rPr>
        <w:t>Postupanje</w:t>
      </w:r>
      <w:r w:rsidRPr="00155F80">
        <w:rPr>
          <w:rFonts w:ascii="Times New Roman" w:hAnsi="Times New Roman"/>
          <w:lang w:val="hr-HR"/>
        </w:rPr>
        <w:t xml:space="preserve"> </w:t>
      </w:r>
      <w:r w:rsidRPr="00155F80">
        <w:rPr>
          <w:rFonts w:ascii="Times New Roman" w:hAnsi="Times New Roman"/>
        </w:rPr>
        <w:t>sa</w:t>
      </w:r>
      <w:r w:rsidRPr="00155F80">
        <w:rPr>
          <w:rFonts w:ascii="Times New Roman" w:hAnsi="Times New Roman"/>
          <w:lang w:val="hr-HR"/>
        </w:rPr>
        <w:t xml:space="preserve"> </w:t>
      </w:r>
      <w:r w:rsidRPr="00155F80">
        <w:rPr>
          <w:rFonts w:ascii="Times New Roman" w:hAnsi="Times New Roman"/>
        </w:rPr>
        <w:t>otpadom</w:t>
      </w:r>
      <w:r w:rsidRPr="00155F80">
        <w:rPr>
          <w:rFonts w:ascii="Times New Roman" w:hAnsi="Times New Roman"/>
          <w:lang w:val="hr-HR"/>
        </w:rPr>
        <w:t xml:space="preserve"> ž</w:t>
      </w:r>
      <w:r w:rsidRPr="00155F80">
        <w:rPr>
          <w:rFonts w:ascii="Times New Roman" w:hAnsi="Times New Roman"/>
        </w:rPr>
        <w:t>ivotinjskog</w:t>
      </w:r>
      <w:r w:rsidRPr="00155F80">
        <w:rPr>
          <w:rFonts w:ascii="Times New Roman" w:hAnsi="Times New Roman"/>
          <w:lang w:val="hr-HR"/>
        </w:rPr>
        <w:t xml:space="preserve"> </w:t>
      </w:r>
      <w:r w:rsidRPr="00155F80">
        <w:rPr>
          <w:rFonts w:ascii="Times New Roman" w:hAnsi="Times New Roman"/>
        </w:rPr>
        <w:t>po</w:t>
      </w:r>
      <w:r w:rsidR="002D27DE">
        <w:rPr>
          <w:rFonts w:ascii="Times New Roman" w:hAnsi="Times New Roman"/>
        </w:rPr>
        <w:t>d</w:t>
      </w:r>
      <w:r w:rsidRPr="00155F80">
        <w:rPr>
          <w:rFonts w:ascii="Times New Roman" w:hAnsi="Times New Roman"/>
        </w:rPr>
        <w:t>rije</w:t>
      </w:r>
      <w:r w:rsidR="002D27DE">
        <w:rPr>
          <w:rFonts w:ascii="Times New Roman" w:hAnsi="Times New Roman"/>
        </w:rPr>
        <w:t>t</w:t>
      </w:r>
      <w:r w:rsidRPr="00155F80">
        <w:rPr>
          <w:rFonts w:ascii="Times New Roman" w:hAnsi="Times New Roman"/>
        </w:rPr>
        <w:t>la</w:t>
      </w:r>
      <w:r w:rsidRPr="00155F80">
        <w:rPr>
          <w:rFonts w:ascii="Times New Roman" w:hAnsi="Times New Roman"/>
          <w:lang w:val="hr-HR"/>
        </w:rPr>
        <w:t xml:space="preserve"> </w:t>
      </w:r>
      <w:r w:rsidRPr="00155F80">
        <w:rPr>
          <w:rFonts w:ascii="Times New Roman" w:hAnsi="Times New Roman"/>
        </w:rPr>
        <w:t>nije</w:t>
      </w:r>
      <w:r w:rsidRPr="00155F80">
        <w:rPr>
          <w:rFonts w:ascii="Times New Roman" w:hAnsi="Times New Roman"/>
          <w:lang w:val="hr-HR"/>
        </w:rPr>
        <w:t xml:space="preserve"> </w:t>
      </w:r>
      <w:r w:rsidRPr="00155F80">
        <w:rPr>
          <w:rFonts w:ascii="Times New Roman" w:hAnsi="Times New Roman"/>
        </w:rPr>
        <w:t>s</w:t>
      </w:r>
      <w:r w:rsidR="002D27DE">
        <w:rPr>
          <w:rFonts w:ascii="Times New Roman" w:hAnsi="Times New Roman"/>
        </w:rPr>
        <w:t>u</w:t>
      </w:r>
      <w:r w:rsidRPr="00155F80">
        <w:rPr>
          <w:rFonts w:ascii="Times New Roman" w:hAnsi="Times New Roman"/>
        </w:rPr>
        <w:t>klad</w:t>
      </w:r>
      <w:r w:rsidR="002D27DE">
        <w:rPr>
          <w:rFonts w:ascii="Times New Roman" w:hAnsi="Times New Roman"/>
        </w:rPr>
        <w:t>no</w:t>
      </w:r>
      <w:r w:rsidRPr="00155F80">
        <w:rPr>
          <w:rFonts w:ascii="Times New Roman" w:hAnsi="Times New Roman"/>
          <w:lang w:val="hr-HR"/>
        </w:rPr>
        <w:t xml:space="preserve"> </w:t>
      </w:r>
      <w:r w:rsidRPr="00155F80">
        <w:rPr>
          <w:rFonts w:ascii="Times New Roman" w:hAnsi="Times New Roman"/>
        </w:rPr>
        <w:t>va</w:t>
      </w:r>
      <w:r w:rsidRPr="00155F80">
        <w:rPr>
          <w:rFonts w:ascii="Times New Roman" w:hAnsi="Times New Roman"/>
          <w:lang w:val="hr-HR"/>
        </w:rPr>
        <w:t>ž</w:t>
      </w:r>
      <w:r w:rsidRPr="00155F80">
        <w:rPr>
          <w:rFonts w:ascii="Times New Roman" w:hAnsi="Times New Roman"/>
        </w:rPr>
        <w:t>e</w:t>
      </w:r>
      <w:r w:rsidRPr="00155F80">
        <w:rPr>
          <w:rFonts w:ascii="Times New Roman" w:hAnsi="Times New Roman"/>
          <w:lang w:val="hr-HR"/>
        </w:rPr>
        <w:t>ć</w:t>
      </w:r>
      <w:r w:rsidRPr="00155F80">
        <w:rPr>
          <w:rFonts w:ascii="Times New Roman" w:hAnsi="Times New Roman"/>
        </w:rPr>
        <w:t>im</w:t>
      </w:r>
      <w:r w:rsidRPr="00155F80">
        <w:rPr>
          <w:rFonts w:ascii="Times New Roman" w:hAnsi="Times New Roman"/>
          <w:lang w:val="hr-HR"/>
        </w:rPr>
        <w:t xml:space="preserve"> </w:t>
      </w:r>
      <w:r w:rsidRPr="00155F80">
        <w:rPr>
          <w:rFonts w:ascii="Times New Roman" w:hAnsi="Times New Roman"/>
        </w:rPr>
        <w:t>propisima</w:t>
      </w:r>
      <w:r w:rsidRPr="00155F80">
        <w:rPr>
          <w:rFonts w:ascii="Times New Roman" w:hAnsi="Times New Roman"/>
          <w:lang w:val="hr-HR"/>
        </w:rPr>
        <w:t xml:space="preserve"> </w:t>
      </w:r>
      <w:r w:rsidRPr="00155F80">
        <w:rPr>
          <w:rFonts w:ascii="Times New Roman" w:hAnsi="Times New Roman"/>
        </w:rPr>
        <w:t>i</w:t>
      </w:r>
      <w:r w:rsidRPr="00155F80">
        <w:rPr>
          <w:rFonts w:ascii="Times New Roman" w:hAnsi="Times New Roman"/>
          <w:lang w:val="hr-HR"/>
        </w:rPr>
        <w:t xml:space="preserve"> </w:t>
      </w:r>
      <w:r w:rsidRPr="00155F80">
        <w:rPr>
          <w:rFonts w:ascii="Times New Roman" w:hAnsi="Times New Roman"/>
        </w:rPr>
        <w:t>standardima</w:t>
      </w:r>
      <w:r w:rsidRPr="00155F80">
        <w:rPr>
          <w:rFonts w:ascii="Times New Roman" w:hAnsi="Times New Roman"/>
          <w:lang w:val="hr-HR"/>
        </w:rPr>
        <w:t xml:space="preserve"> </w:t>
      </w:r>
      <w:r w:rsidRPr="00155F80">
        <w:rPr>
          <w:rFonts w:ascii="Times New Roman" w:hAnsi="Times New Roman"/>
        </w:rPr>
        <w:t>EU</w:t>
      </w:r>
      <w:r w:rsidR="00AA0D77" w:rsidRPr="00155F80">
        <w:rPr>
          <w:rFonts w:ascii="Times New Roman" w:hAnsi="Times New Roman"/>
          <w:lang w:val="hr-HR"/>
        </w:rPr>
        <w:t>.</w:t>
      </w:r>
    </w:p>
    <w:p w:rsidR="00A131AD" w:rsidRPr="00155F80" w:rsidRDefault="00A131AD" w:rsidP="000C0138">
      <w:pPr>
        <w:spacing w:line="276" w:lineRule="auto"/>
        <w:rPr>
          <w:rFonts w:ascii="Times New Roman" w:hAnsi="Times New Roman"/>
          <w:lang w:val="hr-HR"/>
        </w:rPr>
      </w:pPr>
      <w:r w:rsidRPr="00155F80">
        <w:rPr>
          <w:rFonts w:ascii="Times New Roman" w:hAnsi="Times New Roman"/>
        </w:rPr>
        <w:t>Rezultati</w:t>
      </w:r>
      <w:r w:rsidRPr="00155F80">
        <w:rPr>
          <w:rFonts w:ascii="Times New Roman" w:hAnsi="Times New Roman"/>
          <w:lang w:val="hr-HR"/>
        </w:rPr>
        <w:t xml:space="preserve"> „</w:t>
      </w:r>
      <w:r w:rsidRPr="00155F80">
        <w:rPr>
          <w:rFonts w:ascii="Times New Roman" w:hAnsi="Times New Roman"/>
        </w:rPr>
        <w:t>Istra</w:t>
      </w:r>
      <w:r w:rsidRPr="00155F80">
        <w:rPr>
          <w:rFonts w:ascii="Times New Roman" w:hAnsi="Times New Roman"/>
          <w:lang w:val="hr-HR"/>
        </w:rPr>
        <w:t>ž</w:t>
      </w:r>
      <w:r w:rsidRPr="00155F80">
        <w:rPr>
          <w:rFonts w:ascii="Times New Roman" w:hAnsi="Times New Roman"/>
        </w:rPr>
        <w:t>ivanja</w:t>
      </w:r>
      <w:r w:rsidRPr="00155F80">
        <w:rPr>
          <w:rFonts w:ascii="Times New Roman" w:hAnsi="Times New Roman"/>
          <w:lang w:val="hr-HR"/>
        </w:rPr>
        <w:t xml:space="preserve"> </w:t>
      </w:r>
      <w:r w:rsidRPr="00155F80">
        <w:rPr>
          <w:rFonts w:ascii="Times New Roman" w:hAnsi="Times New Roman"/>
        </w:rPr>
        <w:t>metoda</w:t>
      </w:r>
      <w:r w:rsidRPr="00155F80">
        <w:rPr>
          <w:rFonts w:ascii="Times New Roman" w:hAnsi="Times New Roman"/>
          <w:lang w:val="hr-HR"/>
        </w:rPr>
        <w:t xml:space="preserve"> </w:t>
      </w:r>
      <w:r w:rsidRPr="00155F80">
        <w:rPr>
          <w:rFonts w:ascii="Times New Roman" w:hAnsi="Times New Roman"/>
        </w:rPr>
        <w:t>uklanjanja</w:t>
      </w:r>
      <w:r w:rsidRPr="00155F80">
        <w:rPr>
          <w:rFonts w:ascii="Times New Roman" w:hAnsi="Times New Roman"/>
          <w:lang w:val="hr-HR"/>
        </w:rPr>
        <w:t xml:space="preserve"> </w:t>
      </w:r>
      <w:r w:rsidRPr="00155F80">
        <w:rPr>
          <w:rFonts w:ascii="Times New Roman" w:hAnsi="Times New Roman"/>
        </w:rPr>
        <w:t>opasnog</w:t>
      </w:r>
      <w:r w:rsidRPr="00155F80">
        <w:rPr>
          <w:rFonts w:ascii="Times New Roman" w:hAnsi="Times New Roman"/>
          <w:lang w:val="hr-HR"/>
        </w:rPr>
        <w:t xml:space="preserve"> </w:t>
      </w:r>
      <w:r w:rsidRPr="00155F80">
        <w:rPr>
          <w:rFonts w:ascii="Times New Roman" w:hAnsi="Times New Roman"/>
        </w:rPr>
        <w:t>medicinskog</w:t>
      </w:r>
      <w:r w:rsidRPr="00155F80">
        <w:rPr>
          <w:rFonts w:ascii="Times New Roman" w:hAnsi="Times New Roman"/>
          <w:lang w:val="hr-HR"/>
        </w:rPr>
        <w:t xml:space="preserve"> </w:t>
      </w:r>
      <w:r w:rsidRPr="00155F80">
        <w:rPr>
          <w:rFonts w:ascii="Times New Roman" w:hAnsi="Times New Roman"/>
        </w:rPr>
        <w:t>otpada</w:t>
      </w:r>
      <w:r w:rsidRPr="00155F80">
        <w:rPr>
          <w:rFonts w:ascii="Times New Roman" w:hAnsi="Times New Roman"/>
          <w:lang w:val="hr-HR"/>
        </w:rPr>
        <w:t xml:space="preserve"> </w:t>
      </w:r>
      <w:r w:rsidRPr="00155F80">
        <w:rPr>
          <w:rFonts w:ascii="Times New Roman" w:hAnsi="Times New Roman"/>
        </w:rPr>
        <w:t>u</w:t>
      </w:r>
      <w:r w:rsidRPr="00155F80">
        <w:rPr>
          <w:rFonts w:ascii="Times New Roman" w:hAnsi="Times New Roman"/>
          <w:lang w:val="hr-HR"/>
        </w:rPr>
        <w:t xml:space="preserve"> </w:t>
      </w:r>
      <w:r w:rsidRPr="00155F80">
        <w:rPr>
          <w:rFonts w:ascii="Times New Roman" w:hAnsi="Times New Roman"/>
        </w:rPr>
        <w:t>zdravstvenim</w:t>
      </w:r>
      <w:r w:rsidRPr="00155F80">
        <w:rPr>
          <w:rFonts w:ascii="Times New Roman" w:hAnsi="Times New Roman"/>
          <w:lang w:val="hr-HR"/>
        </w:rPr>
        <w:t xml:space="preserve"> </w:t>
      </w:r>
      <w:r w:rsidRPr="00155F80">
        <w:rPr>
          <w:rFonts w:ascii="Times New Roman" w:hAnsi="Times New Roman"/>
        </w:rPr>
        <w:t>ustanovama</w:t>
      </w:r>
      <w:r w:rsidRPr="00155F80">
        <w:rPr>
          <w:rFonts w:ascii="Times New Roman" w:hAnsi="Times New Roman"/>
          <w:lang w:val="hr-HR"/>
        </w:rPr>
        <w:t xml:space="preserve">“ </w:t>
      </w:r>
      <w:r w:rsidRPr="00155F80">
        <w:rPr>
          <w:rFonts w:ascii="Times New Roman" w:hAnsi="Times New Roman"/>
        </w:rPr>
        <w:t>koje</w:t>
      </w:r>
      <w:r w:rsidRPr="00155F80">
        <w:rPr>
          <w:rFonts w:ascii="Times New Roman" w:hAnsi="Times New Roman"/>
          <w:lang w:val="hr-HR"/>
        </w:rPr>
        <w:t xml:space="preserve"> </w:t>
      </w:r>
      <w:r w:rsidRPr="00155F80">
        <w:rPr>
          <w:rFonts w:ascii="Times New Roman" w:hAnsi="Times New Roman"/>
        </w:rPr>
        <w:t>je</w:t>
      </w:r>
      <w:r w:rsidRPr="00155F80">
        <w:rPr>
          <w:rFonts w:ascii="Times New Roman" w:hAnsi="Times New Roman"/>
          <w:lang w:val="hr-HR"/>
        </w:rPr>
        <w:t xml:space="preserve"> </w:t>
      </w:r>
      <w:r w:rsidRPr="00155F80">
        <w:rPr>
          <w:rFonts w:ascii="Times New Roman" w:hAnsi="Times New Roman"/>
        </w:rPr>
        <w:t>provedeno</w:t>
      </w:r>
      <w:r w:rsidRPr="00155F80">
        <w:rPr>
          <w:rFonts w:ascii="Times New Roman" w:hAnsi="Times New Roman"/>
          <w:lang w:val="hr-HR"/>
        </w:rPr>
        <w:t xml:space="preserve"> </w:t>
      </w:r>
      <w:r w:rsidRPr="00155F80">
        <w:rPr>
          <w:rFonts w:ascii="Times New Roman" w:hAnsi="Times New Roman"/>
        </w:rPr>
        <w:t>na</w:t>
      </w:r>
      <w:r w:rsidRPr="00155F80">
        <w:rPr>
          <w:rFonts w:ascii="Times New Roman" w:hAnsi="Times New Roman"/>
          <w:lang w:val="hr-HR"/>
        </w:rPr>
        <w:t xml:space="preserve"> </w:t>
      </w:r>
      <w:r w:rsidRPr="00155F80">
        <w:rPr>
          <w:rFonts w:ascii="Times New Roman" w:hAnsi="Times New Roman"/>
        </w:rPr>
        <w:t>podru</w:t>
      </w:r>
      <w:r w:rsidRPr="00155F80">
        <w:rPr>
          <w:rFonts w:ascii="Times New Roman" w:hAnsi="Times New Roman"/>
          <w:lang w:val="hr-HR"/>
        </w:rPr>
        <w:t>č</w:t>
      </w:r>
      <w:r w:rsidRPr="00155F80">
        <w:rPr>
          <w:rFonts w:ascii="Times New Roman" w:hAnsi="Times New Roman"/>
        </w:rPr>
        <w:t>ju</w:t>
      </w:r>
      <w:r w:rsidRPr="00155F80">
        <w:rPr>
          <w:rFonts w:ascii="Times New Roman" w:hAnsi="Times New Roman"/>
          <w:lang w:val="hr-HR"/>
        </w:rPr>
        <w:t xml:space="preserve"> </w:t>
      </w:r>
      <w:r w:rsidRPr="00155F80">
        <w:rPr>
          <w:rFonts w:ascii="Times New Roman" w:hAnsi="Times New Roman"/>
        </w:rPr>
        <w:t>FBiH</w:t>
      </w:r>
      <w:r w:rsidRPr="00155F80">
        <w:rPr>
          <w:rFonts w:ascii="Times New Roman" w:hAnsi="Times New Roman"/>
          <w:lang w:val="hr-HR"/>
        </w:rPr>
        <w:t xml:space="preserve"> 2011/2012., </w:t>
      </w:r>
      <w:r w:rsidRPr="00155F80">
        <w:rPr>
          <w:rFonts w:ascii="Times New Roman" w:hAnsi="Times New Roman"/>
        </w:rPr>
        <w:t>pokazali</w:t>
      </w:r>
      <w:r w:rsidRPr="00155F80">
        <w:rPr>
          <w:rFonts w:ascii="Times New Roman" w:hAnsi="Times New Roman"/>
          <w:lang w:val="hr-HR"/>
        </w:rPr>
        <w:t xml:space="preserve"> </w:t>
      </w:r>
      <w:r w:rsidRPr="00155F80">
        <w:rPr>
          <w:rFonts w:ascii="Times New Roman" w:hAnsi="Times New Roman"/>
        </w:rPr>
        <w:t>su</w:t>
      </w:r>
      <w:r w:rsidRPr="00155F80">
        <w:rPr>
          <w:rFonts w:ascii="Times New Roman" w:hAnsi="Times New Roman"/>
          <w:lang w:val="hr-HR"/>
        </w:rPr>
        <w:t xml:space="preserve"> </w:t>
      </w:r>
      <w:r w:rsidRPr="00155F80">
        <w:rPr>
          <w:rFonts w:ascii="Times New Roman" w:hAnsi="Times New Roman"/>
        </w:rPr>
        <w:t>da</w:t>
      </w:r>
      <w:r w:rsidRPr="00155F80">
        <w:rPr>
          <w:rFonts w:ascii="Times New Roman" w:hAnsi="Times New Roman"/>
          <w:lang w:val="hr-HR"/>
        </w:rPr>
        <w:t xml:space="preserve"> 55% </w:t>
      </w:r>
      <w:r w:rsidRPr="00155F80">
        <w:rPr>
          <w:rFonts w:ascii="Times New Roman" w:hAnsi="Times New Roman"/>
        </w:rPr>
        <w:t>potencijalno</w:t>
      </w:r>
      <w:r w:rsidRPr="00155F80">
        <w:rPr>
          <w:rFonts w:ascii="Times New Roman" w:hAnsi="Times New Roman"/>
          <w:lang w:val="hr-HR"/>
        </w:rPr>
        <w:t xml:space="preserve"> </w:t>
      </w:r>
      <w:r w:rsidRPr="00155F80">
        <w:rPr>
          <w:rFonts w:ascii="Times New Roman" w:hAnsi="Times New Roman"/>
        </w:rPr>
        <w:t>infektivnog</w:t>
      </w:r>
      <w:r w:rsidRPr="00155F80">
        <w:rPr>
          <w:rFonts w:ascii="Times New Roman" w:hAnsi="Times New Roman"/>
          <w:lang w:val="hr-HR"/>
        </w:rPr>
        <w:t xml:space="preserve">, 23% </w:t>
      </w:r>
      <w:r w:rsidR="002D27DE">
        <w:rPr>
          <w:rFonts w:ascii="Times New Roman" w:hAnsi="Times New Roman"/>
        </w:rPr>
        <w:t>k</w:t>
      </w:r>
      <w:r w:rsidRPr="00155F80">
        <w:rPr>
          <w:rFonts w:ascii="Times New Roman" w:hAnsi="Times New Roman"/>
        </w:rPr>
        <w:t>emijskog</w:t>
      </w:r>
      <w:r w:rsidRPr="00155F80">
        <w:rPr>
          <w:rFonts w:ascii="Times New Roman" w:hAnsi="Times New Roman"/>
          <w:lang w:val="hr-HR"/>
        </w:rPr>
        <w:t xml:space="preserve"> </w:t>
      </w:r>
      <w:r w:rsidRPr="00155F80">
        <w:rPr>
          <w:rFonts w:ascii="Times New Roman" w:hAnsi="Times New Roman"/>
        </w:rPr>
        <w:t>i</w:t>
      </w:r>
      <w:r w:rsidRPr="00155F80">
        <w:rPr>
          <w:rFonts w:ascii="Times New Roman" w:hAnsi="Times New Roman"/>
          <w:lang w:val="hr-HR"/>
        </w:rPr>
        <w:t xml:space="preserve"> 20% </w:t>
      </w:r>
      <w:r w:rsidRPr="00155F80">
        <w:rPr>
          <w:rFonts w:ascii="Times New Roman" w:hAnsi="Times New Roman"/>
        </w:rPr>
        <w:t>farmaceutskog</w:t>
      </w:r>
      <w:r w:rsidRPr="00155F80">
        <w:rPr>
          <w:rFonts w:ascii="Times New Roman" w:hAnsi="Times New Roman"/>
          <w:lang w:val="hr-HR"/>
        </w:rPr>
        <w:t xml:space="preserve"> </w:t>
      </w:r>
      <w:r w:rsidRPr="00155F80">
        <w:rPr>
          <w:rFonts w:ascii="Times New Roman" w:hAnsi="Times New Roman"/>
        </w:rPr>
        <w:t>otpada</w:t>
      </w:r>
      <w:r w:rsidRPr="00155F80">
        <w:rPr>
          <w:rFonts w:ascii="Times New Roman" w:hAnsi="Times New Roman"/>
          <w:lang w:val="hr-HR"/>
        </w:rPr>
        <w:t xml:space="preserve"> </w:t>
      </w:r>
      <w:r w:rsidRPr="00155F80">
        <w:rPr>
          <w:rFonts w:ascii="Times New Roman" w:hAnsi="Times New Roman"/>
        </w:rPr>
        <w:t>iz</w:t>
      </w:r>
      <w:r w:rsidRPr="00155F80">
        <w:rPr>
          <w:rFonts w:ascii="Times New Roman" w:hAnsi="Times New Roman"/>
          <w:lang w:val="hr-HR"/>
        </w:rPr>
        <w:t xml:space="preserve"> </w:t>
      </w:r>
      <w:r w:rsidRPr="00155F80">
        <w:rPr>
          <w:rFonts w:ascii="Times New Roman" w:hAnsi="Times New Roman"/>
        </w:rPr>
        <w:t>zdravstvenih</w:t>
      </w:r>
      <w:r w:rsidRPr="00155F80">
        <w:rPr>
          <w:rFonts w:ascii="Times New Roman" w:hAnsi="Times New Roman"/>
          <w:lang w:val="hr-HR"/>
        </w:rPr>
        <w:t xml:space="preserve"> </w:t>
      </w:r>
      <w:r w:rsidRPr="00155F80">
        <w:rPr>
          <w:rFonts w:ascii="Times New Roman" w:hAnsi="Times New Roman"/>
        </w:rPr>
        <w:t>ustanova</w:t>
      </w:r>
      <w:r w:rsidRPr="00155F80">
        <w:rPr>
          <w:rFonts w:ascii="Times New Roman" w:hAnsi="Times New Roman"/>
          <w:lang w:val="hr-HR"/>
        </w:rPr>
        <w:t xml:space="preserve"> </w:t>
      </w:r>
      <w:r w:rsidRPr="00155F80">
        <w:rPr>
          <w:rFonts w:ascii="Times New Roman" w:hAnsi="Times New Roman"/>
        </w:rPr>
        <w:t>zavr</w:t>
      </w:r>
      <w:r w:rsidRPr="00155F80">
        <w:rPr>
          <w:rFonts w:ascii="Times New Roman" w:hAnsi="Times New Roman"/>
          <w:lang w:val="hr-HR"/>
        </w:rPr>
        <w:t>š</w:t>
      </w:r>
      <w:r w:rsidRPr="00155F80">
        <w:rPr>
          <w:rFonts w:ascii="Times New Roman" w:hAnsi="Times New Roman"/>
        </w:rPr>
        <w:t>ava</w:t>
      </w:r>
      <w:r w:rsidRPr="00155F80">
        <w:rPr>
          <w:rFonts w:ascii="Times New Roman" w:hAnsi="Times New Roman"/>
          <w:lang w:val="hr-HR"/>
        </w:rPr>
        <w:t xml:space="preserve"> </w:t>
      </w:r>
      <w:r w:rsidRPr="00155F80">
        <w:rPr>
          <w:rFonts w:ascii="Times New Roman" w:hAnsi="Times New Roman"/>
        </w:rPr>
        <w:t>na</w:t>
      </w:r>
      <w:r w:rsidRPr="00155F80">
        <w:rPr>
          <w:rFonts w:ascii="Times New Roman" w:hAnsi="Times New Roman"/>
          <w:lang w:val="hr-HR"/>
        </w:rPr>
        <w:t xml:space="preserve"> </w:t>
      </w:r>
      <w:r w:rsidRPr="00155F80">
        <w:rPr>
          <w:rFonts w:ascii="Times New Roman" w:hAnsi="Times New Roman"/>
        </w:rPr>
        <w:t>komunalnim</w:t>
      </w:r>
      <w:r w:rsidRPr="00155F80">
        <w:rPr>
          <w:rFonts w:ascii="Times New Roman" w:hAnsi="Times New Roman"/>
          <w:lang w:val="hr-HR"/>
        </w:rPr>
        <w:t xml:space="preserve"> </w:t>
      </w:r>
      <w:r w:rsidR="002D27DE">
        <w:rPr>
          <w:rFonts w:ascii="Times New Roman" w:hAnsi="Times New Roman"/>
        </w:rPr>
        <w:t>odlagalištima otpada</w:t>
      </w:r>
      <w:r w:rsidRPr="00155F80">
        <w:rPr>
          <w:rFonts w:ascii="Times New Roman" w:hAnsi="Times New Roman"/>
          <w:lang w:val="hr-HR"/>
        </w:rPr>
        <w:t xml:space="preserve">. </w:t>
      </w:r>
      <w:r w:rsidRPr="00155F80">
        <w:rPr>
          <w:rFonts w:ascii="Times New Roman" w:hAnsi="Times New Roman"/>
        </w:rPr>
        <w:t>Ovo</w:t>
      </w:r>
      <w:r w:rsidRPr="00155F80">
        <w:rPr>
          <w:rFonts w:ascii="Times New Roman" w:hAnsi="Times New Roman"/>
          <w:lang w:val="hr-HR"/>
        </w:rPr>
        <w:t xml:space="preserve"> </w:t>
      </w:r>
      <w:r w:rsidRPr="00155F80">
        <w:rPr>
          <w:rFonts w:ascii="Times New Roman" w:hAnsi="Times New Roman"/>
        </w:rPr>
        <w:t>istra</w:t>
      </w:r>
      <w:r w:rsidRPr="00155F80">
        <w:rPr>
          <w:rFonts w:ascii="Times New Roman" w:hAnsi="Times New Roman"/>
          <w:lang w:val="hr-HR"/>
        </w:rPr>
        <w:t>ž</w:t>
      </w:r>
      <w:r w:rsidRPr="00155F80">
        <w:rPr>
          <w:rFonts w:ascii="Times New Roman" w:hAnsi="Times New Roman"/>
        </w:rPr>
        <w:t>ivanje</w:t>
      </w:r>
      <w:r w:rsidRPr="00155F80">
        <w:rPr>
          <w:rFonts w:ascii="Times New Roman" w:hAnsi="Times New Roman"/>
          <w:lang w:val="hr-HR"/>
        </w:rPr>
        <w:t xml:space="preserve"> </w:t>
      </w:r>
      <w:r w:rsidRPr="00155F80">
        <w:rPr>
          <w:rFonts w:ascii="Times New Roman" w:hAnsi="Times New Roman"/>
        </w:rPr>
        <w:t>je</w:t>
      </w:r>
      <w:r w:rsidRPr="00155F80">
        <w:rPr>
          <w:rFonts w:ascii="Times New Roman" w:hAnsi="Times New Roman"/>
          <w:lang w:val="hr-HR"/>
        </w:rPr>
        <w:t xml:space="preserve">, </w:t>
      </w:r>
      <w:r w:rsidRPr="00155F80">
        <w:rPr>
          <w:rFonts w:ascii="Times New Roman" w:hAnsi="Times New Roman"/>
        </w:rPr>
        <w:t>tako</w:t>
      </w:r>
      <w:r w:rsidRPr="00155F80">
        <w:rPr>
          <w:rFonts w:ascii="Times New Roman" w:hAnsi="Times New Roman"/>
          <w:lang w:val="hr-HR"/>
        </w:rPr>
        <w:t>đ</w:t>
      </w:r>
      <w:r w:rsidRPr="00155F80">
        <w:rPr>
          <w:rFonts w:ascii="Times New Roman" w:hAnsi="Times New Roman"/>
        </w:rPr>
        <w:t>e</w:t>
      </w:r>
      <w:r w:rsidRPr="00155F80">
        <w:rPr>
          <w:rFonts w:ascii="Times New Roman" w:hAnsi="Times New Roman"/>
          <w:lang w:val="hr-HR"/>
        </w:rPr>
        <w:t xml:space="preserve">, </w:t>
      </w:r>
      <w:r w:rsidRPr="00155F80">
        <w:rPr>
          <w:rFonts w:ascii="Times New Roman" w:hAnsi="Times New Roman"/>
        </w:rPr>
        <w:t>pokazalo</w:t>
      </w:r>
      <w:r w:rsidRPr="00155F80">
        <w:rPr>
          <w:rFonts w:ascii="Times New Roman" w:hAnsi="Times New Roman"/>
          <w:lang w:val="hr-HR"/>
        </w:rPr>
        <w:t xml:space="preserve"> </w:t>
      </w:r>
      <w:r w:rsidRPr="00155F80">
        <w:rPr>
          <w:rFonts w:ascii="Times New Roman" w:hAnsi="Times New Roman"/>
        </w:rPr>
        <w:t>da</w:t>
      </w:r>
      <w:r w:rsidRPr="00155F80">
        <w:rPr>
          <w:rFonts w:ascii="Times New Roman" w:hAnsi="Times New Roman"/>
          <w:lang w:val="hr-HR"/>
        </w:rPr>
        <w:t xml:space="preserve"> </w:t>
      </w:r>
      <w:r w:rsidRPr="00155F80">
        <w:rPr>
          <w:rFonts w:ascii="Times New Roman" w:hAnsi="Times New Roman"/>
        </w:rPr>
        <w:t>samo</w:t>
      </w:r>
      <w:r w:rsidRPr="00155F80">
        <w:rPr>
          <w:rFonts w:ascii="Times New Roman" w:hAnsi="Times New Roman"/>
          <w:lang w:val="hr-HR"/>
        </w:rPr>
        <w:t xml:space="preserve"> 42% </w:t>
      </w:r>
      <w:r w:rsidRPr="00155F80">
        <w:rPr>
          <w:rFonts w:ascii="Times New Roman" w:hAnsi="Times New Roman"/>
        </w:rPr>
        <w:t>zdravstvenih</w:t>
      </w:r>
      <w:r w:rsidRPr="00155F80">
        <w:rPr>
          <w:rFonts w:ascii="Times New Roman" w:hAnsi="Times New Roman"/>
          <w:lang w:val="hr-HR"/>
        </w:rPr>
        <w:t xml:space="preserve"> </w:t>
      </w:r>
      <w:r w:rsidRPr="00155F80">
        <w:rPr>
          <w:rFonts w:ascii="Times New Roman" w:hAnsi="Times New Roman"/>
        </w:rPr>
        <w:t>ustanova</w:t>
      </w:r>
      <w:r w:rsidRPr="00155F80">
        <w:rPr>
          <w:rFonts w:ascii="Times New Roman" w:hAnsi="Times New Roman"/>
          <w:lang w:val="hr-HR"/>
        </w:rPr>
        <w:t xml:space="preserve"> </w:t>
      </w:r>
      <w:r w:rsidRPr="00155F80">
        <w:rPr>
          <w:rFonts w:ascii="Times New Roman" w:hAnsi="Times New Roman"/>
        </w:rPr>
        <w:t>na</w:t>
      </w:r>
      <w:r w:rsidRPr="00155F80">
        <w:rPr>
          <w:rFonts w:ascii="Times New Roman" w:hAnsi="Times New Roman"/>
          <w:lang w:val="hr-HR"/>
        </w:rPr>
        <w:t xml:space="preserve"> </w:t>
      </w:r>
      <w:r w:rsidRPr="00155F80">
        <w:rPr>
          <w:rFonts w:ascii="Times New Roman" w:hAnsi="Times New Roman"/>
        </w:rPr>
        <w:t>podru</w:t>
      </w:r>
      <w:r w:rsidRPr="00155F80">
        <w:rPr>
          <w:rFonts w:ascii="Times New Roman" w:hAnsi="Times New Roman"/>
          <w:lang w:val="hr-HR"/>
        </w:rPr>
        <w:t>č</w:t>
      </w:r>
      <w:r w:rsidRPr="00155F80">
        <w:rPr>
          <w:rFonts w:ascii="Times New Roman" w:hAnsi="Times New Roman"/>
        </w:rPr>
        <w:t>ju</w:t>
      </w:r>
      <w:r w:rsidRPr="00155F80">
        <w:rPr>
          <w:rFonts w:ascii="Times New Roman" w:hAnsi="Times New Roman"/>
          <w:lang w:val="hr-HR"/>
        </w:rPr>
        <w:t xml:space="preserve"> </w:t>
      </w:r>
      <w:r w:rsidRPr="00155F80">
        <w:rPr>
          <w:rFonts w:ascii="Times New Roman" w:hAnsi="Times New Roman"/>
        </w:rPr>
        <w:t>FBiH</w:t>
      </w:r>
      <w:r w:rsidRPr="00155F80">
        <w:rPr>
          <w:rFonts w:ascii="Times New Roman" w:hAnsi="Times New Roman"/>
          <w:lang w:val="hr-HR"/>
        </w:rPr>
        <w:t xml:space="preserve"> </w:t>
      </w:r>
      <w:r w:rsidRPr="00155F80">
        <w:rPr>
          <w:rFonts w:ascii="Times New Roman" w:hAnsi="Times New Roman"/>
        </w:rPr>
        <w:t>ima</w:t>
      </w:r>
      <w:r w:rsidRPr="00155F80">
        <w:rPr>
          <w:rFonts w:ascii="Times New Roman" w:hAnsi="Times New Roman"/>
          <w:lang w:val="hr-HR"/>
        </w:rPr>
        <w:t xml:space="preserve"> </w:t>
      </w:r>
      <w:r w:rsidRPr="00155F80">
        <w:rPr>
          <w:rFonts w:ascii="Times New Roman" w:hAnsi="Times New Roman"/>
        </w:rPr>
        <w:t>izra</w:t>
      </w:r>
      <w:r w:rsidRPr="00155F80">
        <w:rPr>
          <w:rFonts w:ascii="Times New Roman" w:hAnsi="Times New Roman"/>
          <w:lang w:val="hr-HR"/>
        </w:rPr>
        <w:t>đ</w:t>
      </w:r>
      <w:r w:rsidRPr="00155F80">
        <w:rPr>
          <w:rFonts w:ascii="Times New Roman" w:hAnsi="Times New Roman"/>
        </w:rPr>
        <w:t>en</w:t>
      </w:r>
      <w:r w:rsidRPr="00155F80">
        <w:rPr>
          <w:rFonts w:ascii="Times New Roman" w:hAnsi="Times New Roman"/>
          <w:lang w:val="hr-HR"/>
        </w:rPr>
        <w:t xml:space="preserve"> </w:t>
      </w:r>
      <w:r w:rsidRPr="00155F80">
        <w:rPr>
          <w:rFonts w:ascii="Times New Roman" w:hAnsi="Times New Roman"/>
        </w:rPr>
        <w:t>Plan</w:t>
      </w:r>
      <w:r w:rsidRPr="00155F80">
        <w:rPr>
          <w:rFonts w:ascii="Times New Roman" w:hAnsi="Times New Roman"/>
          <w:lang w:val="hr-HR"/>
        </w:rPr>
        <w:t xml:space="preserve"> </w:t>
      </w:r>
      <w:r w:rsidRPr="00155F80">
        <w:rPr>
          <w:rFonts w:ascii="Times New Roman" w:hAnsi="Times New Roman"/>
        </w:rPr>
        <w:t>upravljanja</w:t>
      </w:r>
      <w:r w:rsidRPr="00155F80">
        <w:rPr>
          <w:rFonts w:ascii="Times New Roman" w:hAnsi="Times New Roman"/>
          <w:lang w:val="hr-HR"/>
        </w:rPr>
        <w:t xml:space="preserve"> </w:t>
      </w:r>
      <w:r w:rsidRPr="00155F80">
        <w:rPr>
          <w:rFonts w:ascii="Times New Roman" w:hAnsi="Times New Roman"/>
        </w:rPr>
        <w:t>medicinskim</w:t>
      </w:r>
      <w:r w:rsidRPr="00155F80">
        <w:rPr>
          <w:rFonts w:ascii="Times New Roman" w:hAnsi="Times New Roman"/>
          <w:lang w:val="hr-HR"/>
        </w:rPr>
        <w:t xml:space="preserve"> </w:t>
      </w:r>
      <w:r w:rsidRPr="00155F80">
        <w:rPr>
          <w:rFonts w:ascii="Times New Roman" w:hAnsi="Times New Roman"/>
        </w:rPr>
        <w:t>otpadom</w:t>
      </w:r>
      <w:r w:rsidRPr="00155F80">
        <w:rPr>
          <w:rFonts w:ascii="Times New Roman" w:hAnsi="Times New Roman"/>
          <w:lang w:val="hr-HR"/>
        </w:rPr>
        <w:t xml:space="preserve">, </w:t>
      </w:r>
      <w:r w:rsidRPr="00155F80">
        <w:rPr>
          <w:rFonts w:ascii="Times New Roman" w:hAnsi="Times New Roman"/>
        </w:rPr>
        <w:t>s</w:t>
      </w:r>
      <w:r w:rsidR="002D27DE">
        <w:rPr>
          <w:rFonts w:ascii="Times New Roman" w:hAnsi="Times New Roman"/>
        </w:rPr>
        <w:t>u</w:t>
      </w:r>
      <w:r w:rsidRPr="00155F80">
        <w:rPr>
          <w:rFonts w:ascii="Times New Roman" w:hAnsi="Times New Roman"/>
        </w:rPr>
        <w:t>klad</w:t>
      </w:r>
      <w:r w:rsidR="002D27DE">
        <w:rPr>
          <w:rFonts w:ascii="Times New Roman" w:hAnsi="Times New Roman"/>
        </w:rPr>
        <w:t>no</w:t>
      </w:r>
      <w:r w:rsidRPr="00155F80">
        <w:rPr>
          <w:rFonts w:ascii="Times New Roman" w:hAnsi="Times New Roman"/>
          <w:lang w:val="hr-HR"/>
        </w:rPr>
        <w:t xml:space="preserve"> </w:t>
      </w:r>
      <w:r w:rsidRPr="00155F80">
        <w:rPr>
          <w:rFonts w:ascii="Times New Roman" w:hAnsi="Times New Roman"/>
        </w:rPr>
        <w:t>Pravilnik</w:t>
      </w:r>
      <w:r w:rsidR="002D27DE">
        <w:rPr>
          <w:rFonts w:ascii="Times New Roman" w:hAnsi="Times New Roman"/>
        </w:rPr>
        <w:t>u</w:t>
      </w:r>
      <w:r w:rsidRPr="00155F80">
        <w:rPr>
          <w:rFonts w:ascii="Times New Roman" w:hAnsi="Times New Roman"/>
          <w:lang w:val="hr-HR"/>
        </w:rPr>
        <w:t xml:space="preserve"> </w:t>
      </w:r>
      <w:r w:rsidRPr="00155F80">
        <w:rPr>
          <w:rFonts w:ascii="Times New Roman" w:hAnsi="Times New Roman"/>
        </w:rPr>
        <w:t>o</w:t>
      </w:r>
      <w:r w:rsidRPr="00155F80">
        <w:rPr>
          <w:rFonts w:ascii="Times New Roman" w:hAnsi="Times New Roman"/>
          <w:lang w:val="hr-HR"/>
        </w:rPr>
        <w:t xml:space="preserve"> </w:t>
      </w:r>
      <w:r w:rsidRPr="00155F80">
        <w:rPr>
          <w:rFonts w:ascii="Times New Roman" w:hAnsi="Times New Roman"/>
        </w:rPr>
        <w:t>upravljanju</w:t>
      </w:r>
      <w:r w:rsidRPr="00155F80">
        <w:rPr>
          <w:rFonts w:ascii="Times New Roman" w:hAnsi="Times New Roman"/>
          <w:lang w:val="hr-HR"/>
        </w:rPr>
        <w:t xml:space="preserve"> </w:t>
      </w:r>
      <w:r w:rsidRPr="00155F80">
        <w:rPr>
          <w:rFonts w:ascii="Times New Roman" w:hAnsi="Times New Roman"/>
        </w:rPr>
        <w:t>medicinskim</w:t>
      </w:r>
      <w:r w:rsidRPr="00155F80">
        <w:rPr>
          <w:rFonts w:ascii="Times New Roman" w:hAnsi="Times New Roman"/>
          <w:lang w:val="hr-HR"/>
        </w:rPr>
        <w:t xml:space="preserve"> </w:t>
      </w:r>
      <w:r w:rsidRPr="00155F80">
        <w:rPr>
          <w:rFonts w:ascii="Times New Roman" w:hAnsi="Times New Roman"/>
        </w:rPr>
        <w:t>otpadom</w:t>
      </w:r>
      <w:r w:rsidRPr="00155F80">
        <w:rPr>
          <w:rFonts w:ascii="Times New Roman" w:hAnsi="Times New Roman"/>
          <w:lang w:val="hr-HR"/>
        </w:rPr>
        <w:t xml:space="preserve"> </w:t>
      </w:r>
      <w:r w:rsidRPr="00155F80">
        <w:rPr>
          <w:rFonts w:ascii="Times New Roman" w:hAnsi="Times New Roman"/>
        </w:rPr>
        <w:t>FBiH</w:t>
      </w:r>
      <w:r w:rsidRPr="00F83CAD">
        <w:rPr>
          <w:rFonts w:ascii="Times New Roman" w:hAnsi="Times New Roman"/>
          <w:lang w:val="hr-HR"/>
        </w:rPr>
        <w:t xml:space="preserve">. </w:t>
      </w:r>
      <w:r w:rsidR="00092D83" w:rsidRPr="00F83CAD">
        <w:rPr>
          <w:rFonts w:ascii="Times New Roman" w:hAnsi="Times New Roman"/>
          <w:lang w:val="hr-HR"/>
        </w:rPr>
        <w:t>(12)</w:t>
      </w:r>
    </w:p>
    <w:p w:rsidR="00A131AD" w:rsidRPr="00155F80" w:rsidRDefault="00A131AD" w:rsidP="000C0138">
      <w:pPr>
        <w:spacing w:line="276" w:lineRule="auto"/>
        <w:rPr>
          <w:rFonts w:ascii="Times New Roman" w:hAnsi="Times New Roman"/>
          <w:lang w:val="hr-HR"/>
        </w:rPr>
      </w:pPr>
      <w:r w:rsidRPr="00155F80">
        <w:rPr>
          <w:rFonts w:ascii="Times New Roman" w:hAnsi="Times New Roman"/>
          <w:lang w:val="hr-HR"/>
        </w:rPr>
        <w:t>E</w:t>
      </w:r>
      <w:r w:rsidR="002D27DE">
        <w:rPr>
          <w:rFonts w:ascii="Times New Roman" w:hAnsi="Times New Roman"/>
          <w:lang w:val="hr-HR"/>
        </w:rPr>
        <w:t>u</w:t>
      </w:r>
      <w:r w:rsidRPr="00155F80">
        <w:rPr>
          <w:rFonts w:ascii="Times New Roman" w:hAnsi="Times New Roman"/>
          <w:lang w:val="hr-HR"/>
        </w:rPr>
        <w:t>ropske zahtjeve za sanitarn</w:t>
      </w:r>
      <w:r w:rsidR="0085238E">
        <w:rPr>
          <w:rFonts w:ascii="Times New Roman" w:hAnsi="Times New Roman"/>
          <w:lang w:val="hr-HR"/>
        </w:rPr>
        <w:t>a</w:t>
      </w:r>
      <w:r w:rsidRPr="00155F80">
        <w:rPr>
          <w:rFonts w:ascii="Times New Roman" w:hAnsi="Times New Roman"/>
          <w:lang w:val="hr-HR"/>
        </w:rPr>
        <w:t xml:space="preserve"> </w:t>
      </w:r>
      <w:r w:rsidR="0085238E">
        <w:rPr>
          <w:rFonts w:ascii="Times New Roman" w:hAnsi="Times New Roman"/>
          <w:lang w:val="hr-HR"/>
        </w:rPr>
        <w:t>odlagališta</w:t>
      </w:r>
      <w:r w:rsidRPr="00155F80">
        <w:rPr>
          <w:rFonts w:ascii="Times New Roman" w:hAnsi="Times New Roman"/>
          <w:lang w:val="hr-HR"/>
        </w:rPr>
        <w:t xml:space="preserve"> djel</w:t>
      </w:r>
      <w:r w:rsidR="002D27DE">
        <w:rPr>
          <w:rFonts w:ascii="Times New Roman" w:hAnsi="Times New Roman"/>
          <w:lang w:val="hr-HR"/>
        </w:rPr>
        <w:t>o</w:t>
      </w:r>
      <w:r w:rsidRPr="00155F80">
        <w:rPr>
          <w:rFonts w:ascii="Times New Roman" w:hAnsi="Times New Roman"/>
          <w:lang w:val="hr-HR"/>
        </w:rPr>
        <w:t xml:space="preserve">mično zadovoljavaju </w:t>
      </w:r>
      <w:r w:rsidR="0085238E">
        <w:rPr>
          <w:rFonts w:ascii="Times New Roman" w:hAnsi="Times New Roman"/>
          <w:lang w:val="hr-HR"/>
        </w:rPr>
        <w:t>odlagališta</w:t>
      </w:r>
      <w:r w:rsidRPr="00155F80">
        <w:rPr>
          <w:rFonts w:ascii="Times New Roman" w:hAnsi="Times New Roman"/>
          <w:lang w:val="hr-HR"/>
        </w:rPr>
        <w:t xml:space="preserve"> u Sarajevu, Zenici, Mostaru i Bosanskoj Krupi. Na sanitarn</w:t>
      </w:r>
      <w:r w:rsidR="0085238E">
        <w:rPr>
          <w:rFonts w:ascii="Times New Roman" w:hAnsi="Times New Roman"/>
          <w:lang w:val="hr-HR"/>
        </w:rPr>
        <w:t>a</w:t>
      </w:r>
      <w:r w:rsidRPr="00155F80">
        <w:rPr>
          <w:rFonts w:ascii="Times New Roman" w:hAnsi="Times New Roman"/>
          <w:lang w:val="hr-HR"/>
        </w:rPr>
        <w:t xml:space="preserve"> </w:t>
      </w:r>
      <w:r w:rsidR="0085238E">
        <w:rPr>
          <w:rFonts w:ascii="Times New Roman" w:hAnsi="Times New Roman"/>
          <w:lang w:val="hr-HR"/>
        </w:rPr>
        <w:t>odlagališta</w:t>
      </w:r>
      <w:r w:rsidRPr="00155F80">
        <w:rPr>
          <w:rFonts w:ascii="Times New Roman" w:hAnsi="Times New Roman"/>
          <w:lang w:val="hr-HR"/>
        </w:rPr>
        <w:t xml:space="preserve"> se odlaže 18% otpada iz zdravstvenih i 12% iz veterinarskih ustanova, a opremu za neškodljivo uništavanje ovog otpada imaju tri zdravstvene ustanove (UKC, Opća bolnica „Abdulah Nakaš“ u Sarajevu i Kantonalni zavod za javno zdravstvo Travnik) i dvije veterinarske ustanove. </w:t>
      </w:r>
      <w:r w:rsidRPr="00155F80">
        <w:rPr>
          <w:rFonts w:ascii="Times New Roman" w:hAnsi="Times New Roman"/>
        </w:rPr>
        <w:t>Ostale</w:t>
      </w:r>
      <w:r w:rsidRPr="00155F80">
        <w:rPr>
          <w:rFonts w:ascii="Times New Roman" w:hAnsi="Times New Roman"/>
          <w:lang w:val="hr-HR"/>
        </w:rPr>
        <w:t xml:space="preserve"> </w:t>
      </w:r>
      <w:r w:rsidRPr="00155F80">
        <w:rPr>
          <w:rFonts w:ascii="Times New Roman" w:hAnsi="Times New Roman"/>
        </w:rPr>
        <w:t>zdravstvene</w:t>
      </w:r>
      <w:r w:rsidRPr="00155F80">
        <w:rPr>
          <w:rFonts w:ascii="Times New Roman" w:hAnsi="Times New Roman"/>
          <w:lang w:val="hr-HR"/>
        </w:rPr>
        <w:t xml:space="preserve"> </w:t>
      </w:r>
      <w:r w:rsidRPr="00155F80">
        <w:rPr>
          <w:rFonts w:ascii="Times New Roman" w:hAnsi="Times New Roman"/>
        </w:rPr>
        <w:t>ustanove</w:t>
      </w:r>
      <w:r w:rsidRPr="00155F80">
        <w:rPr>
          <w:rFonts w:ascii="Times New Roman" w:hAnsi="Times New Roman"/>
          <w:lang w:val="hr-HR"/>
        </w:rPr>
        <w:t xml:space="preserve"> </w:t>
      </w:r>
      <w:r w:rsidRPr="00155F80">
        <w:rPr>
          <w:rFonts w:ascii="Times New Roman" w:hAnsi="Times New Roman"/>
        </w:rPr>
        <w:t>medicinski</w:t>
      </w:r>
      <w:r w:rsidRPr="00155F80">
        <w:rPr>
          <w:rFonts w:ascii="Times New Roman" w:hAnsi="Times New Roman"/>
          <w:lang w:val="hr-HR"/>
        </w:rPr>
        <w:t xml:space="preserve"> </w:t>
      </w:r>
      <w:r w:rsidRPr="00155F80">
        <w:rPr>
          <w:rFonts w:ascii="Times New Roman" w:hAnsi="Times New Roman"/>
        </w:rPr>
        <w:t>otpad</w:t>
      </w:r>
      <w:r w:rsidRPr="00155F80">
        <w:rPr>
          <w:rFonts w:ascii="Times New Roman" w:hAnsi="Times New Roman"/>
          <w:lang w:val="hr-HR"/>
        </w:rPr>
        <w:t xml:space="preserve"> </w:t>
      </w:r>
      <w:r w:rsidRPr="00155F80">
        <w:rPr>
          <w:rFonts w:ascii="Times New Roman" w:hAnsi="Times New Roman"/>
        </w:rPr>
        <w:t>predaju</w:t>
      </w:r>
      <w:r w:rsidRPr="00155F80">
        <w:rPr>
          <w:rFonts w:ascii="Times New Roman" w:hAnsi="Times New Roman"/>
          <w:lang w:val="hr-HR"/>
        </w:rPr>
        <w:t xml:space="preserve"> </w:t>
      </w:r>
      <w:r w:rsidRPr="00155F80">
        <w:rPr>
          <w:rFonts w:ascii="Times New Roman" w:hAnsi="Times New Roman"/>
        </w:rPr>
        <w:t>na</w:t>
      </w:r>
      <w:r w:rsidRPr="00155F80">
        <w:rPr>
          <w:rFonts w:ascii="Times New Roman" w:hAnsi="Times New Roman"/>
          <w:lang w:val="hr-HR"/>
        </w:rPr>
        <w:t xml:space="preserve"> </w:t>
      </w:r>
      <w:r w:rsidRPr="00155F80">
        <w:rPr>
          <w:rFonts w:ascii="Times New Roman" w:hAnsi="Times New Roman"/>
        </w:rPr>
        <w:t>zbrinjavanje</w:t>
      </w:r>
      <w:r w:rsidRPr="00155F80">
        <w:rPr>
          <w:rFonts w:ascii="Times New Roman" w:hAnsi="Times New Roman"/>
          <w:lang w:val="hr-HR"/>
        </w:rPr>
        <w:t xml:space="preserve"> </w:t>
      </w:r>
      <w:r w:rsidRPr="00155F80">
        <w:rPr>
          <w:rFonts w:ascii="Times New Roman" w:hAnsi="Times New Roman"/>
        </w:rPr>
        <w:t>komunalnim</w:t>
      </w:r>
      <w:r w:rsidRPr="00155F80">
        <w:rPr>
          <w:rFonts w:ascii="Times New Roman" w:hAnsi="Times New Roman"/>
          <w:lang w:val="hr-HR"/>
        </w:rPr>
        <w:t xml:space="preserve"> </w:t>
      </w:r>
      <w:r w:rsidRPr="00155F80">
        <w:rPr>
          <w:rFonts w:ascii="Times New Roman" w:hAnsi="Times New Roman"/>
        </w:rPr>
        <w:t>p</w:t>
      </w:r>
      <w:r w:rsidR="0085238E">
        <w:rPr>
          <w:rFonts w:ascii="Times New Roman" w:hAnsi="Times New Roman"/>
        </w:rPr>
        <w:t>o</w:t>
      </w:r>
      <w:r w:rsidRPr="00155F80">
        <w:rPr>
          <w:rFonts w:ascii="Times New Roman" w:hAnsi="Times New Roman"/>
        </w:rPr>
        <w:t>duze</w:t>
      </w:r>
      <w:r w:rsidRPr="00155F80">
        <w:rPr>
          <w:rFonts w:ascii="Times New Roman" w:hAnsi="Times New Roman"/>
          <w:lang w:val="hr-HR"/>
        </w:rPr>
        <w:t>ć</w:t>
      </w:r>
      <w:r w:rsidRPr="00155F80">
        <w:rPr>
          <w:rFonts w:ascii="Times New Roman" w:hAnsi="Times New Roman"/>
        </w:rPr>
        <w:t>ima</w:t>
      </w:r>
      <w:r w:rsidRPr="00155F80">
        <w:rPr>
          <w:rFonts w:ascii="Times New Roman" w:hAnsi="Times New Roman"/>
          <w:lang w:val="hr-HR"/>
        </w:rPr>
        <w:t xml:space="preserve"> ili o</w:t>
      </w:r>
      <w:r w:rsidRPr="00155F80">
        <w:rPr>
          <w:rFonts w:ascii="Times New Roman" w:hAnsi="Times New Roman"/>
        </w:rPr>
        <w:t>vla</w:t>
      </w:r>
      <w:r w:rsidRPr="00155F80">
        <w:rPr>
          <w:rFonts w:ascii="Times New Roman" w:hAnsi="Times New Roman"/>
          <w:lang w:val="hr-HR"/>
        </w:rPr>
        <w:t>š</w:t>
      </w:r>
      <w:r w:rsidRPr="00155F80">
        <w:rPr>
          <w:rFonts w:ascii="Times New Roman" w:hAnsi="Times New Roman"/>
        </w:rPr>
        <w:t>tenim</w:t>
      </w:r>
      <w:r w:rsidRPr="00155F80">
        <w:rPr>
          <w:rFonts w:ascii="Times New Roman" w:hAnsi="Times New Roman"/>
          <w:lang w:val="hr-HR"/>
        </w:rPr>
        <w:t xml:space="preserve"> </w:t>
      </w:r>
      <w:r w:rsidR="0085238E">
        <w:rPr>
          <w:rFonts w:ascii="Times New Roman" w:hAnsi="Times New Roman"/>
        </w:rPr>
        <w:t>tvrtkama</w:t>
      </w:r>
      <w:r w:rsidRPr="00155F80">
        <w:rPr>
          <w:rFonts w:ascii="Times New Roman" w:hAnsi="Times New Roman"/>
          <w:lang w:val="hr-HR"/>
        </w:rPr>
        <w:t xml:space="preserve"> </w:t>
      </w:r>
      <w:r w:rsidRPr="00155F80">
        <w:rPr>
          <w:rFonts w:ascii="Times New Roman" w:hAnsi="Times New Roman"/>
        </w:rPr>
        <w:t>koje</w:t>
      </w:r>
      <w:r w:rsidRPr="00155F80">
        <w:rPr>
          <w:rFonts w:ascii="Times New Roman" w:hAnsi="Times New Roman"/>
          <w:lang w:val="hr-HR"/>
        </w:rPr>
        <w:t xml:space="preserve"> </w:t>
      </w:r>
      <w:r w:rsidRPr="00155F80">
        <w:rPr>
          <w:rFonts w:ascii="Times New Roman" w:hAnsi="Times New Roman"/>
        </w:rPr>
        <w:t>se</w:t>
      </w:r>
      <w:r w:rsidRPr="00155F80">
        <w:rPr>
          <w:rFonts w:ascii="Times New Roman" w:hAnsi="Times New Roman"/>
          <w:lang w:val="hr-HR"/>
        </w:rPr>
        <w:t xml:space="preserve"> </w:t>
      </w:r>
      <w:r w:rsidRPr="00155F80">
        <w:rPr>
          <w:rFonts w:ascii="Times New Roman" w:hAnsi="Times New Roman"/>
        </w:rPr>
        <w:t>bave</w:t>
      </w:r>
      <w:r w:rsidRPr="00155F80">
        <w:rPr>
          <w:rFonts w:ascii="Times New Roman" w:hAnsi="Times New Roman"/>
          <w:lang w:val="hr-HR"/>
        </w:rPr>
        <w:t xml:space="preserve"> </w:t>
      </w:r>
      <w:r w:rsidRPr="00155F80">
        <w:rPr>
          <w:rFonts w:ascii="Times New Roman" w:hAnsi="Times New Roman"/>
        </w:rPr>
        <w:t>njegovim</w:t>
      </w:r>
      <w:r w:rsidRPr="00155F80">
        <w:rPr>
          <w:rFonts w:ascii="Times New Roman" w:hAnsi="Times New Roman"/>
          <w:lang w:val="hr-HR"/>
        </w:rPr>
        <w:t xml:space="preserve"> adekvatnim uništavanjem (infektivni otpad) ili </w:t>
      </w:r>
      <w:r w:rsidRPr="00155F80">
        <w:rPr>
          <w:rFonts w:ascii="Times New Roman" w:hAnsi="Times New Roman"/>
        </w:rPr>
        <w:t>izvozom</w:t>
      </w:r>
      <w:r w:rsidRPr="00155F80">
        <w:rPr>
          <w:rFonts w:ascii="Times New Roman" w:hAnsi="Times New Roman"/>
          <w:lang w:val="hr-HR"/>
        </w:rPr>
        <w:t xml:space="preserve"> </w:t>
      </w:r>
      <w:r w:rsidRPr="00155F80">
        <w:rPr>
          <w:rFonts w:ascii="Times New Roman" w:hAnsi="Times New Roman"/>
        </w:rPr>
        <w:t>u</w:t>
      </w:r>
      <w:r w:rsidRPr="00155F80">
        <w:rPr>
          <w:rFonts w:ascii="Times New Roman" w:hAnsi="Times New Roman"/>
          <w:lang w:val="hr-HR"/>
        </w:rPr>
        <w:t xml:space="preserve"> </w:t>
      </w:r>
      <w:r w:rsidRPr="00155F80">
        <w:rPr>
          <w:rFonts w:ascii="Times New Roman" w:hAnsi="Times New Roman"/>
        </w:rPr>
        <w:t>druge</w:t>
      </w:r>
      <w:r w:rsidRPr="00155F80">
        <w:rPr>
          <w:rFonts w:ascii="Times New Roman" w:hAnsi="Times New Roman"/>
          <w:lang w:val="hr-HR"/>
        </w:rPr>
        <w:t xml:space="preserve"> </w:t>
      </w:r>
      <w:r w:rsidRPr="00155F80">
        <w:rPr>
          <w:rFonts w:ascii="Times New Roman" w:hAnsi="Times New Roman"/>
        </w:rPr>
        <w:t>zemlje</w:t>
      </w:r>
      <w:r w:rsidRPr="00155F80">
        <w:rPr>
          <w:rFonts w:ascii="Times New Roman" w:hAnsi="Times New Roman"/>
          <w:lang w:val="hr-HR"/>
        </w:rPr>
        <w:t xml:space="preserve"> (</w:t>
      </w:r>
      <w:r w:rsidR="0085238E">
        <w:rPr>
          <w:rFonts w:ascii="Times New Roman" w:hAnsi="Times New Roman"/>
        </w:rPr>
        <w:t>k</w:t>
      </w:r>
      <w:r w:rsidRPr="00155F80">
        <w:rPr>
          <w:rFonts w:ascii="Times New Roman" w:hAnsi="Times New Roman"/>
        </w:rPr>
        <w:t>emijski</w:t>
      </w:r>
      <w:r w:rsidRPr="00155F80">
        <w:rPr>
          <w:rFonts w:ascii="Times New Roman" w:hAnsi="Times New Roman"/>
          <w:lang w:val="hr-HR"/>
        </w:rPr>
        <w:t xml:space="preserve"> i </w:t>
      </w:r>
      <w:r w:rsidRPr="00155F80">
        <w:rPr>
          <w:rFonts w:ascii="Times New Roman" w:hAnsi="Times New Roman"/>
        </w:rPr>
        <w:t>farmaceutski</w:t>
      </w:r>
      <w:r w:rsidRPr="00155F80">
        <w:rPr>
          <w:rFonts w:ascii="Times New Roman" w:hAnsi="Times New Roman"/>
          <w:lang w:val="hr-HR"/>
        </w:rPr>
        <w:t xml:space="preserve"> </w:t>
      </w:r>
      <w:r w:rsidRPr="00155F80">
        <w:rPr>
          <w:rFonts w:ascii="Times New Roman" w:hAnsi="Times New Roman"/>
        </w:rPr>
        <w:t>otpad</w:t>
      </w:r>
      <w:r w:rsidRPr="00155F80">
        <w:rPr>
          <w:rFonts w:ascii="Times New Roman" w:hAnsi="Times New Roman"/>
          <w:lang w:val="hr-HR"/>
        </w:rPr>
        <w:t>).</w:t>
      </w:r>
    </w:p>
    <w:p w:rsidR="00A131AD" w:rsidRPr="00155F80" w:rsidRDefault="00A131AD" w:rsidP="000C0138">
      <w:pPr>
        <w:spacing w:line="276" w:lineRule="auto"/>
        <w:rPr>
          <w:rFonts w:ascii="Times New Roman" w:hAnsi="Times New Roman"/>
          <w:lang w:val="hr-HR"/>
        </w:rPr>
      </w:pPr>
      <w:r w:rsidRPr="00155F80">
        <w:rPr>
          <w:rFonts w:ascii="Times New Roman" w:hAnsi="Times New Roman"/>
        </w:rPr>
        <w:t>Prema</w:t>
      </w:r>
      <w:r w:rsidRPr="00155F80">
        <w:rPr>
          <w:rFonts w:ascii="Times New Roman" w:hAnsi="Times New Roman"/>
          <w:lang w:val="hr-HR"/>
        </w:rPr>
        <w:t xml:space="preserve"> </w:t>
      </w:r>
      <w:r w:rsidRPr="00155F80">
        <w:rPr>
          <w:rFonts w:ascii="Times New Roman" w:hAnsi="Times New Roman"/>
        </w:rPr>
        <w:t>poda</w:t>
      </w:r>
      <w:r w:rsidR="0085238E">
        <w:rPr>
          <w:rFonts w:ascii="Times New Roman" w:hAnsi="Times New Roman"/>
        </w:rPr>
        <w:t>t</w:t>
      </w:r>
      <w:r w:rsidRPr="00155F80">
        <w:rPr>
          <w:rFonts w:ascii="Times New Roman" w:hAnsi="Times New Roman"/>
        </w:rPr>
        <w:t>cima</w:t>
      </w:r>
      <w:r w:rsidRPr="00155F80">
        <w:rPr>
          <w:rFonts w:ascii="Times New Roman" w:hAnsi="Times New Roman"/>
          <w:lang w:val="hr-HR"/>
        </w:rPr>
        <w:t xml:space="preserve"> Ministarstva prostornog uređenja i zaštite okoliša Kantona Sarajevo, </w:t>
      </w:r>
      <w:r w:rsidRPr="00155F80">
        <w:rPr>
          <w:rFonts w:ascii="Times New Roman" w:hAnsi="Times New Roman"/>
        </w:rPr>
        <w:t>na</w:t>
      </w:r>
      <w:r w:rsidRPr="00155F80">
        <w:rPr>
          <w:rFonts w:ascii="Times New Roman" w:hAnsi="Times New Roman"/>
          <w:lang w:val="hr-HR"/>
        </w:rPr>
        <w:t xml:space="preserve"> </w:t>
      </w:r>
      <w:r w:rsidR="0085238E">
        <w:rPr>
          <w:rFonts w:ascii="Times New Roman" w:hAnsi="Times New Roman"/>
          <w:lang w:val="hr-HR"/>
        </w:rPr>
        <w:t>odlagalište</w:t>
      </w:r>
      <w:r w:rsidRPr="00155F80">
        <w:rPr>
          <w:rFonts w:ascii="Times New Roman" w:hAnsi="Times New Roman"/>
          <w:lang w:val="hr-HR"/>
        </w:rPr>
        <w:t xml:space="preserve"> „</w:t>
      </w:r>
      <w:r w:rsidRPr="00155F80">
        <w:rPr>
          <w:rFonts w:ascii="Times New Roman" w:hAnsi="Times New Roman"/>
        </w:rPr>
        <w:t>Smiljevi</w:t>
      </w:r>
      <w:r w:rsidRPr="00155F80">
        <w:rPr>
          <w:rFonts w:ascii="Times New Roman" w:hAnsi="Times New Roman"/>
          <w:lang w:val="hr-HR"/>
        </w:rPr>
        <w:t>ć</w:t>
      </w:r>
      <w:r w:rsidRPr="00155F80">
        <w:rPr>
          <w:rFonts w:ascii="Times New Roman" w:hAnsi="Times New Roman"/>
        </w:rPr>
        <w:t>i</w:t>
      </w:r>
      <w:r w:rsidRPr="00155F80">
        <w:rPr>
          <w:rFonts w:ascii="Times New Roman" w:hAnsi="Times New Roman"/>
          <w:lang w:val="hr-HR"/>
        </w:rPr>
        <w:t>“</w:t>
      </w:r>
      <w:r w:rsidRPr="00155F80">
        <w:rPr>
          <w:rFonts w:ascii="Times New Roman" w:hAnsi="Times New Roman"/>
        </w:rPr>
        <w:t>se</w:t>
      </w:r>
      <w:r w:rsidRPr="00155F80">
        <w:rPr>
          <w:rFonts w:ascii="Times New Roman" w:hAnsi="Times New Roman"/>
          <w:lang w:val="hr-HR"/>
        </w:rPr>
        <w:t xml:space="preserve"> </w:t>
      </w:r>
      <w:r w:rsidRPr="00155F80">
        <w:rPr>
          <w:rFonts w:ascii="Times New Roman" w:hAnsi="Times New Roman"/>
        </w:rPr>
        <w:t>odlo</w:t>
      </w:r>
      <w:r w:rsidRPr="00155F80">
        <w:rPr>
          <w:rFonts w:ascii="Times New Roman" w:hAnsi="Times New Roman"/>
          <w:lang w:val="hr-HR"/>
        </w:rPr>
        <w:t>ž</w:t>
      </w:r>
      <w:r w:rsidRPr="00155F80">
        <w:rPr>
          <w:rFonts w:ascii="Times New Roman" w:hAnsi="Times New Roman"/>
        </w:rPr>
        <w:t>i</w:t>
      </w:r>
      <w:r w:rsidRPr="00155F80">
        <w:rPr>
          <w:rFonts w:ascii="Times New Roman" w:hAnsi="Times New Roman"/>
          <w:lang w:val="hr-HR"/>
        </w:rPr>
        <w:t xml:space="preserve"> </w:t>
      </w:r>
      <w:r w:rsidRPr="00155F80">
        <w:rPr>
          <w:rFonts w:ascii="Times New Roman" w:hAnsi="Times New Roman"/>
        </w:rPr>
        <w:t>godi</w:t>
      </w:r>
      <w:r w:rsidRPr="00155F80">
        <w:rPr>
          <w:rFonts w:ascii="Times New Roman" w:hAnsi="Times New Roman"/>
          <w:lang w:val="hr-HR"/>
        </w:rPr>
        <w:t>š</w:t>
      </w:r>
      <w:r w:rsidRPr="00155F80">
        <w:rPr>
          <w:rFonts w:ascii="Times New Roman" w:hAnsi="Times New Roman"/>
        </w:rPr>
        <w:t>nje</w:t>
      </w:r>
      <w:r w:rsidRPr="00155F80">
        <w:rPr>
          <w:rFonts w:ascii="Times New Roman" w:hAnsi="Times New Roman"/>
          <w:lang w:val="hr-HR"/>
        </w:rPr>
        <w:t xml:space="preserve"> </w:t>
      </w:r>
      <w:r w:rsidRPr="00155F80">
        <w:rPr>
          <w:rFonts w:ascii="Times New Roman" w:hAnsi="Times New Roman"/>
        </w:rPr>
        <w:t>oko</w:t>
      </w:r>
      <w:r w:rsidRPr="00155F80">
        <w:rPr>
          <w:rFonts w:ascii="Times New Roman" w:hAnsi="Times New Roman"/>
          <w:lang w:val="hr-HR"/>
        </w:rPr>
        <w:t xml:space="preserve"> 249.000 </w:t>
      </w:r>
      <w:r w:rsidRPr="00155F80">
        <w:rPr>
          <w:rFonts w:ascii="Times New Roman" w:hAnsi="Times New Roman"/>
        </w:rPr>
        <w:t>tona</w:t>
      </w:r>
      <w:r w:rsidRPr="00155F80">
        <w:rPr>
          <w:rFonts w:ascii="Times New Roman" w:hAnsi="Times New Roman"/>
          <w:lang w:val="hr-HR"/>
        </w:rPr>
        <w:t xml:space="preserve"> </w:t>
      </w:r>
      <w:r w:rsidRPr="00155F80">
        <w:rPr>
          <w:rFonts w:ascii="Times New Roman" w:hAnsi="Times New Roman"/>
        </w:rPr>
        <w:t>otpada</w:t>
      </w:r>
      <w:r w:rsidRPr="00155F80">
        <w:rPr>
          <w:rFonts w:ascii="Times New Roman" w:hAnsi="Times New Roman"/>
          <w:lang w:val="hr-HR"/>
        </w:rPr>
        <w:t xml:space="preserve">. </w:t>
      </w:r>
      <w:r w:rsidRPr="00155F80">
        <w:rPr>
          <w:rFonts w:ascii="Times New Roman" w:hAnsi="Times New Roman"/>
        </w:rPr>
        <w:t>Nerije</w:t>
      </w:r>
      <w:r w:rsidRPr="00155F80">
        <w:rPr>
          <w:rFonts w:ascii="Times New Roman" w:hAnsi="Times New Roman"/>
          <w:lang w:val="hr-HR"/>
        </w:rPr>
        <w:t>š</w:t>
      </w:r>
      <w:r w:rsidRPr="00155F80">
        <w:rPr>
          <w:rFonts w:ascii="Times New Roman" w:hAnsi="Times New Roman"/>
        </w:rPr>
        <w:t>en</w:t>
      </w:r>
      <w:r w:rsidRPr="00155F80">
        <w:rPr>
          <w:rFonts w:ascii="Times New Roman" w:hAnsi="Times New Roman"/>
          <w:lang w:val="hr-HR"/>
        </w:rPr>
        <w:t xml:space="preserve"> </w:t>
      </w:r>
      <w:r w:rsidRPr="00155F80">
        <w:rPr>
          <w:rFonts w:ascii="Times New Roman" w:hAnsi="Times New Roman"/>
        </w:rPr>
        <w:t>je</w:t>
      </w:r>
      <w:r w:rsidRPr="00155F80">
        <w:rPr>
          <w:rFonts w:ascii="Times New Roman" w:hAnsi="Times New Roman"/>
          <w:lang w:val="hr-HR"/>
        </w:rPr>
        <w:t xml:space="preserve"> </w:t>
      </w:r>
      <w:r w:rsidRPr="00155F80">
        <w:rPr>
          <w:rFonts w:ascii="Times New Roman" w:hAnsi="Times New Roman"/>
        </w:rPr>
        <w:t>problem</w:t>
      </w:r>
      <w:r w:rsidRPr="00155F80">
        <w:rPr>
          <w:rFonts w:ascii="Times New Roman" w:hAnsi="Times New Roman"/>
          <w:lang w:val="hr-HR"/>
        </w:rPr>
        <w:t xml:space="preserve"> </w:t>
      </w:r>
      <w:r w:rsidRPr="00155F80">
        <w:rPr>
          <w:rFonts w:ascii="Times New Roman" w:hAnsi="Times New Roman"/>
        </w:rPr>
        <w:t>klaoni</w:t>
      </w:r>
      <w:r w:rsidRPr="00155F80">
        <w:rPr>
          <w:rFonts w:ascii="Times New Roman" w:hAnsi="Times New Roman"/>
          <w:lang w:val="hr-HR"/>
        </w:rPr>
        <w:t>č</w:t>
      </w:r>
      <w:r w:rsidRPr="00155F80">
        <w:rPr>
          <w:rFonts w:ascii="Times New Roman" w:hAnsi="Times New Roman"/>
        </w:rPr>
        <w:t>kog</w:t>
      </w:r>
      <w:r w:rsidRPr="00155F80">
        <w:rPr>
          <w:rFonts w:ascii="Times New Roman" w:hAnsi="Times New Roman"/>
          <w:lang w:val="hr-HR"/>
        </w:rPr>
        <w:t xml:space="preserve"> </w:t>
      </w:r>
      <w:r w:rsidRPr="00155F80">
        <w:rPr>
          <w:rFonts w:ascii="Times New Roman" w:hAnsi="Times New Roman"/>
        </w:rPr>
        <w:t>otpada</w:t>
      </w:r>
      <w:r w:rsidRPr="00155F80">
        <w:rPr>
          <w:rFonts w:ascii="Times New Roman" w:hAnsi="Times New Roman"/>
          <w:lang w:val="hr-HR"/>
        </w:rPr>
        <w:t xml:space="preserve">, </w:t>
      </w:r>
      <w:r w:rsidRPr="00155F80">
        <w:rPr>
          <w:rFonts w:ascii="Times New Roman" w:hAnsi="Times New Roman"/>
        </w:rPr>
        <w:t>koji</w:t>
      </w:r>
      <w:r w:rsidRPr="00155F80">
        <w:rPr>
          <w:rFonts w:ascii="Times New Roman" w:hAnsi="Times New Roman"/>
          <w:lang w:val="hr-HR"/>
        </w:rPr>
        <w:t xml:space="preserve"> </w:t>
      </w:r>
      <w:r w:rsidRPr="00155F80">
        <w:rPr>
          <w:rFonts w:ascii="Times New Roman" w:hAnsi="Times New Roman"/>
        </w:rPr>
        <w:t>se</w:t>
      </w:r>
      <w:r w:rsidRPr="00155F80">
        <w:rPr>
          <w:rFonts w:ascii="Times New Roman" w:hAnsi="Times New Roman"/>
          <w:lang w:val="hr-HR"/>
        </w:rPr>
        <w:t xml:space="preserve"> </w:t>
      </w:r>
      <w:r w:rsidRPr="00155F80">
        <w:rPr>
          <w:rFonts w:ascii="Times New Roman" w:hAnsi="Times New Roman"/>
        </w:rPr>
        <w:t>trenutno</w:t>
      </w:r>
      <w:r w:rsidRPr="00155F80">
        <w:rPr>
          <w:rFonts w:ascii="Times New Roman" w:hAnsi="Times New Roman"/>
          <w:lang w:val="hr-HR"/>
        </w:rPr>
        <w:t xml:space="preserve"> </w:t>
      </w:r>
      <w:r w:rsidRPr="00155F80">
        <w:rPr>
          <w:rFonts w:ascii="Times New Roman" w:hAnsi="Times New Roman"/>
        </w:rPr>
        <w:t>odla</w:t>
      </w:r>
      <w:r w:rsidRPr="00155F80">
        <w:rPr>
          <w:rFonts w:ascii="Times New Roman" w:hAnsi="Times New Roman"/>
          <w:lang w:val="hr-HR"/>
        </w:rPr>
        <w:t>ž</w:t>
      </w:r>
      <w:r w:rsidRPr="00155F80">
        <w:rPr>
          <w:rFonts w:ascii="Times New Roman" w:hAnsi="Times New Roman"/>
        </w:rPr>
        <w:t>e</w:t>
      </w:r>
      <w:r w:rsidRPr="00155F80">
        <w:rPr>
          <w:rFonts w:ascii="Times New Roman" w:hAnsi="Times New Roman"/>
          <w:lang w:val="hr-HR"/>
        </w:rPr>
        <w:t xml:space="preserve"> </w:t>
      </w:r>
      <w:r w:rsidRPr="00155F80">
        <w:rPr>
          <w:rFonts w:ascii="Times New Roman" w:hAnsi="Times New Roman"/>
        </w:rPr>
        <w:t>na</w:t>
      </w:r>
      <w:r w:rsidRPr="00155F80">
        <w:rPr>
          <w:rFonts w:ascii="Times New Roman" w:hAnsi="Times New Roman"/>
          <w:lang w:val="hr-HR"/>
        </w:rPr>
        <w:t xml:space="preserve"> </w:t>
      </w:r>
      <w:r w:rsidRPr="00155F80">
        <w:rPr>
          <w:rFonts w:ascii="Times New Roman" w:hAnsi="Times New Roman"/>
        </w:rPr>
        <w:t>deponiji</w:t>
      </w:r>
      <w:r w:rsidRPr="00155F80">
        <w:rPr>
          <w:rFonts w:ascii="Times New Roman" w:hAnsi="Times New Roman"/>
          <w:lang w:val="hr-HR"/>
        </w:rPr>
        <w:t xml:space="preserve">, </w:t>
      </w:r>
      <w:r w:rsidRPr="00155F80">
        <w:rPr>
          <w:rFonts w:ascii="Times New Roman" w:hAnsi="Times New Roman"/>
        </w:rPr>
        <w:t>dok</w:t>
      </w:r>
      <w:r w:rsidRPr="00155F80">
        <w:rPr>
          <w:rFonts w:ascii="Times New Roman" w:hAnsi="Times New Roman"/>
          <w:lang w:val="hr-HR"/>
        </w:rPr>
        <w:t xml:space="preserve"> </w:t>
      </w:r>
      <w:r w:rsidRPr="00155F80">
        <w:rPr>
          <w:rFonts w:ascii="Times New Roman" w:hAnsi="Times New Roman"/>
        </w:rPr>
        <w:t>se</w:t>
      </w:r>
      <w:r w:rsidRPr="00155F80">
        <w:rPr>
          <w:rFonts w:ascii="Times New Roman" w:hAnsi="Times New Roman"/>
          <w:lang w:val="hr-HR"/>
        </w:rPr>
        <w:t xml:space="preserve"> </w:t>
      </w:r>
      <w:r w:rsidRPr="00155F80">
        <w:rPr>
          <w:rFonts w:ascii="Times New Roman" w:hAnsi="Times New Roman"/>
        </w:rPr>
        <w:t>le</w:t>
      </w:r>
      <w:r w:rsidRPr="00155F80">
        <w:rPr>
          <w:rFonts w:ascii="Times New Roman" w:hAnsi="Times New Roman"/>
          <w:lang w:val="hr-HR"/>
        </w:rPr>
        <w:t>š</w:t>
      </w:r>
      <w:r w:rsidRPr="00155F80">
        <w:rPr>
          <w:rFonts w:ascii="Times New Roman" w:hAnsi="Times New Roman"/>
        </w:rPr>
        <w:t>evi</w:t>
      </w:r>
      <w:r w:rsidRPr="00155F80">
        <w:rPr>
          <w:rFonts w:ascii="Times New Roman" w:hAnsi="Times New Roman"/>
          <w:lang w:val="hr-HR"/>
        </w:rPr>
        <w:t xml:space="preserve"> </w:t>
      </w:r>
      <w:r w:rsidRPr="00155F80">
        <w:rPr>
          <w:rFonts w:ascii="Times New Roman" w:hAnsi="Times New Roman"/>
        </w:rPr>
        <w:t>uginulih</w:t>
      </w:r>
      <w:r w:rsidRPr="00155F80">
        <w:rPr>
          <w:rFonts w:ascii="Times New Roman" w:hAnsi="Times New Roman"/>
          <w:lang w:val="hr-HR"/>
        </w:rPr>
        <w:t xml:space="preserve"> </w:t>
      </w:r>
      <w:r w:rsidRPr="00155F80">
        <w:rPr>
          <w:rFonts w:ascii="Times New Roman" w:hAnsi="Times New Roman"/>
        </w:rPr>
        <w:t>i</w:t>
      </w:r>
      <w:r w:rsidRPr="00155F80">
        <w:rPr>
          <w:rFonts w:ascii="Times New Roman" w:hAnsi="Times New Roman"/>
          <w:lang w:val="hr-HR"/>
        </w:rPr>
        <w:t xml:space="preserve"> </w:t>
      </w:r>
      <w:r w:rsidRPr="00155F80">
        <w:rPr>
          <w:rFonts w:ascii="Times New Roman" w:hAnsi="Times New Roman"/>
        </w:rPr>
        <w:t>eutanaziranih</w:t>
      </w:r>
      <w:r w:rsidRPr="00155F80">
        <w:rPr>
          <w:rFonts w:ascii="Times New Roman" w:hAnsi="Times New Roman"/>
          <w:lang w:val="hr-HR"/>
        </w:rPr>
        <w:t xml:space="preserve"> ž</w:t>
      </w:r>
      <w:r w:rsidRPr="00155F80">
        <w:rPr>
          <w:rFonts w:ascii="Times New Roman" w:hAnsi="Times New Roman"/>
        </w:rPr>
        <w:t>ivotinja</w:t>
      </w:r>
      <w:r w:rsidRPr="00155F80">
        <w:rPr>
          <w:rFonts w:ascii="Times New Roman" w:hAnsi="Times New Roman"/>
          <w:lang w:val="hr-HR"/>
        </w:rPr>
        <w:t xml:space="preserve"> </w:t>
      </w:r>
      <w:r w:rsidRPr="00155F80">
        <w:rPr>
          <w:rFonts w:ascii="Times New Roman" w:hAnsi="Times New Roman"/>
        </w:rPr>
        <w:t>odla</w:t>
      </w:r>
      <w:r w:rsidRPr="00155F80">
        <w:rPr>
          <w:rFonts w:ascii="Times New Roman" w:hAnsi="Times New Roman"/>
          <w:lang w:val="hr-HR"/>
        </w:rPr>
        <w:t>ž</w:t>
      </w:r>
      <w:r w:rsidRPr="00155F80">
        <w:rPr>
          <w:rFonts w:ascii="Times New Roman" w:hAnsi="Times New Roman"/>
        </w:rPr>
        <w:t>u</w:t>
      </w:r>
      <w:r w:rsidRPr="00155F80">
        <w:rPr>
          <w:rFonts w:ascii="Times New Roman" w:hAnsi="Times New Roman"/>
          <w:lang w:val="hr-HR"/>
        </w:rPr>
        <w:t xml:space="preserve"> </w:t>
      </w:r>
      <w:r w:rsidRPr="00155F80">
        <w:rPr>
          <w:rFonts w:ascii="Times New Roman" w:hAnsi="Times New Roman"/>
        </w:rPr>
        <w:t>u</w:t>
      </w:r>
      <w:r w:rsidRPr="00155F80">
        <w:rPr>
          <w:rFonts w:ascii="Times New Roman" w:hAnsi="Times New Roman"/>
          <w:lang w:val="hr-HR"/>
        </w:rPr>
        <w:t xml:space="preserve"> </w:t>
      </w:r>
      <w:r w:rsidRPr="00155F80">
        <w:rPr>
          <w:rFonts w:ascii="Times New Roman" w:hAnsi="Times New Roman"/>
        </w:rPr>
        <w:t>posebno</w:t>
      </w:r>
      <w:r w:rsidRPr="00155F80">
        <w:rPr>
          <w:rFonts w:ascii="Times New Roman" w:hAnsi="Times New Roman"/>
          <w:lang w:val="hr-HR"/>
        </w:rPr>
        <w:t xml:space="preserve"> </w:t>
      </w:r>
      <w:r w:rsidRPr="00155F80">
        <w:rPr>
          <w:rFonts w:ascii="Times New Roman" w:hAnsi="Times New Roman"/>
        </w:rPr>
        <w:t>izgra</w:t>
      </w:r>
      <w:r w:rsidRPr="00155F80">
        <w:rPr>
          <w:rFonts w:ascii="Times New Roman" w:hAnsi="Times New Roman"/>
          <w:lang w:val="hr-HR"/>
        </w:rPr>
        <w:t>đ</w:t>
      </w:r>
      <w:r w:rsidRPr="00155F80">
        <w:rPr>
          <w:rFonts w:ascii="Times New Roman" w:hAnsi="Times New Roman"/>
        </w:rPr>
        <w:t>ene</w:t>
      </w:r>
      <w:r w:rsidRPr="00155F80">
        <w:rPr>
          <w:rFonts w:ascii="Times New Roman" w:hAnsi="Times New Roman"/>
          <w:lang w:val="hr-HR"/>
        </w:rPr>
        <w:t xml:space="preserve"> </w:t>
      </w:r>
      <w:r w:rsidRPr="00155F80">
        <w:rPr>
          <w:rFonts w:ascii="Times New Roman" w:hAnsi="Times New Roman"/>
        </w:rPr>
        <w:t>jame</w:t>
      </w:r>
      <w:r w:rsidRPr="00155F80">
        <w:rPr>
          <w:rFonts w:ascii="Times New Roman" w:hAnsi="Times New Roman"/>
          <w:lang w:val="hr-HR"/>
        </w:rPr>
        <w:t>-</w:t>
      </w:r>
      <w:r w:rsidRPr="00155F80">
        <w:rPr>
          <w:rFonts w:ascii="Times New Roman" w:hAnsi="Times New Roman"/>
        </w:rPr>
        <w:t>grobnice</w:t>
      </w:r>
      <w:r w:rsidRPr="00155F80">
        <w:rPr>
          <w:rFonts w:ascii="Times New Roman" w:hAnsi="Times New Roman"/>
          <w:lang w:val="hr-HR"/>
        </w:rPr>
        <w:t xml:space="preserve">. </w:t>
      </w:r>
      <w:r w:rsidRPr="00155F80">
        <w:rPr>
          <w:rFonts w:ascii="Times New Roman" w:hAnsi="Times New Roman"/>
        </w:rPr>
        <w:t>S</w:t>
      </w:r>
      <w:r w:rsidRPr="00155F80">
        <w:rPr>
          <w:rFonts w:ascii="Times New Roman" w:hAnsi="Times New Roman"/>
          <w:lang w:val="hr-HR"/>
        </w:rPr>
        <w:t xml:space="preserve"> </w:t>
      </w:r>
      <w:r w:rsidRPr="00155F80">
        <w:rPr>
          <w:rFonts w:ascii="Times New Roman" w:hAnsi="Times New Roman"/>
        </w:rPr>
        <w:t>druge</w:t>
      </w:r>
      <w:r w:rsidRPr="00155F80">
        <w:rPr>
          <w:rFonts w:ascii="Times New Roman" w:hAnsi="Times New Roman"/>
          <w:lang w:val="hr-HR"/>
        </w:rPr>
        <w:t xml:space="preserve"> </w:t>
      </w:r>
      <w:r w:rsidRPr="00155F80">
        <w:rPr>
          <w:rFonts w:ascii="Times New Roman" w:hAnsi="Times New Roman"/>
        </w:rPr>
        <w:t>strane</w:t>
      </w:r>
      <w:r w:rsidRPr="00155F80">
        <w:rPr>
          <w:rFonts w:ascii="Times New Roman" w:hAnsi="Times New Roman"/>
          <w:lang w:val="hr-HR"/>
        </w:rPr>
        <w:t xml:space="preserve">, </w:t>
      </w:r>
      <w:r w:rsidRPr="00155F80">
        <w:rPr>
          <w:rFonts w:ascii="Times New Roman" w:hAnsi="Times New Roman"/>
        </w:rPr>
        <w:t>medicinski</w:t>
      </w:r>
      <w:r w:rsidRPr="00155F80">
        <w:rPr>
          <w:rFonts w:ascii="Times New Roman" w:hAnsi="Times New Roman"/>
          <w:lang w:val="hr-HR"/>
        </w:rPr>
        <w:t xml:space="preserve"> </w:t>
      </w:r>
      <w:r w:rsidRPr="00155F80">
        <w:rPr>
          <w:rFonts w:ascii="Times New Roman" w:hAnsi="Times New Roman"/>
        </w:rPr>
        <w:t>otpad</w:t>
      </w:r>
      <w:r w:rsidRPr="00155F80">
        <w:rPr>
          <w:rFonts w:ascii="Times New Roman" w:hAnsi="Times New Roman"/>
          <w:lang w:val="hr-HR"/>
        </w:rPr>
        <w:t xml:space="preserve"> </w:t>
      </w:r>
      <w:r w:rsidRPr="00155F80">
        <w:rPr>
          <w:rFonts w:ascii="Times New Roman" w:hAnsi="Times New Roman"/>
        </w:rPr>
        <w:t>je</w:t>
      </w:r>
      <w:r w:rsidRPr="00155F80">
        <w:rPr>
          <w:rFonts w:ascii="Times New Roman" w:hAnsi="Times New Roman"/>
          <w:lang w:val="hr-HR"/>
        </w:rPr>
        <w:t xml:space="preserve"> </w:t>
      </w:r>
      <w:r w:rsidRPr="00155F80">
        <w:rPr>
          <w:rFonts w:ascii="Times New Roman" w:hAnsi="Times New Roman"/>
        </w:rPr>
        <w:t>uglavnom</w:t>
      </w:r>
      <w:r w:rsidRPr="00155F80">
        <w:rPr>
          <w:rFonts w:ascii="Times New Roman" w:hAnsi="Times New Roman"/>
          <w:lang w:val="hr-HR"/>
        </w:rPr>
        <w:t xml:space="preserve"> </w:t>
      </w:r>
      <w:r w:rsidRPr="00155F80">
        <w:rPr>
          <w:rFonts w:ascii="Times New Roman" w:hAnsi="Times New Roman"/>
        </w:rPr>
        <w:t>dobro</w:t>
      </w:r>
      <w:r w:rsidRPr="00155F80">
        <w:rPr>
          <w:rFonts w:ascii="Times New Roman" w:hAnsi="Times New Roman"/>
          <w:lang w:val="hr-HR"/>
        </w:rPr>
        <w:t xml:space="preserve"> </w:t>
      </w:r>
      <w:r w:rsidRPr="00155F80">
        <w:rPr>
          <w:rFonts w:ascii="Times New Roman" w:hAnsi="Times New Roman"/>
        </w:rPr>
        <w:t>rije</w:t>
      </w:r>
      <w:r w:rsidRPr="00155F80">
        <w:rPr>
          <w:rFonts w:ascii="Times New Roman" w:hAnsi="Times New Roman"/>
          <w:lang w:val="hr-HR"/>
        </w:rPr>
        <w:t>š</w:t>
      </w:r>
      <w:r w:rsidRPr="00155F80">
        <w:rPr>
          <w:rFonts w:ascii="Times New Roman" w:hAnsi="Times New Roman"/>
        </w:rPr>
        <w:t>en</w:t>
      </w:r>
      <w:r w:rsidRPr="00155F80">
        <w:rPr>
          <w:rFonts w:ascii="Times New Roman" w:hAnsi="Times New Roman"/>
          <w:lang w:val="hr-HR"/>
        </w:rPr>
        <w:t xml:space="preserve">, </w:t>
      </w:r>
      <w:r w:rsidRPr="00155F80">
        <w:rPr>
          <w:rFonts w:ascii="Times New Roman" w:hAnsi="Times New Roman"/>
        </w:rPr>
        <w:t>s</w:t>
      </w:r>
      <w:r w:rsidRPr="00155F80">
        <w:rPr>
          <w:rFonts w:ascii="Times New Roman" w:hAnsi="Times New Roman"/>
          <w:lang w:val="hr-HR"/>
        </w:rPr>
        <w:t xml:space="preserve"> </w:t>
      </w:r>
      <w:r w:rsidRPr="00155F80">
        <w:rPr>
          <w:rFonts w:ascii="Times New Roman" w:hAnsi="Times New Roman"/>
        </w:rPr>
        <w:t>tim</w:t>
      </w:r>
      <w:r w:rsidRPr="00155F80">
        <w:rPr>
          <w:rFonts w:ascii="Times New Roman" w:hAnsi="Times New Roman"/>
          <w:lang w:val="hr-HR"/>
        </w:rPr>
        <w:t xml:space="preserve"> </w:t>
      </w:r>
      <w:r w:rsidRPr="00155F80">
        <w:rPr>
          <w:rFonts w:ascii="Times New Roman" w:hAnsi="Times New Roman"/>
        </w:rPr>
        <w:t>da</w:t>
      </w:r>
      <w:r w:rsidRPr="00155F80">
        <w:rPr>
          <w:rFonts w:ascii="Times New Roman" w:hAnsi="Times New Roman"/>
          <w:lang w:val="hr-HR"/>
        </w:rPr>
        <w:t xml:space="preserve"> </w:t>
      </w:r>
      <w:r w:rsidRPr="00155F80">
        <w:rPr>
          <w:rFonts w:ascii="Times New Roman" w:hAnsi="Times New Roman"/>
        </w:rPr>
        <w:t>je</w:t>
      </w:r>
      <w:r w:rsidRPr="00155F80">
        <w:rPr>
          <w:rFonts w:ascii="Times New Roman" w:hAnsi="Times New Roman"/>
          <w:lang w:val="hr-HR"/>
        </w:rPr>
        <w:t xml:space="preserve"> </w:t>
      </w:r>
      <w:r w:rsidRPr="00155F80">
        <w:rPr>
          <w:rFonts w:ascii="Times New Roman" w:hAnsi="Times New Roman"/>
        </w:rPr>
        <w:t>potrebno</w:t>
      </w:r>
      <w:r w:rsidRPr="00155F80">
        <w:rPr>
          <w:rFonts w:ascii="Times New Roman" w:hAnsi="Times New Roman"/>
          <w:lang w:val="hr-HR"/>
        </w:rPr>
        <w:t xml:space="preserve"> </w:t>
      </w:r>
      <w:r w:rsidRPr="00155F80">
        <w:rPr>
          <w:rFonts w:ascii="Times New Roman" w:hAnsi="Times New Roman"/>
        </w:rPr>
        <w:t>sve</w:t>
      </w:r>
      <w:r w:rsidRPr="00155F80">
        <w:rPr>
          <w:rFonts w:ascii="Times New Roman" w:hAnsi="Times New Roman"/>
          <w:lang w:val="hr-HR"/>
        </w:rPr>
        <w:t xml:space="preserve"> </w:t>
      </w:r>
      <w:r w:rsidRPr="00155F80">
        <w:rPr>
          <w:rFonts w:ascii="Times New Roman" w:hAnsi="Times New Roman"/>
        </w:rPr>
        <w:t>zdravstvene</w:t>
      </w:r>
      <w:r w:rsidRPr="00155F80">
        <w:rPr>
          <w:rFonts w:ascii="Times New Roman" w:hAnsi="Times New Roman"/>
          <w:lang w:val="hr-HR"/>
        </w:rPr>
        <w:t xml:space="preserve"> </w:t>
      </w:r>
      <w:r w:rsidRPr="00155F80">
        <w:rPr>
          <w:rFonts w:ascii="Times New Roman" w:hAnsi="Times New Roman"/>
        </w:rPr>
        <w:t>ustanove</w:t>
      </w:r>
      <w:r w:rsidRPr="00155F80">
        <w:rPr>
          <w:rFonts w:ascii="Times New Roman" w:hAnsi="Times New Roman"/>
          <w:lang w:val="hr-HR"/>
        </w:rPr>
        <w:t xml:space="preserve"> </w:t>
      </w:r>
      <w:r w:rsidRPr="00155F80">
        <w:rPr>
          <w:rFonts w:ascii="Times New Roman" w:hAnsi="Times New Roman"/>
        </w:rPr>
        <w:t>uklju</w:t>
      </w:r>
      <w:r w:rsidRPr="00155F80">
        <w:rPr>
          <w:rFonts w:ascii="Times New Roman" w:hAnsi="Times New Roman"/>
          <w:lang w:val="hr-HR"/>
        </w:rPr>
        <w:t>č</w:t>
      </w:r>
      <w:r w:rsidRPr="00155F80">
        <w:rPr>
          <w:rFonts w:ascii="Times New Roman" w:hAnsi="Times New Roman"/>
        </w:rPr>
        <w:t>iti</w:t>
      </w:r>
      <w:r w:rsidRPr="00155F80">
        <w:rPr>
          <w:rFonts w:ascii="Times New Roman" w:hAnsi="Times New Roman"/>
          <w:lang w:val="hr-HR"/>
        </w:rPr>
        <w:t xml:space="preserve"> </w:t>
      </w:r>
      <w:r w:rsidRPr="00155F80">
        <w:rPr>
          <w:rFonts w:ascii="Times New Roman" w:hAnsi="Times New Roman"/>
        </w:rPr>
        <w:t>u</w:t>
      </w:r>
      <w:r w:rsidRPr="00155F80">
        <w:rPr>
          <w:rFonts w:ascii="Times New Roman" w:hAnsi="Times New Roman"/>
          <w:lang w:val="hr-HR"/>
        </w:rPr>
        <w:t xml:space="preserve"> </w:t>
      </w:r>
      <w:r w:rsidRPr="00155F80">
        <w:rPr>
          <w:rFonts w:ascii="Times New Roman" w:hAnsi="Times New Roman"/>
        </w:rPr>
        <w:t>organiz</w:t>
      </w:r>
      <w:r w:rsidR="0085238E">
        <w:rPr>
          <w:rFonts w:ascii="Times New Roman" w:hAnsi="Times New Roman"/>
        </w:rPr>
        <w:t>ira</w:t>
      </w:r>
      <w:r w:rsidRPr="00155F80">
        <w:rPr>
          <w:rFonts w:ascii="Times New Roman" w:hAnsi="Times New Roman"/>
        </w:rPr>
        <w:t>ni</w:t>
      </w:r>
      <w:r w:rsidRPr="00155F80">
        <w:rPr>
          <w:rFonts w:ascii="Times New Roman" w:hAnsi="Times New Roman"/>
          <w:lang w:val="hr-HR"/>
        </w:rPr>
        <w:t xml:space="preserve"> </w:t>
      </w:r>
      <w:r w:rsidRPr="00155F80">
        <w:rPr>
          <w:rFonts w:ascii="Times New Roman" w:hAnsi="Times New Roman"/>
        </w:rPr>
        <w:t>s</w:t>
      </w:r>
      <w:r w:rsidR="0085238E">
        <w:rPr>
          <w:rFonts w:ascii="Times New Roman" w:hAnsi="Times New Roman"/>
        </w:rPr>
        <w:t>ustav</w:t>
      </w:r>
      <w:r w:rsidRPr="00155F80">
        <w:rPr>
          <w:rFonts w:ascii="Times New Roman" w:hAnsi="Times New Roman"/>
          <w:lang w:val="hr-HR"/>
        </w:rPr>
        <w:t xml:space="preserve"> </w:t>
      </w:r>
      <w:r w:rsidRPr="00155F80">
        <w:rPr>
          <w:rFonts w:ascii="Times New Roman" w:hAnsi="Times New Roman"/>
        </w:rPr>
        <w:t>zbrinjavanja</w:t>
      </w:r>
      <w:r w:rsidRPr="00155F80">
        <w:rPr>
          <w:rFonts w:ascii="Times New Roman" w:hAnsi="Times New Roman"/>
          <w:lang w:val="hr-HR"/>
        </w:rPr>
        <w:t xml:space="preserve"> </w:t>
      </w:r>
      <w:r w:rsidRPr="00155F80">
        <w:rPr>
          <w:rFonts w:ascii="Times New Roman" w:hAnsi="Times New Roman"/>
        </w:rPr>
        <w:t>ovog</w:t>
      </w:r>
      <w:r w:rsidRPr="00155F80">
        <w:rPr>
          <w:rFonts w:ascii="Times New Roman" w:hAnsi="Times New Roman"/>
          <w:lang w:val="hr-HR"/>
        </w:rPr>
        <w:t xml:space="preserve"> </w:t>
      </w:r>
      <w:r w:rsidRPr="00155F80">
        <w:rPr>
          <w:rFonts w:ascii="Times New Roman" w:hAnsi="Times New Roman"/>
        </w:rPr>
        <w:t>otpada</w:t>
      </w:r>
      <w:r w:rsidRPr="00155F80">
        <w:rPr>
          <w:rFonts w:ascii="Times New Roman" w:hAnsi="Times New Roman"/>
          <w:lang w:val="hr-HR"/>
        </w:rPr>
        <w:t xml:space="preserve">. </w:t>
      </w:r>
      <w:r w:rsidRPr="00155F80">
        <w:rPr>
          <w:rFonts w:ascii="Times New Roman" w:hAnsi="Times New Roman"/>
        </w:rPr>
        <w:t>S</w:t>
      </w:r>
      <w:r w:rsidRPr="00155F80">
        <w:rPr>
          <w:rFonts w:ascii="Times New Roman" w:hAnsi="Times New Roman"/>
          <w:lang w:val="hr-HR"/>
        </w:rPr>
        <w:t xml:space="preserve"> </w:t>
      </w:r>
      <w:r w:rsidRPr="00155F80">
        <w:rPr>
          <w:rFonts w:ascii="Times New Roman" w:hAnsi="Times New Roman"/>
        </w:rPr>
        <w:t>tim</w:t>
      </w:r>
      <w:r w:rsidRPr="00155F80">
        <w:rPr>
          <w:rFonts w:ascii="Times New Roman" w:hAnsi="Times New Roman"/>
          <w:lang w:val="hr-HR"/>
        </w:rPr>
        <w:t xml:space="preserve"> </w:t>
      </w:r>
      <w:r w:rsidRPr="00155F80">
        <w:rPr>
          <w:rFonts w:ascii="Times New Roman" w:hAnsi="Times New Roman"/>
        </w:rPr>
        <w:t>u</w:t>
      </w:r>
      <w:r w:rsidRPr="00155F80">
        <w:rPr>
          <w:rFonts w:ascii="Times New Roman" w:hAnsi="Times New Roman"/>
          <w:lang w:val="hr-HR"/>
        </w:rPr>
        <w:t xml:space="preserve"> </w:t>
      </w:r>
      <w:r w:rsidR="0085238E">
        <w:rPr>
          <w:rFonts w:ascii="Times New Roman" w:hAnsi="Times New Roman"/>
          <w:lang w:val="hr-HR"/>
        </w:rPr>
        <w:t>s</w:t>
      </w:r>
      <w:r w:rsidRPr="00155F80">
        <w:rPr>
          <w:rFonts w:ascii="Times New Roman" w:hAnsi="Times New Roman"/>
        </w:rPr>
        <w:t>vezi</w:t>
      </w:r>
      <w:r w:rsidRPr="00155F80">
        <w:rPr>
          <w:rFonts w:ascii="Times New Roman" w:hAnsi="Times New Roman"/>
          <w:lang w:val="hr-HR"/>
        </w:rPr>
        <w:t xml:space="preserve">, </w:t>
      </w:r>
      <w:r w:rsidRPr="00155F80">
        <w:rPr>
          <w:rFonts w:ascii="Times New Roman" w:hAnsi="Times New Roman"/>
        </w:rPr>
        <w:t>svaka</w:t>
      </w:r>
      <w:r w:rsidRPr="00155F80">
        <w:rPr>
          <w:rFonts w:ascii="Times New Roman" w:hAnsi="Times New Roman"/>
          <w:lang w:val="hr-HR"/>
        </w:rPr>
        <w:t xml:space="preserve"> </w:t>
      </w:r>
      <w:r w:rsidRPr="00155F80">
        <w:rPr>
          <w:rFonts w:ascii="Times New Roman" w:hAnsi="Times New Roman"/>
        </w:rPr>
        <w:t>zdravstvena</w:t>
      </w:r>
      <w:r w:rsidRPr="00155F80">
        <w:rPr>
          <w:rFonts w:ascii="Times New Roman" w:hAnsi="Times New Roman"/>
          <w:lang w:val="hr-HR"/>
        </w:rPr>
        <w:t xml:space="preserve"> </w:t>
      </w:r>
      <w:r w:rsidRPr="00155F80">
        <w:rPr>
          <w:rFonts w:ascii="Times New Roman" w:hAnsi="Times New Roman"/>
        </w:rPr>
        <w:t>ustanova</w:t>
      </w:r>
      <w:r w:rsidRPr="00155F80">
        <w:rPr>
          <w:rFonts w:ascii="Times New Roman" w:hAnsi="Times New Roman"/>
          <w:lang w:val="hr-HR"/>
        </w:rPr>
        <w:t xml:space="preserve"> </w:t>
      </w:r>
      <w:r w:rsidRPr="00155F80">
        <w:rPr>
          <w:rFonts w:ascii="Times New Roman" w:hAnsi="Times New Roman"/>
        </w:rPr>
        <w:t>ima</w:t>
      </w:r>
      <w:r w:rsidRPr="00155F80">
        <w:rPr>
          <w:rFonts w:ascii="Times New Roman" w:hAnsi="Times New Roman"/>
          <w:lang w:val="hr-HR"/>
        </w:rPr>
        <w:t xml:space="preserve"> </w:t>
      </w:r>
      <w:r w:rsidRPr="00155F80">
        <w:rPr>
          <w:rFonts w:ascii="Times New Roman" w:hAnsi="Times New Roman"/>
        </w:rPr>
        <w:t>obvezu</w:t>
      </w:r>
      <w:r w:rsidRPr="00155F80">
        <w:rPr>
          <w:rFonts w:ascii="Times New Roman" w:hAnsi="Times New Roman"/>
          <w:lang w:val="hr-HR"/>
        </w:rPr>
        <w:t xml:space="preserve"> </w:t>
      </w:r>
      <w:r w:rsidRPr="00155F80">
        <w:rPr>
          <w:rFonts w:ascii="Times New Roman" w:hAnsi="Times New Roman"/>
        </w:rPr>
        <w:t>pripremiti</w:t>
      </w:r>
      <w:r w:rsidRPr="00155F80">
        <w:rPr>
          <w:rFonts w:ascii="Times New Roman" w:hAnsi="Times New Roman"/>
          <w:lang w:val="hr-HR"/>
        </w:rPr>
        <w:t xml:space="preserve"> </w:t>
      </w:r>
      <w:r w:rsidRPr="00155F80">
        <w:rPr>
          <w:rFonts w:ascii="Times New Roman" w:hAnsi="Times New Roman"/>
        </w:rPr>
        <w:t>plan</w:t>
      </w:r>
      <w:r w:rsidRPr="00155F80">
        <w:rPr>
          <w:rFonts w:ascii="Times New Roman" w:hAnsi="Times New Roman"/>
          <w:lang w:val="hr-HR"/>
        </w:rPr>
        <w:t xml:space="preserve"> </w:t>
      </w:r>
      <w:r w:rsidRPr="00155F80">
        <w:rPr>
          <w:rFonts w:ascii="Times New Roman" w:hAnsi="Times New Roman"/>
        </w:rPr>
        <w:t>upravljanja</w:t>
      </w:r>
      <w:r w:rsidRPr="00155F80">
        <w:rPr>
          <w:rFonts w:ascii="Times New Roman" w:hAnsi="Times New Roman"/>
          <w:lang w:val="hr-HR"/>
        </w:rPr>
        <w:t xml:space="preserve"> </w:t>
      </w:r>
      <w:r w:rsidRPr="00155F80">
        <w:rPr>
          <w:rFonts w:ascii="Times New Roman" w:hAnsi="Times New Roman"/>
        </w:rPr>
        <w:t>medicinskim</w:t>
      </w:r>
      <w:r w:rsidRPr="00155F80">
        <w:rPr>
          <w:rFonts w:ascii="Times New Roman" w:hAnsi="Times New Roman"/>
          <w:lang w:val="hr-HR"/>
        </w:rPr>
        <w:t xml:space="preserve"> </w:t>
      </w:r>
      <w:r w:rsidRPr="00155F80">
        <w:rPr>
          <w:rFonts w:ascii="Times New Roman" w:hAnsi="Times New Roman"/>
        </w:rPr>
        <w:t>otpadom</w:t>
      </w:r>
      <w:r w:rsidRPr="00155F80">
        <w:rPr>
          <w:rFonts w:ascii="Times New Roman" w:hAnsi="Times New Roman"/>
          <w:lang w:val="hr-HR"/>
        </w:rPr>
        <w:t>.</w:t>
      </w:r>
    </w:p>
    <w:p w:rsidR="00A131AD" w:rsidRPr="00155F80" w:rsidRDefault="00A131AD" w:rsidP="000C0138">
      <w:pPr>
        <w:spacing w:line="276" w:lineRule="auto"/>
        <w:rPr>
          <w:rFonts w:ascii="Times New Roman" w:hAnsi="Times New Roman"/>
          <w:lang w:val="hr-HR"/>
        </w:rPr>
      </w:pPr>
      <w:r w:rsidRPr="00155F80">
        <w:rPr>
          <w:rFonts w:ascii="Times New Roman" w:hAnsi="Times New Roman"/>
        </w:rPr>
        <w:t>Sredstvima</w:t>
      </w:r>
      <w:r w:rsidRPr="00155F80">
        <w:rPr>
          <w:rFonts w:ascii="Times New Roman" w:hAnsi="Times New Roman"/>
          <w:lang w:val="hr-HR"/>
        </w:rPr>
        <w:t xml:space="preserve"> </w:t>
      </w:r>
      <w:r w:rsidRPr="00155F80">
        <w:rPr>
          <w:rFonts w:ascii="Times New Roman" w:hAnsi="Times New Roman"/>
        </w:rPr>
        <w:t>Svjetske</w:t>
      </w:r>
      <w:r w:rsidRPr="00155F80">
        <w:rPr>
          <w:rFonts w:ascii="Times New Roman" w:hAnsi="Times New Roman"/>
          <w:lang w:val="hr-HR"/>
        </w:rPr>
        <w:t xml:space="preserve"> </w:t>
      </w:r>
      <w:r w:rsidRPr="00155F80">
        <w:rPr>
          <w:rFonts w:ascii="Times New Roman" w:hAnsi="Times New Roman"/>
        </w:rPr>
        <w:t>banke</w:t>
      </w:r>
      <w:r w:rsidRPr="00155F80">
        <w:rPr>
          <w:rFonts w:ascii="Times New Roman" w:hAnsi="Times New Roman"/>
          <w:lang w:val="hr-HR"/>
        </w:rPr>
        <w:t xml:space="preserve"> </w:t>
      </w:r>
      <w:r w:rsidRPr="00155F80">
        <w:rPr>
          <w:rFonts w:ascii="Times New Roman" w:hAnsi="Times New Roman"/>
        </w:rPr>
        <w:t>u</w:t>
      </w:r>
      <w:r w:rsidRPr="00155F80">
        <w:rPr>
          <w:rFonts w:ascii="Times New Roman" w:hAnsi="Times New Roman"/>
          <w:lang w:val="hr-HR"/>
        </w:rPr>
        <w:t xml:space="preserve"> </w:t>
      </w:r>
      <w:r w:rsidRPr="00155F80">
        <w:rPr>
          <w:rFonts w:ascii="Times New Roman" w:hAnsi="Times New Roman"/>
        </w:rPr>
        <w:t>Zeni</w:t>
      </w:r>
      <w:r w:rsidRPr="00155F80">
        <w:rPr>
          <w:rFonts w:ascii="Times New Roman" w:hAnsi="Times New Roman"/>
          <w:lang w:val="hr-HR"/>
        </w:rPr>
        <w:t>č</w:t>
      </w:r>
      <w:r w:rsidRPr="00155F80">
        <w:rPr>
          <w:rFonts w:ascii="Times New Roman" w:hAnsi="Times New Roman"/>
        </w:rPr>
        <w:t>ko</w:t>
      </w:r>
      <w:r w:rsidRPr="00155F80">
        <w:rPr>
          <w:rFonts w:ascii="Times New Roman" w:hAnsi="Times New Roman"/>
          <w:lang w:val="hr-HR"/>
        </w:rPr>
        <w:t>-</w:t>
      </w:r>
      <w:r w:rsidRPr="00155F80">
        <w:rPr>
          <w:rFonts w:ascii="Times New Roman" w:hAnsi="Times New Roman"/>
        </w:rPr>
        <w:t>dobojskom</w:t>
      </w:r>
      <w:r w:rsidRPr="00155F80">
        <w:rPr>
          <w:rFonts w:ascii="Times New Roman" w:hAnsi="Times New Roman"/>
          <w:lang w:val="hr-HR"/>
        </w:rPr>
        <w:t xml:space="preserve"> </w:t>
      </w:r>
      <w:r w:rsidRPr="00155F80">
        <w:rPr>
          <w:rFonts w:ascii="Times New Roman" w:hAnsi="Times New Roman"/>
        </w:rPr>
        <w:t>Kantonu</w:t>
      </w:r>
      <w:r w:rsidRPr="00155F80">
        <w:rPr>
          <w:rFonts w:ascii="Times New Roman" w:hAnsi="Times New Roman"/>
          <w:lang w:val="hr-HR"/>
        </w:rPr>
        <w:t xml:space="preserve"> </w:t>
      </w:r>
      <w:r w:rsidRPr="00155F80">
        <w:rPr>
          <w:rFonts w:ascii="Times New Roman" w:hAnsi="Times New Roman"/>
        </w:rPr>
        <w:t>izgra</w:t>
      </w:r>
      <w:r w:rsidRPr="00155F80">
        <w:rPr>
          <w:rFonts w:ascii="Times New Roman" w:hAnsi="Times New Roman"/>
          <w:lang w:val="hr-HR"/>
        </w:rPr>
        <w:t>đ</w:t>
      </w:r>
      <w:r w:rsidRPr="00155F80">
        <w:rPr>
          <w:rFonts w:ascii="Times New Roman" w:hAnsi="Times New Roman"/>
        </w:rPr>
        <w:t>en</w:t>
      </w:r>
      <w:r w:rsidR="0085238E">
        <w:rPr>
          <w:rFonts w:ascii="Times New Roman" w:hAnsi="Times New Roman"/>
        </w:rPr>
        <w:t>o</w:t>
      </w:r>
      <w:r w:rsidRPr="00155F80">
        <w:rPr>
          <w:rFonts w:ascii="Times New Roman" w:hAnsi="Times New Roman"/>
          <w:lang w:val="hr-HR"/>
        </w:rPr>
        <w:t xml:space="preserve"> </w:t>
      </w:r>
      <w:r w:rsidRPr="00155F80">
        <w:rPr>
          <w:rFonts w:ascii="Times New Roman" w:hAnsi="Times New Roman"/>
        </w:rPr>
        <w:t>je</w:t>
      </w:r>
      <w:r w:rsidRPr="00155F80">
        <w:rPr>
          <w:rFonts w:ascii="Times New Roman" w:hAnsi="Times New Roman"/>
          <w:lang w:val="hr-HR"/>
        </w:rPr>
        <w:t xml:space="preserve"> </w:t>
      </w:r>
      <w:r w:rsidRPr="00155F80">
        <w:rPr>
          <w:rFonts w:ascii="Times New Roman" w:hAnsi="Times New Roman"/>
        </w:rPr>
        <w:t>regionalna</w:t>
      </w:r>
      <w:r w:rsidRPr="00155F80">
        <w:rPr>
          <w:rFonts w:ascii="Times New Roman" w:hAnsi="Times New Roman"/>
          <w:lang w:val="hr-HR"/>
        </w:rPr>
        <w:t xml:space="preserve"> </w:t>
      </w:r>
      <w:r w:rsidR="0085238E">
        <w:rPr>
          <w:rFonts w:ascii="Times New Roman" w:hAnsi="Times New Roman"/>
        </w:rPr>
        <w:t>odlagalište</w:t>
      </w:r>
      <w:r w:rsidRPr="00155F80">
        <w:rPr>
          <w:rFonts w:ascii="Times New Roman" w:hAnsi="Times New Roman"/>
          <w:lang w:val="hr-HR"/>
        </w:rPr>
        <w:t xml:space="preserve"> </w:t>
      </w:r>
      <w:r w:rsidRPr="00155F80">
        <w:rPr>
          <w:rFonts w:ascii="Times New Roman" w:hAnsi="Times New Roman"/>
        </w:rPr>
        <w:t>koj</w:t>
      </w:r>
      <w:r w:rsidR="0085238E">
        <w:rPr>
          <w:rFonts w:ascii="Times New Roman" w:hAnsi="Times New Roman"/>
        </w:rPr>
        <w:t>i</w:t>
      </w:r>
      <w:r w:rsidRPr="00155F80">
        <w:rPr>
          <w:rFonts w:ascii="Times New Roman" w:hAnsi="Times New Roman"/>
        </w:rPr>
        <w:t>m</w:t>
      </w:r>
      <w:r w:rsidRPr="00155F80">
        <w:rPr>
          <w:rFonts w:ascii="Times New Roman" w:hAnsi="Times New Roman"/>
          <w:lang w:val="hr-HR"/>
        </w:rPr>
        <w:t xml:space="preserve"> </w:t>
      </w:r>
      <w:r w:rsidRPr="00155F80">
        <w:rPr>
          <w:rFonts w:ascii="Times New Roman" w:hAnsi="Times New Roman"/>
        </w:rPr>
        <w:t>upravlja</w:t>
      </w:r>
      <w:r w:rsidRPr="00155F80">
        <w:rPr>
          <w:rFonts w:ascii="Times New Roman" w:hAnsi="Times New Roman"/>
          <w:lang w:val="hr-HR"/>
        </w:rPr>
        <w:t xml:space="preserve"> </w:t>
      </w:r>
      <w:r w:rsidRPr="00155F80">
        <w:rPr>
          <w:rFonts w:ascii="Times New Roman" w:hAnsi="Times New Roman"/>
        </w:rPr>
        <w:t>Javno</w:t>
      </w:r>
      <w:r w:rsidRPr="00155F80">
        <w:rPr>
          <w:rFonts w:ascii="Times New Roman" w:hAnsi="Times New Roman"/>
          <w:lang w:val="hr-HR"/>
        </w:rPr>
        <w:t xml:space="preserve"> </w:t>
      </w:r>
      <w:r w:rsidRPr="00155F80">
        <w:rPr>
          <w:rFonts w:ascii="Times New Roman" w:hAnsi="Times New Roman"/>
        </w:rPr>
        <w:t>p</w:t>
      </w:r>
      <w:r w:rsidR="0085238E">
        <w:rPr>
          <w:rFonts w:ascii="Times New Roman" w:hAnsi="Times New Roman"/>
        </w:rPr>
        <w:t>o</w:t>
      </w:r>
      <w:r w:rsidRPr="00155F80">
        <w:rPr>
          <w:rFonts w:ascii="Times New Roman" w:hAnsi="Times New Roman"/>
        </w:rPr>
        <w:t>duze</w:t>
      </w:r>
      <w:r w:rsidRPr="00155F80">
        <w:rPr>
          <w:rFonts w:ascii="Times New Roman" w:hAnsi="Times New Roman"/>
          <w:lang w:val="hr-HR"/>
        </w:rPr>
        <w:t>ć</w:t>
      </w:r>
      <w:r w:rsidRPr="00155F80">
        <w:rPr>
          <w:rFonts w:ascii="Times New Roman" w:hAnsi="Times New Roman"/>
        </w:rPr>
        <w:t>e</w:t>
      </w:r>
      <w:r w:rsidRPr="00155F80">
        <w:rPr>
          <w:rFonts w:ascii="Times New Roman" w:hAnsi="Times New Roman"/>
          <w:lang w:val="hr-HR"/>
        </w:rPr>
        <w:t xml:space="preserve"> </w:t>
      </w:r>
      <w:r w:rsidRPr="00155F80">
        <w:rPr>
          <w:rFonts w:ascii="Times New Roman" w:hAnsi="Times New Roman"/>
        </w:rPr>
        <w:t>Mo</w:t>
      </w:r>
      <w:r w:rsidRPr="00155F80">
        <w:rPr>
          <w:rFonts w:ascii="Times New Roman" w:hAnsi="Times New Roman"/>
          <w:lang w:val="hr-HR"/>
        </w:rPr>
        <w:t>šć</w:t>
      </w:r>
      <w:r w:rsidRPr="00155F80">
        <w:rPr>
          <w:rFonts w:ascii="Times New Roman" w:hAnsi="Times New Roman"/>
        </w:rPr>
        <w:t>anica</w:t>
      </w:r>
      <w:r w:rsidRPr="00155F80">
        <w:rPr>
          <w:rFonts w:ascii="Times New Roman" w:hAnsi="Times New Roman"/>
          <w:lang w:val="hr-HR"/>
        </w:rPr>
        <w:t xml:space="preserve"> </w:t>
      </w:r>
      <w:r w:rsidRPr="00155F80">
        <w:rPr>
          <w:rFonts w:ascii="Times New Roman" w:hAnsi="Times New Roman"/>
        </w:rPr>
        <w:t>d</w:t>
      </w:r>
      <w:r w:rsidRPr="00155F80">
        <w:rPr>
          <w:rFonts w:ascii="Times New Roman" w:hAnsi="Times New Roman"/>
          <w:lang w:val="hr-HR"/>
        </w:rPr>
        <w:t>.</w:t>
      </w:r>
      <w:r w:rsidRPr="00155F80">
        <w:rPr>
          <w:rFonts w:ascii="Times New Roman" w:hAnsi="Times New Roman"/>
        </w:rPr>
        <w:t>o</w:t>
      </w:r>
      <w:r w:rsidRPr="00155F80">
        <w:rPr>
          <w:rFonts w:ascii="Times New Roman" w:hAnsi="Times New Roman"/>
          <w:lang w:val="hr-HR"/>
        </w:rPr>
        <w:t>.</w:t>
      </w:r>
      <w:r w:rsidRPr="00155F80">
        <w:rPr>
          <w:rFonts w:ascii="Times New Roman" w:hAnsi="Times New Roman"/>
        </w:rPr>
        <w:t>o</w:t>
      </w:r>
      <w:r w:rsidRPr="00155F80">
        <w:rPr>
          <w:rFonts w:ascii="Times New Roman" w:hAnsi="Times New Roman"/>
          <w:lang w:val="hr-HR"/>
        </w:rPr>
        <w:t xml:space="preserve">. </w:t>
      </w:r>
      <w:r w:rsidR="0085238E">
        <w:rPr>
          <w:rFonts w:ascii="Times New Roman" w:hAnsi="Times New Roman"/>
        </w:rPr>
        <w:t>Odlagalište</w:t>
      </w:r>
      <w:r w:rsidRPr="00155F80">
        <w:rPr>
          <w:rFonts w:ascii="Times New Roman" w:hAnsi="Times New Roman"/>
          <w:lang w:val="hr-HR"/>
        </w:rPr>
        <w:t xml:space="preserve"> </w:t>
      </w:r>
      <w:r w:rsidRPr="00155F80">
        <w:rPr>
          <w:rFonts w:ascii="Times New Roman" w:hAnsi="Times New Roman"/>
        </w:rPr>
        <w:t>je</w:t>
      </w:r>
      <w:r w:rsidRPr="00155F80">
        <w:rPr>
          <w:rFonts w:ascii="Times New Roman" w:hAnsi="Times New Roman"/>
          <w:lang w:val="hr-HR"/>
        </w:rPr>
        <w:t xml:space="preserve"> </w:t>
      </w:r>
      <w:r w:rsidRPr="00155F80">
        <w:rPr>
          <w:rFonts w:ascii="Times New Roman" w:hAnsi="Times New Roman"/>
        </w:rPr>
        <w:t>po</w:t>
      </w:r>
      <w:r w:rsidRPr="00155F80">
        <w:rPr>
          <w:rFonts w:ascii="Times New Roman" w:hAnsi="Times New Roman"/>
          <w:lang w:val="hr-HR"/>
        </w:rPr>
        <w:t>č</w:t>
      </w:r>
      <w:r w:rsidRPr="00155F80">
        <w:rPr>
          <w:rFonts w:ascii="Times New Roman" w:hAnsi="Times New Roman"/>
        </w:rPr>
        <w:t>el</w:t>
      </w:r>
      <w:r w:rsidR="0085238E">
        <w:rPr>
          <w:rFonts w:ascii="Times New Roman" w:hAnsi="Times New Roman"/>
        </w:rPr>
        <w:t>o</w:t>
      </w:r>
      <w:r w:rsidRPr="00155F80">
        <w:rPr>
          <w:rFonts w:ascii="Times New Roman" w:hAnsi="Times New Roman"/>
          <w:lang w:val="hr-HR"/>
        </w:rPr>
        <w:t xml:space="preserve"> </w:t>
      </w:r>
      <w:r w:rsidRPr="00155F80">
        <w:rPr>
          <w:rFonts w:ascii="Times New Roman" w:hAnsi="Times New Roman"/>
        </w:rPr>
        <w:t>sa</w:t>
      </w:r>
      <w:r w:rsidRPr="00155F80">
        <w:rPr>
          <w:rFonts w:ascii="Times New Roman" w:hAnsi="Times New Roman"/>
          <w:lang w:val="hr-HR"/>
        </w:rPr>
        <w:t xml:space="preserve"> </w:t>
      </w:r>
      <w:r w:rsidRPr="00155F80">
        <w:rPr>
          <w:rFonts w:ascii="Times New Roman" w:hAnsi="Times New Roman"/>
        </w:rPr>
        <w:t>radom</w:t>
      </w:r>
      <w:r w:rsidRPr="00155F80">
        <w:rPr>
          <w:rFonts w:ascii="Times New Roman" w:hAnsi="Times New Roman"/>
          <w:lang w:val="hr-HR"/>
        </w:rPr>
        <w:t xml:space="preserve"> 2008. </w:t>
      </w:r>
      <w:r w:rsidRPr="00155F80">
        <w:rPr>
          <w:rFonts w:ascii="Times New Roman" w:hAnsi="Times New Roman"/>
        </w:rPr>
        <w:t>Trenutno</w:t>
      </w:r>
      <w:r w:rsidRPr="00155F80">
        <w:rPr>
          <w:rFonts w:ascii="Times New Roman" w:hAnsi="Times New Roman"/>
          <w:lang w:val="hr-HR"/>
        </w:rPr>
        <w:t xml:space="preserve">, </w:t>
      </w:r>
      <w:r w:rsidRPr="00155F80">
        <w:rPr>
          <w:rFonts w:ascii="Times New Roman" w:hAnsi="Times New Roman"/>
        </w:rPr>
        <w:t>na</w:t>
      </w:r>
      <w:r w:rsidRPr="00155F80">
        <w:rPr>
          <w:rFonts w:ascii="Times New Roman" w:hAnsi="Times New Roman"/>
          <w:lang w:val="hr-HR"/>
        </w:rPr>
        <w:t xml:space="preserve"> </w:t>
      </w:r>
      <w:r w:rsidR="0085238E">
        <w:rPr>
          <w:rFonts w:ascii="Times New Roman" w:hAnsi="Times New Roman"/>
        </w:rPr>
        <w:t>odlagalištu</w:t>
      </w:r>
      <w:r w:rsidRPr="00155F80">
        <w:rPr>
          <w:rFonts w:ascii="Times New Roman" w:hAnsi="Times New Roman"/>
          <w:lang w:val="hr-HR"/>
        </w:rPr>
        <w:t xml:space="preserve"> </w:t>
      </w:r>
      <w:r w:rsidR="0085238E">
        <w:rPr>
          <w:rFonts w:ascii="Times New Roman" w:hAnsi="Times New Roman"/>
          <w:lang w:val="hr-HR"/>
        </w:rPr>
        <w:t xml:space="preserve">se </w:t>
      </w:r>
      <w:r w:rsidRPr="00155F80">
        <w:rPr>
          <w:rFonts w:ascii="Times New Roman" w:hAnsi="Times New Roman"/>
        </w:rPr>
        <w:t>odla</w:t>
      </w:r>
      <w:r w:rsidRPr="00155F80">
        <w:rPr>
          <w:rFonts w:ascii="Times New Roman" w:hAnsi="Times New Roman"/>
          <w:lang w:val="hr-HR"/>
        </w:rPr>
        <w:t>ž</w:t>
      </w:r>
      <w:r w:rsidRPr="00155F80">
        <w:rPr>
          <w:rFonts w:ascii="Times New Roman" w:hAnsi="Times New Roman"/>
        </w:rPr>
        <w:t>e</w:t>
      </w:r>
      <w:r w:rsidRPr="00155F80">
        <w:rPr>
          <w:rFonts w:ascii="Times New Roman" w:hAnsi="Times New Roman"/>
          <w:lang w:val="hr-HR"/>
        </w:rPr>
        <w:t xml:space="preserve"> </w:t>
      </w:r>
      <w:r w:rsidRPr="00155F80">
        <w:rPr>
          <w:rFonts w:ascii="Times New Roman" w:hAnsi="Times New Roman"/>
        </w:rPr>
        <w:t>otpad</w:t>
      </w:r>
      <w:r w:rsidRPr="00155F80">
        <w:rPr>
          <w:rFonts w:ascii="Times New Roman" w:hAnsi="Times New Roman"/>
          <w:lang w:val="hr-HR"/>
        </w:rPr>
        <w:t xml:space="preserve"> </w:t>
      </w:r>
      <w:r w:rsidRPr="00155F80">
        <w:rPr>
          <w:rFonts w:ascii="Times New Roman" w:hAnsi="Times New Roman"/>
        </w:rPr>
        <w:t>iz</w:t>
      </w:r>
      <w:r w:rsidRPr="00155F80">
        <w:rPr>
          <w:rFonts w:ascii="Times New Roman" w:hAnsi="Times New Roman"/>
          <w:lang w:val="hr-HR"/>
        </w:rPr>
        <w:t xml:space="preserve"> 6 </w:t>
      </w:r>
      <w:r w:rsidRPr="00155F80">
        <w:rPr>
          <w:rFonts w:ascii="Times New Roman" w:hAnsi="Times New Roman"/>
        </w:rPr>
        <w:t>op</w:t>
      </w:r>
      <w:r w:rsidRPr="00155F80">
        <w:rPr>
          <w:rFonts w:ascii="Times New Roman" w:hAnsi="Times New Roman"/>
          <w:lang w:val="hr-HR"/>
        </w:rPr>
        <w:t>ć</w:t>
      </w:r>
      <w:r w:rsidRPr="00155F80">
        <w:rPr>
          <w:rFonts w:ascii="Times New Roman" w:hAnsi="Times New Roman"/>
        </w:rPr>
        <w:t>ina</w:t>
      </w:r>
      <w:r w:rsidRPr="00155F80">
        <w:rPr>
          <w:rFonts w:ascii="Times New Roman" w:hAnsi="Times New Roman"/>
          <w:lang w:val="hr-HR"/>
        </w:rPr>
        <w:t xml:space="preserve">: </w:t>
      </w:r>
      <w:r w:rsidRPr="00155F80">
        <w:rPr>
          <w:rFonts w:ascii="Times New Roman" w:hAnsi="Times New Roman"/>
        </w:rPr>
        <w:t>Zenica</w:t>
      </w:r>
      <w:r w:rsidRPr="00155F80">
        <w:rPr>
          <w:rFonts w:ascii="Times New Roman" w:hAnsi="Times New Roman"/>
          <w:lang w:val="hr-HR"/>
        </w:rPr>
        <w:t xml:space="preserve">, </w:t>
      </w:r>
      <w:r w:rsidRPr="00155F80">
        <w:rPr>
          <w:rFonts w:ascii="Times New Roman" w:hAnsi="Times New Roman"/>
        </w:rPr>
        <w:t>Travnik</w:t>
      </w:r>
      <w:r w:rsidRPr="00155F80">
        <w:rPr>
          <w:rFonts w:ascii="Times New Roman" w:hAnsi="Times New Roman"/>
          <w:lang w:val="hr-HR"/>
        </w:rPr>
        <w:t>, Ž</w:t>
      </w:r>
      <w:r w:rsidRPr="00155F80">
        <w:rPr>
          <w:rFonts w:ascii="Times New Roman" w:hAnsi="Times New Roman"/>
        </w:rPr>
        <w:t>ep</w:t>
      </w:r>
      <w:r w:rsidRPr="00155F80">
        <w:rPr>
          <w:rFonts w:ascii="Times New Roman" w:hAnsi="Times New Roman"/>
          <w:lang w:val="hr-HR"/>
        </w:rPr>
        <w:t>č</w:t>
      </w:r>
      <w:r w:rsidRPr="00155F80">
        <w:rPr>
          <w:rFonts w:ascii="Times New Roman" w:hAnsi="Times New Roman"/>
        </w:rPr>
        <w:t>e</w:t>
      </w:r>
      <w:r w:rsidRPr="00155F80">
        <w:rPr>
          <w:rFonts w:ascii="Times New Roman" w:hAnsi="Times New Roman"/>
          <w:lang w:val="hr-HR"/>
        </w:rPr>
        <w:t xml:space="preserve">, </w:t>
      </w:r>
      <w:r w:rsidRPr="00155F80">
        <w:rPr>
          <w:rFonts w:ascii="Times New Roman" w:hAnsi="Times New Roman"/>
        </w:rPr>
        <w:t>Busova</w:t>
      </w:r>
      <w:r w:rsidRPr="00155F80">
        <w:rPr>
          <w:rFonts w:ascii="Times New Roman" w:hAnsi="Times New Roman"/>
          <w:lang w:val="hr-HR"/>
        </w:rPr>
        <w:t>č</w:t>
      </w:r>
      <w:r w:rsidRPr="00155F80">
        <w:rPr>
          <w:rFonts w:ascii="Times New Roman" w:hAnsi="Times New Roman"/>
        </w:rPr>
        <w:t>a</w:t>
      </w:r>
      <w:r w:rsidRPr="00155F80">
        <w:rPr>
          <w:rFonts w:ascii="Times New Roman" w:hAnsi="Times New Roman"/>
          <w:lang w:val="hr-HR"/>
        </w:rPr>
        <w:t xml:space="preserve">, </w:t>
      </w:r>
      <w:r w:rsidRPr="00155F80">
        <w:rPr>
          <w:rFonts w:ascii="Times New Roman" w:hAnsi="Times New Roman"/>
        </w:rPr>
        <w:t>Visoko</w:t>
      </w:r>
      <w:r w:rsidRPr="00155F80">
        <w:rPr>
          <w:rFonts w:ascii="Times New Roman" w:hAnsi="Times New Roman"/>
          <w:lang w:val="hr-HR"/>
        </w:rPr>
        <w:t xml:space="preserve">, </w:t>
      </w:r>
      <w:r w:rsidRPr="00155F80">
        <w:rPr>
          <w:rFonts w:ascii="Times New Roman" w:hAnsi="Times New Roman"/>
        </w:rPr>
        <w:t>te</w:t>
      </w:r>
      <w:r w:rsidRPr="00155F80">
        <w:rPr>
          <w:rFonts w:ascii="Times New Roman" w:hAnsi="Times New Roman"/>
          <w:lang w:val="hr-HR"/>
        </w:rPr>
        <w:t xml:space="preserve"> </w:t>
      </w:r>
      <w:r w:rsidRPr="00155F80">
        <w:rPr>
          <w:rFonts w:ascii="Times New Roman" w:hAnsi="Times New Roman"/>
        </w:rPr>
        <w:t>op</w:t>
      </w:r>
      <w:r w:rsidRPr="00155F80">
        <w:rPr>
          <w:rFonts w:ascii="Times New Roman" w:hAnsi="Times New Roman"/>
          <w:lang w:val="hr-HR"/>
        </w:rPr>
        <w:t>ć</w:t>
      </w:r>
      <w:r w:rsidRPr="00155F80">
        <w:rPr>
          <w:rFonts w:ascii="Times New Roman" w:hAnsi="Times New Roman"/>
        </w:rPr>
        <w:t>ine</w:t>
      </w:r>
      <w:r w:rsidRPr="00155F80">
        <w:rPr>
          <w:rFonts w:ascii="Times New Roman" w:hAnsi="Times New Roman"/>
          <w:lang w:val="hr-HR"/>
        </w:rPr>
        <w:t xml:space="preserve"> </w:t>
      </w:r>
      <w:r w:rsidRPr="00155F80">
        <w:rPr>
          <w:rFonts w:ascii="Times New Roman" w:hAnsi="Times New Roman"/>
        </w:rPr>
        <w:t>Bugojno</w:t>
      </w:r>
      <w:r w:rsidRPr="00155F80">
        <w:rPr>
          <w:rFonts w:ascii="Times New Roman" w:hAnsi="Times New Roman"/>
          <w:lang w:val="hr-HR"/>
        </w:rPr>
        <w:t xml:space="preserve"> </w:t>
      </w:r>
      <w:r w:rsidRPr="00155F80">
        <w:rPr>
          <w:rFonts w:ascii="Times New Roman" w:hAnsi="Times New Roman"/>
        </w:rPr>
        <w:t>koja</w:t>
      </w:r>
      <w:r w:rsidRPr="00155F80">
        <w:rPr>
          <w:rFonts w:ascii="Times New Roman" w:hAnsi="Times New Roman"/>
          <w:lang w:val="hr-HR"/>
        </w:rPr>
        <w:t xml:space="preserve"> </w:t>
      </w:r>
      <w:r w:rsidRPr="00155F80">
        <w:rPr>
          <w:rFonts w:ascii="Times New Roman" w:hAnsi="Times New Roman"/>
        </w:rPr>
        <w:t>odla</w:t>
      </w:r>
      <w:r w:rsidRPr="00155F80">
        <w:rPr>
          <w:rFonts w:ascii="Times New Roman" w:hAnsi="Times New Roman"/>
          <w:lang w:val="hr-HR"/>
        </w:rPr>
        <w:t>ž</w:t>
      </w:r>
      <w:r w:rsidRPr="00155F80">
        <w:rPr>
          <w:rFonts w:ascii="Times New Roman" w:hAnsi="Times New Roman"/>
        </w:rPr>
        <w:t>e</w:t>
      </w:r>
      <w:r w:rsidRPr="00155F80">
        <w:rPr>
          <w:rFonts w:ascii="Times New Roman" w:hAnsi="Times New Roman"/>
          <w:lang w:val="hr-HR"/>
        </w:rPr>
        <w:t xml:space="preserve"> </w:t>
      </w:r>
      <w:r w:rsidRPr="00155F80">
        <w:rPr>
          <w:rFonts w:ascii="Times New Roman" w:hAnsi="Times New Roman"/>
        </w:rPr>
        <w:t>povremeno</w:t>
      </w:r>
      <w:r w:rsidRPr="00155F80">
        <w:rPr>
          <w:rFonts w:ascii="Times New Roman" w:hAnsi="Times New Roman"/>
          <w:lang w:val="hr-HR"/>
        </w:rPr>
        <w:t xml:space="preserve">. </w:t>
      </w:r>
      <w:r w:rsidRPr="00155F80">
        <w:rPr>
          <w:rFonts w:ascii="Times New Roman" w:hAnsi="Times New Roman"/>
        </w:rPr>
        <w:t>Djelomi</w:t>
      </w:r>
      <w:r w:rsidRPr="00155F80">
        <w:rPr>
          <w:rFonts w:ascii="Times New Roman" w:hAnsi="Times New Roman"/>
          <w:lang w:val="hr-HR"/>
        </w:rPr>
        <w:t>č</w:t>
      </w:r>
      <w:r w:rsidRPr="00155F80">
        <w:rPr>
          <w:rFonts w:ascii="Times New Roman" w:hAnsi="Times New Roman"/>
        </w:rPr>
        <w:t>no</w:t>
      </w:r>
      <w:r w:rsidRPr="00155F80">
        <w:rPr>
          <w:rFonts w:ascii="Times New Roman" w:hAnsi="Times New Roman"/>
          <w:lang w:val="hr-HR"/>
        </w:rPr>
        <w:t xml:space="preserve"> </w:t>
      </w:r>
      <w:r w:rsidRPr="00155F80">
        <w:rPr>
          <w:rFonts w:ascii="Times New Roman" w:hAnsi="Times New Roman"/>
        </w:rPr>
        <w:t>su</w:t>
      </w:r>
      <w:r w:rsidRPr="00155F80">
        <w:rPr>
          <w:rFonts w:ascii="Times New Roman" w:hAnsi="Times New Roman"/>
          <w:lang w:val="hr-HR"/>
        </w:rPr>
        <w:t xml:space="preserve"> </w:t>
      </w:r>
      <w:r w:rsidRPr="00155F80">
        <w:rPr>
          <w:rFonts w:ascii="Times New Roman" w:hAnsi="Times New Roman"/>
        </w:rPr>
        <w:t>ure</w:t>
      </w:r>
      <w:r w:rsidRPr="00155F80">
        <w:rPr>
          <w:rFonts w:ascii="Times New Roman" w:hAnsi="Times New Roman"/>
          <w:lang w:val="hr-HR"/>
        </w:rPr>
        <w:t>đ</w:t>
      </w:r>
      <w:r w:rsidRPr="00155F80">
        <w:rPr>
          <w:rFonts w:ascii="Times New Roman" w:hAnsi="Times New Roman"/>
        </w:rPr>
        <w:t>ene</w:t>
      </w:r>
      <w:r w:rsidRPr="00155F80">
        <w:rPr>
          <w:rFonts w:ascii="Times New Roman" w:hAnsi="Times New Roman"/>
          <w:lang w:val="hr-HR"/>
        </w:rPr>
        <w:t xml:space="preserve"> </w:t>
      </w:r>
      <w:r w:rsidRPr="00155F80">
        <w:rPr>
          <w:rFonts w:ascii="Times New Roman" w:hAnsi="Times New Roman"/>
        </w:rPr>
        <w:t>deponije</w:t>
      </w:r>
      <w:r w:rsidRPr="00155F80">
        <w:rPr>
          <w:rFonts w:ascii="Times New Roman" w:hAnsi="Times New Roman"/>
          <w:lang w:val="hr-HR"/>
        </w:rPr>
        <w:t xml:space="preserve"> </w:t>
      </w:r>
      <w:r w:rsidRPr="00155F80">
        <w:rPr>
          <w:rFonts w:ascii="Times New Roman" w:hAnsi="Times New Roman"/>
        </w:rPr>
        <w:t>op</w:t>
      </w:r>
      <w:r w:rsidRPr="00155F80">
        <w:rPr>
          <w:rFonts w:ascii="Times New Roman" w:hAnsi="Times New Roman"/>
          <w:lang w:val="hr-HR"/>
        </w:rPr>
        <w:t>ć</w:t>
      </w:r>
      <w:r w:rsidRPr="00155F80">
        <w:rPr>
          <w:rFonts w:ascii="Times New Roman" w:hAnsi="Times New Roman"/>
        </w:rPr>
        <w:t>ina</w:t>
      </w:r>
      <w:r w:rsidRPr="00155F80">
        <w:rPr>
          <w:rFonts w:ascii="Times New Roman" w:hAnsi="Times New Roman"/>
          <w:lang w:val="hr-HR"/>
        </w:rPr>
        <w:t xml:space="preserve"> </w:t>
      </w:r>
      <w:r w:rsidRPr="00155F80">
        <w:rPr>
          <w:rFonts w:ascii="Times New Roman" w:hAnsi="Times New Roman"/>
        </w:rPr>
        <w:t>Srebrenik</w:t>
      </w:r>
      <w:r w:rsidRPr="00155F80">
        <w:rPr>
          <w:rFonts w:ascii="Times New Roman" w:hAnsi="Times New Roman"/>
          <w:lang w:val="hr-HR"/>
        </w:rPr>
        <w:t xml:space="preserve">, </w:t>
      </w:r>
      <w:r w:rsidRPr="00155F80">
        <w:rPr>
          <w:rFonts w:ascii="Times New Roman" w:hAnsi="Times New Roman"/>
        </w:rPr>
        <w:t>Te</w:t>
      </w:r>
      <w:r w:rsidRPr="00155F80">
        <w:rPr>
          <w:rFonts w:ascii="Times New Roman" w:hAnsi="Times New Roman"/>
          <w:lang w:val="hr-HR"/>
        </w:rPr>
        <w:t>š</w:t>
      </w:r>
      <w:r w:rsidRPr="00155F80">
        <w:rPr>
          <w:rFonts w:ascii="Times New Roman" w:hAnsi="Times New Roman"/>
        </w:rPr>
        <w:t>anj</w:t>
      </w:r>
      <w:r w:rsidRPr="00155F80">
        <w:rPr>
          <w:rFonts w:ascii="Times New Roman" w:hAnsi="Times New Roman"/>
          <w:lang w:val="hr-HR"/>
        </w:rPr>
        <w:t xml:space="preserve">, </w:t>
      </w:r>
      <w:r w:rsidRPr="00155F80">
        <w:rPr>
          <w:rFonts w:ascii="Times New Roman" w:hAnsi="Times New Roman"/>
        </w:rPr>
        <w:t>Bosanska</w:t>
      </w:r>
      <w:r w:rsidRPr="00155F80">
        <w:rPr>
          <w:rFonts w:ascii="Times New Roman" w:hAnsi="Times New Roman"/>
          <w:lang w:val="hr-HR"/>
        </w:rPr>
        <w:t xml:space="preserve"> </w:t>
      </w:r>
      <w:r w:rsidRPr="00155F80">
        <w:rPr>
          <w:rFonts w:ascii="Times New Roman" w:hAnsi="Times New Roman"/>
        </w:rPr>
        <w:t>Krupa</w:t>
      </w:r>
      <w:r w:rsidRPr="00155F80">
        <w:rPr>
          <w:rFonts w:ascii="Times New Roman" w:hAnsi="Times New Roman"/>
          <w:lang w:val="hr-HR"/>
        </w:rPr>
        <w:t xml:space="preserve"> (</w:t>
      </w:r>
      <w:r w:rsidRPr="00155F80">
        <w:rPr>
          <w:rFonts w:ascii="Times New Roman" w:hAnsi="Times New Roman"/>
        </w:rPr>
        <w:t>Krivodol</w:t>
      </w:r>
      <w:r w:rsidRPr="00155F80">
        <w:rPr>
          <w:rFonts w:ascii="Times New Roman" w:hAnsi="Times New Roman"/>
          <w:lang w:val="hr-HR"/>
        </w:rPr>
        <w:t xml:space="preserve">), </w:t>
      </w:r>
      <w:r w:rsidRPr="00155F80">
        <w:rPr>
          <w:rFonts w:ascii="Times New Roman" w:hAnsi="Times New Roman"/>
        </w:rPr>
        <w:t>Mostar</w:t>
      </w:r>
      <w:r w:rsidRPr="00155F80">
        <w:rPr>
          <w:rFonts w:ascii="Times New Roman" w:hAnsi="Times New Roman"/>
          <w:lang w:val="hr-HR"/>
        </w:rPr>
        <w:t xml:space="preserve"> (</w:t>
      </w:r>
      <w:r w:rsidRPr="00155F80">
        <w:rPr>
          <w:rFonts w:ascii="Times New Roman" w:hAnsi="Times New Roman"/>
        </w:rPr>
        <w:t>Uborak</w:t>
      </w:r>
      <w:r w:rsidRPr="00155F80">
        <w:rPr>
          <w:rFonts w:ascii="Times New Roman" w:hAnsi="Times New Roman"/>
          <w:lang w:val="hr-HR"/>
        </w:rPr>
        <w:t xml:space="preserve">) </w:t>
      </w:r>
      <w:r w:rsidRPr="00155F80">
        <w:rPr>
          <w:rFonts w:ascii="Times New Roman" w:hAnsi="Times New Roman"/>
        </w:rPr>
        <w:t>i</w:t>
      </w:r>
      <w:r w:rsidRPr="00155F80">
        <w:rPr>
          <w:rFonts w:ascii="Times New Roman" w:hAnsi="Times New Roman"/>
          <w:lang w:val="hr-HR"/>
        </w:rPr>
        <w:t xml:space="preserve"> </w:t>
      </w:r>
      <w:r w:rsidRPr="00155F80">
        <w:rPr>
          <w:rFonts w:ascii="Times New Roman" w:hAnsi="Times New Roman"/>
        </w:rPr>
        <w:t>Gornji</w:t>
      </w:r>
      <w:r w:rsidRPr="00155F80">
        <w:rPr>
          <w:rFonts w:ascii="Times New Roman" w:hAnsi="Times New Roman"/>
          <w:lang w:val="hr-HR"/>
        </w:rPr>
        <w:t xml:space="preserve"> </w:t>
      </w:r>
      <w:r w:rsidRPr="00155F80">
        <w:rPr>
          <w:rFonts w:ascii="Times New Roman" w:hAnsi="Times New Roman"/>
        </w:rPr>
        <w:t>Vakuf</w:t>
      </w:r>
      <w:r w:rsidRPr="00155F80">
        <w:rPr>
          <w:rFonts w:ascii="Times New Roman" w:hAnsi="Times New Roman"/>
          <w:lang w:val="hr-HR"/>
        </w:rPr>
        <w:t>/</w:t>
      </w:r>
      <w:r w:rsidRPr="00155F80">
        <w:rPr>
          <w:rFonts w:ascii="Times New Roman" w:hAnsi="Times New Roman"/>
        </w:rPr>
        <w:t>Uskoplje</w:t>
      </w:r>
      <w:r w:rsidRPr="00155F80">
        <w:rPr>
          <w:rFonts w:ascii="Times New Roman" w:hAnsi="Times New Roman"/>
          <w:lang w:val="hr-HR"/>
        </w:rPr>
        <w:t>. (15)</w:t>
      </w:r>
    </w:p>
    <w:p w:rsidR="00A131AD" w:rsidRPr="00155F80" w:rsidRDefault="00A131AD" w:rsidP="000C0138">
      <w:pPr>
        <w:spacing w:line="276" w:lineRule="auto"/>
        <w:rPr>
          <w:rFonts w:ascii="Times New Roman" w:hAnsi="Times New Roman"/>
          <w:lang w:val="hr-HR"/>
        </w:rPr>
      </w:pPr>
      <w:r w:rsidRPr="00155F80">
        <w:rPr>
          <w:rFonts w:ascii="Times New Roman" w:hAnsi="Times New Roman"/>
          <w:lang w:val="hr-HR"/>
        </w:rPr>
        <w:t xml:space="preserve">Na području grada Mostara prestalo je odlaganje na </w:t>
      </w:r>
      <w:r w:rsidR="0085238E">
        <w:rPr>
          <w:rFonts w:ascii="Times New Roman" w:hAnsi="Times New Roman"/>
          <w:lang w:val="hr-HR"/>
        </w:rPr>
        <w:t>odlagalište</w:t>
      </w:r>
      <w:r w:rsidRPr="00155F80">
        <w:rPr>
          <w:rFonts w:ascii="Times New Roman" w:hAnsi="Times New Roman"/>
          <w:lang w:val="hr-HR"/>
        </w:rPr>
        <w:t xml:space="preserve"> „Uborak“ koj</w:t>
      </w:r>
      <w:r w:rsidR="0085238E">
        <w:rPr>
          <w:rFonts w:ascii="Times New Roman" w:hAnsi="Times New Roman"/>
          <w:lang w:val="hr-HR"/>
        </w:rPr>
        <w:t>e</w:t>
      </w:r>
      <w:r w:rsidRPr="00155F80">
        <w:rPr>
          <w:rFonts w:ascii="Times New Roman" w:hAnsi="Times New Roman"/>
          <w:lang w:val="hr-HR"/>
        </w:rPr>
        <w:t xml:space="preserve"> je zadovoljaval</w:t>
      </w:r>
      <w:r w:rsidR="0085238E">
        <w:rPr>
          <w:rFonts w:ascii="Times New Roman" w:hAnsi="Times New Roman"/>
          <w:lang w:val="hr-HR"/>
        </w:rPr>
        <w:t>o</w:t>
      </w:r>
      <w:r w:rsidRPr="00155F80">
        <w:rPr>
          <w:rFonts w:ascii="Times New Roman" w:hAnsi="Times New Roman"/>
          <w:lang w:val="hr-HR"/>
        </w:rPr>
        <w:t xml:space="preserve"> osnovne kriterijume sanitarn</w:t>
      </w:r>
      <w:r w:rsidR="0085238E">
        <w:rPr>
          <w:rFonts w:ascii="Times New Roman" w:hAnsi="Times New Roman"/>
          <w:lang w:val="hr-HR"/>
        </w:rPr>
        <w:t>og odlagališta</w:t>
      </w:r>
      <w:r w:rsidRPr="00155F80">
        <w:rPr>
          <w:rFonts w:ascii="Times New Roman" w:hAnsi="Times New Roman"/>
          <w:lang w:val="hr-HR"/>
        </w:rPr>
        <w:t xml:space="preserve"> za komunalni otpad. Od </w:t>
      </w:r>
      <w:r w:rsidR="0085238E">
        <w:rPr>
          <w:rFonts w:ascii="Times New Roman" w:hAnsi="Times New Roman"/>
          <w:lang w:val="hr-HR"/>
        </w:rPr>
        <w:t>rujna</w:t>
      </w:r>
      <w:r w:rsidRPr="00155F80">
        <w:rPr>
          <w:rFonts w:ascii="Times New Roman" w:hAnsi="Times New Roman"/>
          <w:lang w:val="hr-HR"/>
        </w:rPr>
        <w:t xml:space="preserve"> 2014. godine, komunalni otpad se odlaže na nov</w:t>
      </w:r>
      <w:r w:rsidR="0085238E">
        <w:rPr>
          <w:rFonts w:ascii="Times New Roman" w:hAnsi="Times New Roman"/>
          <w:lang w:val="hr-HR"/>
        </w:rPr>
        <w:t>o odlagalište</w:t>
      </w:r>
      <w:r w:rsidRPr="00155F80">
        <w:rPr>
          <w:rFonts w:ascii="Times New Roman" w:hAnsi="Times New Roman"/>
          <w:lang w:val="hr-HR"/>
        </w:rPr>
        <w:t>, koja posjeduje postrojenje za odvajanje otpada koji se može koristiti kao pogonsko gorivo, najčešće u cementarama (15% od ukupnog  otpada). Od ukupne količine otpada 25% se izdvaja za reciklažu, a ostalih 60% se odlaže na uređen</w:t>
      </w:r>
      <w:r w:rsidR="0085238E">
        <w:rPr>
          <w:rFonts w:ascii="Times New Roman" w:hAnsi="Times New Roman"/>
          <w:lang w:val="hr-HR"/>
        </w:rPr>
        <w:t>o</w:t>
      </w:r>
      <w:r w:rsidRPr="00155F80">
        <w:rPr>
          <w:rFonts w:ascii="Times New Roman" w:hAnsi="Times New Roman"/>
          <w:lang w:val="hr-HR"/>
        </w:rPr>
        <w:t xml:space="preserve"> sanitarn</w:t>
      </w:r>
      <w:r w:rsidR="0085238E">
        <w:rPr>
          <w:rFonts w:ascii="Times New Roman" w:hAnsi="Times New Roman"/>
          <w:lang w:val="hr-HR"/>
        </w:rPr>
        <w:t>o odlagalište</w:t>
      </w:r>
      <w:r w:rsidRPr="00155F80">
        <w:rPr>
          <w:rFonts w:ascii="Times New Roman" w:hAnsi="Times New Roman"/>
          <w:lang w:val="hr-HR"/>
        </w:rPr>
        <w:t>. Ov</w:t>
      </w:r>
      <w:r w:rsidR="0085238E">
        <w:rPr>
          <w:rFonts w:ascii="Times New Roman" w:hAnsi="Times New Roman"/>
          <w:lang w:val="hr-HR"/>
        </w:rPr>
        <w:t>o odlagalište</w:t>
      </w:r>
      <w:r w:rsidRPr="00155F80">
        <w:rPr>
          <w:rFonts w:ascii="Times New Roman" w:hAnsi="Times New Roman"/>
          <w:lang w:val="hr-HR"/>
        </w:rPr>
        <w:t xml:space="preserve"> prihvata otpad iz Mostara i tri općine iz Zapadnohercegovačkog kantona. (11)</w:t>
      </w:r>
    </w:p>
    <w:p w:rsidR="00A131AD" w:rsidRPr="00155F80" w:rsidRDefault="00A131AD" w:rsidP="000C0138">
      <w:pPr>
        <w:spacing w:line="276" w:lineRule="auto"/>
        <w:rPr>
          <w:rStyle w:val="Emphasis"/>
          <w:rFonts w:ascii="Times New Roman" w:hAnsi="Times New Roman"/>
          <w:i w:val="0"/>
          <w:iCs w:val="0"/>
          <w:lang w:val="hr-HR"/>
        </w:rPr>
      </w:pPr>
      <w:r w:rsidRPr="00155F80">
        <w:rPr>
          <w:rFonts w:ascii="Times New Roman" w:hAnsi="Times New Roman"/>
          <w:lang w:val="pl-PL"/>
        </w:rPr>
        <w:t>Na području Federacije BiH, 57,5% stanovništva je priključeno na kanalizaci</w:t>
      </w:r>
      <w:r w:rsidR="0085238E">
        <w:rPr>
          <w:rFonts w:ascii="Times New Roman" w:hAnsi="Times New Roman"/>
          <w:lang w:val="pl-PL"/>
        </w:rPr>
        <w:t>jski</w:t>
      </w:r>
      <w:r w:rsidRPr="00155F80">
        <w:rPr>
          <w:rFonts w:ascii="Times New Roman" w:hAnsi="Times New Roman"/>
          <w:lang w:val="pl-PL"/>
        </w:rPr>
        <w:t xml:space="preserve"> s</w:t>
      </w:r>
      <w:r w:rsidR="0085238E">
        <w:rPr>
          <w:rFonts w:ascii="Times New Roman" w:hAnsi="Times New Roman"/>
          <w:lang w:val="pl-PL"/>
        </w:rPr>
        <w:t>ustav</w:t>
      </w:r>
      <w:r w:rsidRPr="00155F80">
        <w:rPr>
          <w:rFonts w:ascii="Times New Roman" w:hAnsi="Times New Roman"/>
          <w:lang w:val="pl-PL"/>
        </w:rPr>
        <w:t xml:space="preserve"> (2). Nepr</w:t>
      </w:r>
      <w:r w:rsidR="0085238E">
        <w:rPr>
          <w:rFonts w:ascii="Times New Roman" w:hAnsi="Times New Roman"/>
          <w:lang w:val="pl-PL"/>
        </w:rPr>
        <w:t>o</w:t>
      </w:r>
      <w:r w:rsidRPr="00155F80">
        <w:rPr>
          <w:rFonts w:ascii="Times New Roman" w:hAnsi="Times New Roman"/>
          <w:lang w:val="pl-PL"/>
        </w:rPr>
        <w:t xml:space="preserve">čišćene otpadne vode ne ugrožavaju samo vodotoke i njihovu floru i faunu, nego i podzemne vode, što predstavlja veliki rizik po zdravlje stanovništva. Osim toga, kontroli kvaliteta voda rijeka i jezera ne posvećuje se dovoljna pažnja, što predstavlja značajan epidemiološki rizik, </w:t>
      </w:r>
      <w:r w:rsidR="0085238E">
        <w:rPr>
          <w:rFonts w:ascii="Times New Roman" w:hAnsi="Times New Roman"/>
          <w:lang w:val="pl-PL"/>
        </w:rPr>
        <w:t>osobito</w:t>
      </w:r>
      <w:r w:rsidRPr="00155F80">
        <w:rPr>
          <w:rFonts w:ascii="Times New Roman" w:hAnsi="Times New Roman"/>
          <w:lang w:val="pl-PL"/>
        </w:rPr>
        <w:t xml:space="preserve"> u ljetnim </w:t>
      </w:r>
      <w:r w:rsidRPr="00155F80">
        <w:rPr>
          <w:rFonts w:ascii="Times New Roman" w:hAnsi="Times New Roman"/>
          <w:lang w:val="pl-PL"/>
        </w:rPr>
        <w:lastRenderedPageBreak/>
        <w:t xml:space="preserve">mjesecima kada je nizak vodostaj rijeka. Vode rijeka i jezera na području Federacije su </w:t>
      </w:r>
      <w:r w:rsidRPr="00155F80">
        <w:rPr>
          <w:rFonts w:ascii="Times New Roman" w:hAnsi="Times New Roman"/>
          <w:lang w:val="hr-HR"/>
        </w:rPr>
        <w:t xml:space="preserve">znatno mikrobiološki </w:t>
      </w:r>
      <w:r w:rsidR="00FE3B0D">
        <w:rPr>
          <w:rFonts w:ascii="Times New Roman" w:hAnsi="Times New Roman"/>
          <w:lang w:val="hr-HR"/>
        </w:rPr>
        <w:t>onečišćene</w:t>
      </w:r>
      <w:r w:rsidRPr="00155F80">
        <w:rPr>
          <w:rFonts w:ascii="Times New Roman" w:hAnsi="Times New Roman"/>
          <w:lang w:val="hr-HR"/>
        </w:rPr>
        <w:t>, jer većina njih služe kao recipijent za fekalne i industrijske otpadne vode. Kontrola i biološko-</w:t>
      </w:r>
      <w:r w:rsidR="0085238E">
        <w:rPr>
          <w:rFonts w:ascii="Times New Roman" w:hAnsi="Times New Roman"/>
          <w:lang w:val="hr-HR"/>
        </w:rPr>
        <w:t>k</w:t>
      </w:r>
      <w:r w:rsidRPr="00155F80">
        <w:rPr>
          <w:rFonts w:ascii="Times New Roman" w:hAnsi="Times New Roman"/>
          <w:lang w:val="hr-HR"/>
        </w:rPr>
        <w:t>emijsko pr</w:t>
      </w:r>
      <w:r w:rsidR="0085238E">
        <w:rPr>
          <w:rFonts w:ascii="Times New Roman" w:hAnsi="Times New Roman"/>
          <w:lang w:val="hr-HR"/>
        </w:rPr>
        <w:t>o</w:t>
      </w:r>
      <w:r w:rsidRPr="00155F80">
        <w:rPr>
          <w:rFonts w:ascii="Times New Roman" w:hAnsi="Times New Roman"/>
          <w:lang w:val="hr-HR"/>
        </w:rPr>
        <w:t xml:space="preserve">čišćavanje tečnih otpadnih materija koje se ispuštaju u vodotoke se ne </w:t>
      </w:r>
      <w:r w:rsidR="0085238E">
        <w:rPr>
          <w:rFonts w:ascii="Times New Roman" w:hAnsi="Times New Roman"/>
          <w:lang w:val="hr-HR"/>
        </w:rPr>
        <w:t>obavlja</w:t>
      </w:r>
      <w:r w:rsidRPr="00155F80">
        <w:rPr>
          <w:rFonts w:ascii="Times New Roman" w:hAnsi="Times New Roman"/>
          <w:lang w:val="hr-HR"/>
        </w:rPr>
        <w:t>. Fizičko-</w:t>
      </w:r>
      <w:r w:rsidR="0085238E">
        <w:rPr>
          <w:rFonts w:ascii="Times New Roman" w:hAnsi="Times New Roman"/>
          <w:lang w:val="hr-HR"/>
        </w:rPr>
        <w:t>k</w:t>
      </w:r>
      <w:r w:rsidRPr="00155F80">
        <w:rPr>
          <w:rFonts w:ascii="Times New Roman" w:hAnsi="Times New Roman"/>
          <w:lang w:val="hr-HR"/>
        </w:rPr>
        <w:t xml:space="preserve">emijske analize pokazuju da ove vode nisu opterećene značajnim količinama toksičnih materija, kao što su teški metali i organski otrovi, što je rezultat činjenice da mnogi industrijski pogoni nisu u funkciji. </w:t>
      </w:r>
      <w:r w:rsidR="00FE3B0D">
        <w:rPr>
          <w:rFonts w:ascii="Times New Roman" w:hAnsi="Times New Roman"/>
          <w:lang w:val="hr-HR"/>
        </w:rPr>
        <w:t>Onečišćenje</w:t>
      </w:r>
      <w:r w:rsidRPr="00155F80">
        <w:rPr>
          <w:rFonts w:ascii="Times New Roman" w:hAnsi="Times New Roman"/>
          <w:lang w:val="hr-HR"/>
        </w:rPr>
        <w:t xml:space="preserve"> vode pot</w:t>
      </w:r>
      <w:r w:rsidR="0085238E">
        <w:rPr>
          <w:rFonts w:ascii="Times New Roman" w:hAnsi="Times New Roman"/>
          <w:lang w:val="hr-HR"/>
        </w:rPr>
        <w:t>je</w:t>
      </w:r>
      <w:r w:rsidRPr="00155F80">
        <w:rPr>
          <w:rFonts w:ascii="Times New Roman" w:hAnsi="Times New Roman"/>
          <w:lang w:val="hr-HR"/>
        </w:rPr>
        <w:t>če uglavnom od kanalizaci</w:t>
      </w:r>
      <w:r w:rsidR="0085238E">
        <w:rPr>
          <w:rFonts w:ascii="Times New Roman" w:hAnsi="Times New Roman"/>
          <w:lang w:val="hr-HR"/>
        </w:rPr>
        <w:t>jskih</w:t>
      </w:r>
      <w:r w:rsidRPr="00155F80">
        <w:rPr>
          <w:rFonts w:ascii="Times New Roman" w:hAnsi="Times New Roman"/>
          <w:lang w:val="hr-HR"/>
        </w:rPr>
        <w:t xml:space="preserve">, tj. fekalnih voda, zbog čega se većina rijeka (npr. Zujevina, Krivaja, Jala, Miljacka,  Željeznica) ne može koristiti za rekreativne svrhe. Izuzetak je rijeka Bosna, prije ulijevanja Miljacke i Željeznice. </w:t>
      </w:r>
    </w:p>
    <w:p w:rsidR="00A131AD" w:rsidRPr="00155F80" w:rsidRDefault="00A131AD" w:rsidP="000C0138">
      <w:pPr>
        <w:spacing w:line="276" w:lineRule="auto"/>
        <w:rPr>
          <w:rFonts w:ascii="Times New Roman" w:hAnsi="Times New Roman"/>
        </w:rPr>
      </w:pPr>
      <w:r w:rsidRPr="00155F80">
        <w:rPr>
          <w:rFonts w:ascii="Times New Roman" w:hAnsi="Times New Roman"/>
        </w:rPr>
        <w:t>Do</w:t>
      </w:r>
      <w:r w:rsidRPr="00155F80">
        <w:rPr>
          <w:rFonts w:ascii="Times New Roman" w:hAnsi="Times New Roman"/>
          <w:lang w:val="hr-HR"/>
        </w:rPr>
        <w:t xml:space="preserve"> </w:t>
      </w:r>
      <w:r w:rsidRPr="00155F80">
        <w:rPr>
          <w:rFonts w:ascii="Times New Roman" w:hAnsi="Times New Roman"/>
        </w:rPr>
        <w:t>sada</w:t>
      </w:r>
      <w:r w:rsidRPr="00155F80">
        <w:rPr>
          <w:rFonts w:ascii="Times New Roman" w:hAnsi="Times New Roman"/>
          <w:lang w:val="hr-HR"/>
        </w:rPr>
        <w:t xml:space="preserve"> </w:t>
      </w:r>
      <w:r w:rsidRPr="00155F80">
        <w:rPr>
          <w:rFonts w:ascii="Times New Roman" w:hAnsi="Times New Roman"/>
        </w:rPr>
        <w:t>je</w:t>
      </w:r>
      <w:r w:rsidRPr="00155F80">
        <w:rPr>
          <w:rFonts w:ascii="Times New Roman" w:hAnsi="Times New Roman"/>
          <w:lang w:val="hr-HR"/>
        </w:rPr>
        <w:t xml:space="preserve"> </w:t>
      </w:r>
      <w:r w:rsidRPr="00155F80">
        <w:rPr>
          <w:rFonts w:ascii="Times New Roman" w:hAnsi="Times New Roman"/>
        </w:rPr>
        <w:t>praksa</w:t>
      </w:r>
      <w:r w:rsidRPr="00155F80">
        <w:rPr>
          <w:rFonts w:ascii="Times New Roman" w:hAnsi="Times New Roman"/>
          <w:lang w:val="hr-HR"/>
        </w:rPr>
        <w:t xml:space="preserve"> </w:t>
      </w:r>
      <w:r w:rsidRPr="00155F80">
        <w:rPr>
          <w:rFonts w:ascii="Times New Roman" w:hAnsi="Times New Roman"/>
        </w:rPr>
        <w:t>zbrinjavanja</w:t>
      </w:r>
      <w:r w:rsidRPr="00155F80">
        <w:rPr>
          <w:rFonts w:ascii="Times New Roman" w:hAnsi="Times New Roman"/>
          <w:lang w:val="hr-HR"/>
        </w:rPr>
        <w:t xml:space="preserve"> </w:t>
      </w:r>
      <w:r w:rsidRPr="00155F80">
        <w:rPr>
          <w:rFonts w:ascii="Times New Roman" w:hAnsi="Times New Roman"/>
        </w:rPr>
        <w:t>opasnog</w:t>
      </w:r>
      <w:r w:rsidRPr="00155F80">
        <w:rPr>
          <w:rFonts w:ascii="Times New Roman" w:hAnsi="Times New Roman"/>
          <w:lang w:val="hr-HR"/>
        </w:rPr>
        <w:t xml:space="preserve"> </w:t>
      </w:r>
      <w:r w:rsidRPr="00155F80">
        <w:rPr>
          <w:rFonts w:ascii="Times New Roman" w:hAnsi="Times New Roman"/>
        </w:rPr>
        <w:t>otpada</w:t>
      </w:r>
      <w:r w:rsidRPr="00155F80">
        <w:rPr>
          <w:rFonts w:ascii="Times New Roman" w:hAnsi="Times New Roman"/>
          <w:lang w:val="hr-HR"/>
        </w:rPr>
        <w:t xml:space="preserve"> </w:t>
      </w:r>
      <w:r w:rsidRPr="00155F80">
        <w:rPr>
          <w:rFonts w:ascii="Times New Roman" w:hAnsi="Times New Roman"/>
        </w:rPr>
        <w:t>u</w:t>
      </w:r>
      <w:r w:rsidRPr="00155F80">
        <w:rPr>
          <w:rFonts w:ascii="Times New Roman" w:hAnsi="Times New Roman"/>
          <w:lang w:val="hr-HR"/>
        </w:rPr>
        <w:t xml:space="preserve"> </w:t>
      </w:r>
      <w:r w:rsidRPr="00155F80">
        <w:rPr>
          <w:rFonts w:ascii="Times New Roman" w:hAnsi="Times New Roman"/>
        </w:rPr>
        <w:t>FBiH</w:t>
      </w:r>
      <w:r w:rsidRPr="00155F80">
        <w:rPr>
          <w:rFonts w:ascii="Times New Roman" w:hAnsi="Times New Roman"/>
          <w:lang w:val="hr-HR"/>
        </w:rPr>
        <w:t xml:space="preserve"> </w:t>
      </w:r>
      <w:r w:rsidRPr="00155F80">
        <w:rPr>
          <w:rFonts w:ascii="Times New Roman" w:hAnsi="Times New Roman"/>
        </w:rPr>
        <w:t>bila</w:t>
      </w:r>
      <w:r w:rsidRPr="00155F80">
        <w:rPr>
          <w:rFonts w:ascii="Times New Roman" w:hAnsi="Times New Roman"/>
          <w:lang w:val="hr-HR"/>
        </w:rPr>
        <w:t xml:space="preserve"> </w:t>
      </w:r>
      <w:r w:rsidRPr="00155F80">
        <w:rPr>
          <w:rFonts w:ascii="Times New Roman" w:hAnsi="Times New Roman"/>
        </w:rPr>
        <w:t>usmjerena</w:t>
      </w:r>
      <w:r w:rsidRPr="00155F80">
        <w:rPr>
          <w:rFonts w:ascii="Times New Roman" w:hAnsi="Times New Roman"/>
          <w:lang w:val="hr-HR"/>
        </w:rPr>
        <w:t xml:space="preserve"> </w:t>
      </w:r>
      <w:r w:rsidRPr="00155F80">
        <w:rPr>
          <w:rFonts w:ascii="Times New Roman" w:hAnsi="Times New Roman"/>
        </w:rPr>
        <w:t>ka</w:t>
      </w:r>
      <w:r w:rsidRPr="00155F80">
        <w:rPr>
          <w:rFonts w:ascii="Times New Roman" w:hAnsi="Times New Roman"/>
          <w:lang w:val="hr-HR"/>
        </w:rPr>
        <w:t xml:space="preserve"> </w:t>
      </w:r>
      <w:r w:rsidRPr="00155F80">
        <w:rPr>
          <w:rFonts w:ascii="Times New Roman" w:hAnsi="Times New Roman"/>
        </w:rPr>
        <w:t>izvozu</w:t>
      </w:r>
      <w:r w:rsidRPr="00155F80">
        <w:rPr>
          <w:rFonts w:ascii="Times New Roman" w:hAnsi="Times New Roman"/>
          <w:lang w:val="hr-HR"/>
        </w:rPr>
        <w:t xml:space="preserve">, </w:t>
      </w:r>
      <w:r w:rsidRPr="00155F80">
        <w:rPr>
          <w:rFonts w:ascii="Times New Roman" w:hAnsi="Times New Roman"/>
        </w:rPr>
        <w:t>no</w:t>
      </w:r>
      <w:r w:rsidRPr="00155F80">
        <w:rPr>
          <w:rFonts w:ascii="Times New Roman" w:hAnsi="Times New Roman"/>
          <w:lang w:val="hr-HR"/>
        </w:rPr>
        <w:t xml:space="preserve"> </w:t>
      </w:r>
      <w:r w:rsidRPr="00155F80">
        <w:rPr>
          <w:rFonts w:ascii="Times New Roman" w:hAnsi="Times New Roman"/>
        </w:rPr>
        <w:t>prema</w:t>
      </w:r>
      <w:r w:rsidRPr="00155F80">
        <w:rPr>
          <w:rFonts w:ascii="Times New Roman" w:hAnsi="Times New Roman"/>
          <w:lang w:val="hr-HR"/>
        </w:rPr>
        <w:t xml:space="preserve"> </w:t>
      </w:r>
      <w:r w:rsidRPr="00155F80">
        <w:rPr>
          <w:rFonts w:ascii="Times New Roman" w:hAnsi="Times New Roman"/>
        </w:rPr>
        <w:t>na</w:t>
      </w:r>
      <w:r w:rsidRPr="00155F80">
        <w:rPr>
          <w:rFonts w:ascii="Times New Roman" w:hAnsi="Times New Roman"/>
          <w:lang w:val="hr-HR"/>
        </w:rPr>
        <w:t>č</w:t>
      </w:r>
      <w:r w:rsidRPr="00155F80">
        <w:rPr>
          <w:rFonts w:ascii="Times New Roman" w:hAnsi="Times New Roman"/>
        </w:rPr>
        <w:t>elima</w:t>
      </w:r>
      <w:r w:rsidRPr="00155F80">
        <w:rPr>
          <w:rFonts w:ascii="Times New Roman" w:hAnsi="Times New Roman"/>
          <w:lang w:val="hr-HR"/>
        </w:rPr>
        <w:t xml:space="preserve"> </w:t>
      </w:r>
      <w:r w:rsidRPr="00155F80">
        <w:rPr>
          <w:rFonts w:ascii="Times New Roman" w:hAnsi="Times New Roman"/>
        </w:rPr>
        <w:t>tr</w:t>
      </w:r>
      <w:r w:rsidRPr="00155F80">
        <w:rPr>
          <w:rFonts w:ascii="Times New Roman" w:hAnsi="Times New Roman"/>
          <w:lang w:val="hr-HR"/>
        </w:rPr>
        <w:t>ž</w:t>
      </w:r>
      <w:r w:rsidRPr="00155F80">
        <w:rPr>
          <w:rFonts w:ascii="Times New Roman" w:hAnsi="Times New Roman"/>
        </w:rPr>
        <w:t>i</w:t>
      </w:r>
      <w:r w:rsidRPr="00155F80">
        <w:rPr>
          <w:rFonts w:ascii="Times New Roman" w:hAnsi="Times New Roman"/>
          <w:lang w:val="hr-HR"/>
        </w:rPr>
        <w:t>š</w:t>
      </w:r>
      <w:r w:rsidRPr="00155F80">
        <w:rPr>
          <w:rFonts w:ascii="Times New Roman" w:hAnsi="Times New Roman"/>
        </w:rPr>
        <w:t>ta</w:t>
      </w:r>
      <w:r w:rsidRPr="00155F80">
        <w:rPr>
          <w:rFonts w:ascii="Times New Roman" w:hAnsi="Times New Roman"/>
          <w:lang w:val="hr-HR"/>
        </w:rPr>
        <w:t xml:space="preserve">, </w:t>
      </w:r>
      <w:r w:rsidRPr="00155F80">
        <w:rPr>
          <w:rFonts w:ascii="Times New Roman" w:hAnsi="Times New Roman"/>
        </w:rPr>
        <w:t>u</w:t>
      </w:r>
      <w:r w:rsidRPr="00155F80">
        <w:rPr>
          <w:rFonts w:ascii="Times New Roman" w:hAnsi="Times New Roman"/>
          <w:lang w:val="hr-HR"/>
        </w:rPr>
        <w:t xml:space="preserve"> </w:t>
      </w:r>
      <w:r w:rsidRPr="00155F80">
        <w:rPr>
          <w:rFonts w:ascii="Times New Roman" w:hAnsi="Times New Roman"/>
        </w:rPr>
        <w:t>FBiH</w:t>
      </w:r>
      <w:r w:rsidRPr="00155F80">
        <w:rPr>
          <w:rFonts w:ascii="Times New Roman" w:hAnsi="Times New Roman"/>
          <w:lang w:val="hr-HR"/>
        </w:rPr>
        <w:t xml:space="preserve"> </w:t>
      </w:r>
      <w:r w:rsidRPr="00155F80">
        <w:rPr>
          <w:rFonts w:ascii="Times New Roman" w:hAnsi="Times New Roman"/>
        </w:rPr>
        <w:t>se</w:t>
      </w:r>
      <w:r w:rsidRPr="00155F80">
        <w:rPr>
          <w:rFonts w:ascii="Times New Roman" w:hAnsi="Times New Roman"/>
          <w:lang w:val="hr-HR"/>
        </w:rPr>
        <w:t xml:space="preserve"> </w:t>
      </w:r>
      <w:r w:rsidRPr="00155F80">
        <w:rPr>
          <w:rFonts w:ascii="Times New Roman" w:hAnsi="Times New Roman"/>
        </w:rPr>
        <w:t>polako</w:t>
      </w:r>
      <w:r w:rsidRPr="00155F80">
        <w:rPr>
          <w:rFonts w:ascii="Times New Roman" w:hAnsi="Times New Roman"/>
          <w:lang w:val="hr-HR"/>
        </w:rPr>
        <w:t xml:space="preserve"> </w:t>
      </w:r>
      <w:r w:rsidRPr="00155F80">
        <w:rPr>
          <w:rFonts w:ascii="Times New Roman" w:hAnsi="Times New Roman"/>
        </w:rPr>
        <w:t>po</w:t>
      </w:r>
      <w:r w:rsidRPr="00155F80">
        <w:rPr>
          <w:rFonts w:ascii="Times New Roman" w:hAnsi="Times New Roman"/>
          <w:lang w:val="hr-HR"/>
        </w:rPr>
        <w:t>č</w:t>
      </w:r>
      <w:r w:rsidRPr="00155F80">
        <w:rPr>
          <w:rFonts w:ascii="Times New Roman" w:hAnsi="Times New Roman"/>
        </w:rPr>
        <w:t>inju</w:t>
      </w:r>
      <w:r w:rsidRPr="00155F80">
        <w:rPr>
          <w:rFonts w:ascii="Times New Roman" w:hAnsi="Times New Roman"/>
          <w:lang w:val="hr-HR"/>
        </w:rPr>
        <w:t xml:space="preserve"> </w:t>
      </w:r>
      <w:r w:rsidRPr="00155F80">
        <w:rPr>
          <w:rFonts w:ascii="Times New Roman" w:hAnsi="Times New Roman"/>
        </w:rPr>
        <w:t>razvijati</w:t>
      </w:r>
      <w:r w:rsidRPr="00155F80">
        <w:rPr>
          <w:rFonts w:ascii="Times New Roman" w:hAnsi="Times New Roman"/>
          <w:lang w:val="hr-HR"/>
        </w:rPr>
        <w:t xml:space="preserve"> </w:t>
      </w:r>
      <w:r w:rsidRPr="00155F80">
        <w:rPr>
          <w:rFonts w:ascii="Times New Roman" w:hAnsi="Times New Roman"/>
        </w:rPr>
        <w:t>tehni</w:t>
      </w:r>
      <w:r w:rsidRPr="00155F80">
        <w:rPr>
          <w:rFonts w:ascii="Times New Roman" w:hAnsi="Times New Roman"/>
          <w:lang w:val="hr-HR"/>
        </w:rPr>
        <w:t>č</w:t>
      </w:r>
      <w:r w:rsidRPr="00155F80">
        <w:rPr>
          <w:rFonts w:ascii="Times New Roman" w:hAnsi="Times New Roman"/>
        </w:rPr>
        <w:t>ko</w:t>
      </w:r>
      <w:r w:rsidRPr="00155F80">
        <w:rPr>
          <w:rFonts w:ascii="Times New Roman" w:hAnsi="Times New Roman"/>
          <w:lang w:val="hr-HR"/>
        </w:rPr>
        <w:t>-</w:t>
      </w:r>
      <w:r w:rsidRPr="00155F80">
        <w:rPr>
          <w:rFonts w:ascii="Times New Roman" w:hAnsi="Times New Roman"/>
        </w:rPr>
        <w:t>tehnolo</w:t>
      </w:r>
      <w:r w:rsidRPr="00155F80">
        <w:rPr>
          <w:rFonts w:ascii="Times New Roman" w:hAnsi="Times New Roman"/>
          <w:lang w:val="hr-HR"/>
        </w:rPr>
        <w:t>š</w:t>
      </w:r>
      <w:r w:rsidRPr="00155F80">
        <w:rPr>
          <w:rFonts w:ascii="Times New Roman" w:hAnsi="Times New Roman"/>
        </w:rPr>
        <w:t>ki</w:t>
      </w:r>
      <w:r w:rsidRPr="00155F80">
        <w:rPr>
          <w:rFonts w:ascii="Times New Roman" w:hAnsi="Times New Roman"/>
          <w:lang w:val="hr-HR"/>
        </w:rPr>
        <w:t xml:space="preserve"> </w:t>
      </w:r>
      <w:r w:rsidRPr="00155F80">
        <w:rPr>
          <w:rFonts w:ascii="Times New Roman" w:hAnsi="Times New Roman"/>
        </w:rPr>
        <w:t>kapaciteti</w:t>
      </w:r>
      <w:r w:rsidRPr="00155F80">
        <w:rPr>
          <w:rFonts w:ascii="Times New Roman" w:hAnsi="Times New Roman"/>
          <w:lang w:val="hr-HR"/>
        </w:rPr>
        <w:t xml:space="preserve"> </w:t>
      </w:r>
      <w:r w:rsidRPr="00155F80">
        <w:rPr>
          <w:rFonts w:ascii="Times New Roman" w:hAnsi="Times New Roman"/>
        </w:rPr>
        <w:t>za</w:t>
      </w:r>
      <w:r w:rsidRPr="00155F80">
        <w:rPr>
          <w:rFonts w:ascii="Times New Roman" w:hAnsi="Times New Roman"/>
          <w:lang w:val="hr-HR"/>
        </w:rPr>
        <w:t xml:space="preserve"> </w:t>
      </w:r>
      <w:r w:rsidRPr="00155F80">
        <w:rPr>
          <w:rFonts w:ascii="Times New Roman" w:hAnsi="Times New Roman"/>
        </w:rPr>
        <w:t>prikupljanje</w:t>
      </w:r>
      <w:r w:rsidRPr="00155F80">
        <w:rPr>
          <w:rFonts w:ascii="Times New Roman" w:hAnsi="Times New Roman"/>
          <w:lang w:val="hr-HR"/>
        </w:rPr>
        <w:t xml:space="preserve">, </w:t>
      </w:r>
      <w:r w:rsidR="0085238E">
        <w:rPr>
          <w:rFonts w:ascii="Times New Roman" w:hAnsi="Times New Roman"/>
        </w:rPr>
        <w:t>pohranu</w:t>
      </w:r>
      <w:r w:rsidRPr="00155F80">
        <w:rPr>
          <w:rFonts w:ascii="Times New Roman" w:hAnsi="Times New Roman"/>
          <w:lang w:val="hr-HR"/>
        </w:rPr>
        <w:t xml:space="preserve"> </w:t>
      </w:r>
      <w:r w:rsidRPr="00155F80">
        <w:rPr>
          <w:rFonts w:ascii="Times New Roman" w:hAnsi="Times New Roman"/>
        </w:rPr>
        <w:t>i</w:t>
      </w:r>
      <w:r w:rsidRPr="00155F80">
        <w:rPr>
          <w:rFonts w:ascii="Times New Roman" w:hAnsi="Times New Roman"/>
          <w:lang w:val="hr-HR"/>
        </w:rPr>
        <w:t xml:space="preserve"> </w:t>
      </w:r>
      <w:r w:rsidRPr="00155F80">
        <w:rPr>
          <w:rFonts w:ascii="Times New Roman" w:hAnsi="Times New Roman"/>
        </w:rPr>
        <w:t>obradu</w:t>
      </w:r>
      <w:r w:rsidRPr="00155F80">
        <w:rPr>
          <w:rFonts w:ascii="Times New Roman" w:hAnsi="Times New Roman"/>
          <w:lang w:val="hr-HR"/>
        </w:rPr>
        <w:t xml:space="preserve"> </w:t>
      </w:r>
      <w:r w:rsidRPr="00155F80">
        <w:rPr>
          <w:rFonts w:ascii="Times New Roman" w:hAnsi="Times New Roman"/>
        </w:rPr>
        <w:t>opasnog</w:t>
      </w:r>
      <w:r w:rsidRPr="00155F80">
        <w:rPr>
          <w:rFonts w:ascii="Times New Roman" w:hAnsi="Times New Roman"/>
          <w:lang w:val="hr-HR"/>
        </w:rPr>
        <w:t xml:space="preserve"> </w:t>
      </w:r>
      <w:r w:rsidRPr="00155F80">
        <w:rPr>
          <w:rFonts w:ascii="Times New Roman" w:hAnsi="Times New Roman"/>
        </w:rPr>
        <w:t>otpada</w:t>
      </w:r>
      <w:r w:rsidRPr="00155F80">
        <w:rPr>
          <w:rFonts w:ascii="Times New Roman" w:hAnsi="Times New Roman"/>
          <w:lang w:val="hr-HR"/>
        </w:rPr>
        <w:t xml:space="preserve">. </w:t>
      </w:r>
      <w:r w:rsidRPr="00155F80">
        <w:rPr>
          <w:rFonts w:ascii="Times New Roman" w:hAnsi="Times New Roman"/>
        </w:rPr>
        <w:t>Nekoliko privrednih subjekata dobilo je dozvole za prikupljanje, prijevoz i privremen</w:t>
      </w:r>
      <w:r w:rsidR="0085238E">
        <w:rPr>
          <w:rFonts w:ascii="Times New Roman" w:hAnsi="Times New Roman"/>
        </w:rPr>
        <w:t>u</w:t>
      </w:r>
      <w:r w:rsidRPr="00155F80">
        <w:rPr>
          <w:rFonts w:ascii="Times New Roman" w:hAnsi="Times New Roman"/>
        </w:rPr>
        <w:t xml:space="preserve"> </w:t>
      </w:r>
      <w:r w:rsidR="0085238E">
        <w:rPr>
          <w:rFonts w:ascii="Times New Roman" w:hAnsi="Times New Roman"/>
        </w:rPr>
        <w:t>pohranu</w:t>
      </w:r>
      <w:r w:rsidRPr="00155F80">
        <w:rPr>
          <w:rFonts w:ascii="Times New Roman" w:hAnsi="Times New Roman"/>
        </w:rPr>
        <w:t xml:space="preserve"> ovog otpada. Također, postoji nekoliko manjih specijaliziranih objekata namijenjenih za obradu opasnog otpada, te postoje određeni kapaciteti u okviru većih industrijskih postrojenja koji se koriste za obradu. Federalno ministarstvo okoliša i turizma </w:t>
      </w:r>
      <w:r w:rsidR="0085238E">
        <w:rPr>
          <w:rFonts w:ascii="Times New Roman" w:hAnsi="Times New Roman"/>
        </w:rPr>
        <w:t>obavlja</w:t>
      </w:r>
      <w:r w:rsidRPr="00155F80">
        <w:rPr>
          <w:rFonts w:ascii="Times New Roman" w:hAnsi="Times New Roman"/>
        </w:rPr>
        <w:t xml:space="preserve"> izvoz opasnog otpada (azbestni otpad, galvanski mulj, otpadne boje i lakovi, otpadni olovni akumulatori, farmaceutski otpad i citostatici, </w:t>
      </w:r>
      <w:r w:rsidR="0085238E">
        <w:rPr>
          <w:rFonts w:ascii="Times New Roman" w:hAnsi="Times New Roman"/>
        </w:rPr>
        <w:t>k</w:t>
      </w:r>
      <w:r w:rsidRPr="00155F80">
        <w:rPr>
          <w:rFonts w:ascii="Times New Roman" w:hAnsi="Times New Roman"/>
        </w:rPr>
        <w:t>emikalije itd.) s</w:t>
      </w:r>
      <w:r w:rsidR="00D80166">
        <w:rPr>
          <w:rFonts w:ascii="Times New Roman" w:hAnsi="Times New Roman"/>
        </w:rPr>
        <w:t>u</w:t>
      </w:r>
      <w:r w:rsidRPr="00155F80">
        <w:rPr>
          <w:rFonts w:ascii="Times New Roman" w:hAnsi="Times New Roman"/>
        </w:rPr>
        <w:t>klad</w:t>
      </w:r>
      <w:r w:rsidR="00D80166">
        <w:rPr>
          <w:rFonts w:ascii="Times New Roman" w:hAnsi="Times New Roman"/>
        </w:rPr>
        <w:t>no</w:t>
      </w:r>
      <w:r w:rsidRPr="00155F80">
        <w:rPr>
          <w:rFonts w:ascii="Times New Roman" w:hAnsi="Times New Roman"/>
        </w:rPr>
        <w:t xml:space="preserve"> odredbama Ba</w:t>
      </w:r>
      <w:r w:rsidR="00D80166">
        <w:rPr>
          <w:rFonts w:ascii="Times New Roman" w:hAnsi="Times New Roman"/>
        </w:rPr>
        <w:t>z</w:t>
      </w:r>
      <w:r w:rsidRPr="00155F80">
        <w:rPr>
          <w:rFonts w:ascii="Times New Roman" w:hAnsi="Times New Roman"/>
        </w:rPr>
        <w:t xml:space="preserve">elske konvencije o prekograničnom prometu opasnog </w:t>
      </w:r>
      <w:r w:rsidR="00092D83" w:rsidRPr="00155F80">
        <w:rPr>
          <w:rFonts w:ascii="Times New Roman" w:hAnsi="Times New Roman"/>
        </w:rPr>
        <w:t xml:space="preserve">otpada i njegovom </w:t>
      </w:r>
      <w:r w:rsidR="00092D83" w:rsidRPr="00F83CAD">
        <w:rPr>
          <w:rFonts w:ascii="Times New Roman" w:hAnsi="Times New Roman"/>
        </w:rPr>
        <w:t>odlaganju. (13</w:t>
      </w:r>
      <w:r w:rsidRPr="00F83CAD">
        <w:rPr>
          <w:rFonts w:ascii="Times New Roman" w:hAnsi="Times New Roman"/>
        </w:rPr>
        <w:t>)</w:t>
      </w:r>
    </w:p>
    <w:p w:rsidR="00A131AD" w:rsidRPr="00155F80" w:rsidRDefault="00A131AD" w:rsidP="000C0138">
      <w:pPr>
        <w:spacing w:line="276" w:lineRule="auto"/>
        <w:rPr>
          <w:rStyle w:val="Emphasis"/>
          <w:rFonts w:ascii="Times New Roman" w:hAnsi="Times New Roman"/>
          <w:b/>
          <w:i w:val="0"/>
          <w:lang w:val="pl-PL"/>
        </w:rPr>
      </w:pPr>
    </w:p>
    <w:p w:rsidR="00A131AD" w:rsidRPr="00155F80" w:rsidRDefault="008F6458" w:rsidP="000C0138">
      <w:pPr>
        <w:pStyle w:val="Poglavlje3"/>
        <w:spacing w:line="276" w:lineRule="auto"/>
        <w:rPr>
          <w:rStyle w:val="Emphasis"/>
          <w:b w:val="0"/>
          <w:lang w:val="pl-PL"/>
        </w:rPr>
      </w:pPr>
      <w:bookmarkStart w:id="329" w:name="_Toc456095931"/>
      <w:r>
        <w:rPr>
          <w:i w:val="0"/>
        </w:rPr>
        <w:t>4.2</w:t>
      </w:r>
      <w:r w:rsidR="00301140">
        <w:rPr>
          <w:i w:val="0"/>
        </w:rPr>
        <w:t>.4</w:t>
      </w:r>
      <w:r w:rsidR="000E1376" w:rsidRPr="00155F80">
        <w:rPr>
          <w:i w:val="0"/>
        </w:rPr>
        <w:t xml:space="preserve"> </w:t>
      </w:r>
      <w:r w:rsidR="00D80166">
        <w:rPr>
          <w:i w:val="0"/>
        </w:rPr>
        <w:t>I</w:t>
      </w:r>
      <w:r w:rsidR="00A131AD" w:rsidRPr="00155F80">
        <w:rPr>
          <w:i w:val="0"/>
        </w:rPr>
        <w:t>onizirajuće zračenje</w:t>
      </w:r>
      <w:bookmarkEnd w:id="329"/>
      <w:r w:rsidR="003230A0" w:rsidRPr="00155F80">
        <w:rPr>
          <w:rStyle w:val="Emphasis"/>
          <w:b w:val="0"/>
          <w:lang w:val="pl-PL"/>
        </w:rPr>
        <w:t xml:space="preserve"> </w:t>
      </w:r>
      <w:r w:rsidR="00A131AD" w:rsidRPr="00155F80">
        <w:rPr>
          <w:rStyle w:val="Emphasis"/>
          <w:b w:val="0"/>
          <w:lang w:val="pl-PL"/>
        </w:rPr>
        <w:t xml:space="preserve"> </w:t>
      </w:r>
    </w:p>
    <w:p w:rsidR="00A131AD" w:rsidRPr="00155F80" w:rsidRDefault="00A131AD" w:rsidP="000C0138">
      <w:pPr>
        <w:spacing w:line="276" w:lineRule="auto"/>
        <w:rPr>
          <w:rStyle w:val="Emphasis"/>
          <w:rFonts w:ascii="Times New Roman" w:hAnsi="Times New Roman"/>
          <w:b/>
          <w:i w:val="0"/>
          <w:lang w:val="pl-PL"/>
        </w:rPr>
      </w:pPr>
    </w:p>
    <w:p w:rsidR="00A131AD" w:rsidRPr="00155F80" w:rsidRDefault="0006688D" w:rsidP="000C0138">
      <w:pPr>
        <w:autoSpaceDE w:val="0"/>
        <w:autoSpaceDN w:val="0"/>
        <w:adjustRightInd w:val="0"/>
        <w:spacing w:line="276" w:lineRule="auto"/>
        <w:rPr>
          <w:rFonts w:ascii="Times New Roman" w:hAnsi="Times New Roman"/>
          <w:color w:val="000000"/>
        </w:rPr>
      </w:pPr>
      <w:r>
        <w:rPr>
          <w:rFonts w:ascii="Times New Roman" w:hAnsi="Times New Roman"/>
          <w:color w:val="000000"/>
        </w:rPr>
        <w:t>I</w:t>
      </w:r>
      <w:r w:rsidR="00A131AD" w:rsidRPr="00155F80">
        <w:rPr>
          <w:rFonts w:ascii="Times New Roman" w:hAnsi="Times New Roman"/>
          <w:color w:val="000000"/>
        </w:rPr>
        <w:t xml:space="preserve">onizirajuće zračenje je prirodni fenomen prisutan u svakodnevnom životu, koje sa sobom nosi određene rizike kako po ljude tako i po životnu sredinu. Razvoj </w:t>
      </w:r>
      <w:r>
        <w:rPr>
          <w:rFonts w:ascii="Times New Roman" w:hAnsi="Times New Roman"/>
          <w:color w:val="000000"/>
        </w:rPr>
        <w:t>znanosti</w:t>
      </w:r>
      <w:r w:rsidR="00A131AD" w:rsidRPr="00155F80">
        <w:rPr>
          <w:rFonts w:ascii="Times New Roman" w:hAnsi="Times New Roman"/>
          <w:color w:val="000000"/>
        </w:rPr>
        <w:t xml:space="preserve"> i tehnologije omogućio je da se danas </w:t>
      </w:r>
      <w:r>
        <w:rPr>
          <w:rFonts w:ascii="Times New Roman" w:hAnsi="Times New Roman"/>
          <w:color w:val="000000"/>
        </w:rPr>
        <w:t>i</w:t>
      </w:r>
      <w:r w:rsidR="00A131AD" w:rsidRPr="00155F80">
        <w:rPr>
          <w:rFonts w:ascii="Times New Roman" w:hAnsi="Times New Roman"/>
          <w:color w:val="000000"/>
        </w:rPr>
        <w:t>onizirajuće zračenje primijenjuj</w:t>
      </w:r>
      <w:r>
        <w:rPr>
          <w:rFonts w:ascii="Times New Roman" w:hAnsi="Times New Roman"/>
          <w:color w:val="000000"/>
        </w:rPr>
        <w:t>e</w:t>
      </w:r>
      <w:r w:rsidR="00A131AD" w:rsidRPr="00155F80">
        <w:rPr>
          <w:rFonts w:ascii="Times New Roman" w:hAnsi="Times New Roman"/>
          <w:color w:val="000000"/>
        </w:rPr>
        <w:t xml:space="preserve"> u različitim djelatnostima: medicini (za radioterapijske i radiodijagnostičke tretmane), medicini, industriji i različitim sferama istraživanja, tako da se pored izloženosti prirodnim izvorima </w:t>
      </w:r>
      <w:r>
        <w:rPr>
          <w:rFonts w:ascii="Times New Roman" w:hAnsi="Times New Roman"/>
          <w:color w:val="000000"/>
        </w:rPr>
        <w:t>i</w:t>
      </w:r>
      <w:r w:rsidR="00A131AD" w:rsidRPr="00155F80">
        <w:rPr>
          <w:rFonts w:ascii="Times New Roman" w:hAnsi="Times New Roman"/>
          <w:color w:val="000000"/>
        </w:rPr>
        <w:t>onizirajućeg zračenja javlja i izloženost vještačkim izvorima zračenja.</w:t>
      </w:r>
    </w:p>
    <w:p w:rsidR="00A131AD" w:rsidRPr="00155F80" w:rsidRDefault="00A131AD" w:rsidP="000C0138">
      <w:pPr>
        <w:autoSpaceDE w:val="0"/>
        <w:autoSpaceDN w:val="0"/>
        <w:adjustRightInd w:val="0"/>
        <w:spacing w:line="276" w:lineRule="auto"/>
        <w:rPr>
          <w:rFonts w:ascii="Times New Roman" w:hAnsi="Times New Roman"/>
        </w:rPr>
      </w:pPr>
      <w:r w:rsidRPr="00155F80">
        <w:rPr>
          <w:rFonts w:ascii="Times New Roman" w:hAnsi="Times New Roman"/>
        </w:rPr>
        <w:t xml:space="preserve">Veoma bitna je zaštita života i zdravlja ljudi, kao i zaštita životne sredine, od štetnog djelovanja </w:t>
      </w:r>
      <w:r w:rsidR="0006688D">
        <w:rPr>
          <w:rFonts w:ascii="Times New Roman" w:hAnsi="Times New Roman"/>
        </w:rPr>
        <w:t>i</w:t>
      </w:r>
      <w:r w:rsidRPr="00155F80">
        <w:rPr>
          <w:rFonts w:ascii="Times New Roman" w:hAnsi="Times New Roman"/>
        </w:rPr>
        <w:t xml:space="preserve">onizirajućeg zračenja. </w:t>
      </w:r>
    </w:p>
    <w:p w:rsidR="00A131AD" w:rsidRPr="00155F80" w:rsidRDefault="00A131AD" w:rsidP="000C0138">
      <w:pPr>
        <w:autoSpaceDE w:val="0"/>
        <w:autoSpaceDN w:val="0"/>
        <w:adjustRightInd w:val="0"/>
        <w:spacing w:line="276" w:lineRule="auto"/>
        <w:rPr>
          <w:rFonts w:ascii="Times New Roman" w:hAnsi="Times New Roman"/>
        </w:rPr>
      </w:pPr>
      <w:r w:rsidRPr="00155F80">
        <w:rPr>
          <w:rFonts w:ascii="Times New Roman" w:hAnsi="Times New Roman"/>
        </w:rPr>
        <w:t>Zakonom o radijacijskoj i nuklearnoj sigurnosti u Bosni i Hercegovini („Službeni glasnik BiH“, broj 88/07) i Zakonom  o hrani ("Službeni glasnik BiH", broj 50/04), te nizom podzakonskih akata uspostavljen je op</w:t>
      </w:r>
      <w:r w:rsidR="0006688D">
        <w:rPr>
          <w:rFonts w:ascii="Times New Roman" w:hAnsi="Times New Roman"/>
        </w:rPr>
        <w:t>ć</w:t>
      </w:r>
      <w:r w:rsidRPr="00155F80">
        <w:rPr>
          <w:rFonts w:ascii="Times New Roman" w:hAnsi="Times New Roman"/>
        </w:rPr>
        <w:t>i pravni okvir s</w:t>
      </w:r>
      <w:r w:rsidR="0006688D">
        <w:rPr>
          <w:rFonts w:ascii="Times New Roman" w:hAnsi="Times New Roman"/>
        </w:rPr>
        <w:t>ustava</w:t>
      </w:r>
      <w:r w:rsidRPr="00155F80">
        <w:rPr>
          <w:rFonts w:ascii="Times New Roman" w:hAnsi="Times New Roman"/>
        </w:rPr>
        <w:t xml:space="preserve"> kontrole nad izvorima </w:t>
      </w:r>
      <w:r w:rsidR="0006688D">
        <w:rPr>
          <w:rFonts w:ascii="Times New Roman" w:hAnsi="Times New Roman"/>
        </w:rPr>
        <w:t>i</w:t>
      </w:r>
      <w:r w:rsidRPr="00155F80">
        <w:rPr>
          <w:rFonts w:ascii="Times New Roman" w:hAnsi="Times New Roman"/>
        </w:rPr>
        <w:t xml:space="preserve">onizirajućeg zračenja, zaštite ljudi i životne sredine od ekspozicije ili potencijalne ekspozicije </w:t>
      </w:r>
      <w:r w:rsidR="0006688D">
        <w:rPr>
          <w:rFonts w:ascii="Times New Roman" w:hAnsi="Times New Roman"/>
        </w:rPr>
        <w:t>i</w:t>
      </w:r>
      <w:r w:rsidRPr="00155F80">
        <w:rPr>
          <w:rFonts w:ascii="Times New Roman" w:hAnsi="Times New Roman"/>
        </w:rPr>
        <w:t xml:space="preserve">onizirajućem zračenju. </w:t>
      </w:r>
    </w:p>
    <w:p w:rsidR="00A131AD" w:rsidRPr="00155F80" w:rsidRDefault="00A131AD" w:rsidP="000C0138">
      <w:pPr>
        <w:autoSpaceDE w:val="0"/>
        <w:autoSpaceDN w:val="0"/>
        <w:adjustRightInd w:val="0"/>
        <w:spacing w:line="276" w:lineRule="auto"/>
        <w:rPr>
          <w:rFonts w:ascii="Times New Roman" w:hAnsi="Times New Roman"/>
        </w:rPr>
      </w:pPr>
    </w:p>
    <w:p w:rsidR="00A131AD" w:rsidRPr="00155F80" w:rsidRDefault="00A131AD" w:rsidP="000C0138">
      <w:pPr>
        <w:pStyle w:val="Poglavlje4"/>
        <w:spacing w:line="276" w:lineRule="auto"/>
        <w:rPr>
          <w:i w:val="0"/>
        </w:rPr>
      </w:pPr>
      <w:r w:rsidRPr="00155F80">
        <w:rPr>
          <w:i w:val="0"/>
        </w:rPr>
        <w:t xml:space="preserve">Program monitoringa radioaktivnosti životne sredine u FBiH </w:t>
      </w:r>
    </w:p>
    <w:p w:rsidR="003066C2" w:rsidRDefault="00A131AD" w:rsidP="00250204">
      <w:pPr>
        <w:pStyle w:val="TEKST"/>
        <w:rPr>
          <w:rStyle w:val="longtext"/>
        </w:rPr>
      </w:pPr>
      <w:r w:rsidRPr="00155F80">
        <w:t>Program monitoringa radioaktivnosti životne sredine u FBiH uspostavljen je 2004. godine, kao s</w:t>
      </w:r>
      <w:r w:rsidR="0006688D">
        <w:t>ustavni</w:t>
      </w:r>
      <w:r w:rsidRPr="00155F80">
        <w:t xml:space="preserve"> oblik praćenja rizika po zdravlje stanovništva i zaštitu životne sredine od neželjenih </w:t>
      </w:r>
      <w:r w:rsidR="0006688D">
        <w:t>učinaka</w:t>
      </w:r>
      <w:r w:rsidRPr="00155F80">
        <w:t xml:space="preserve"> </w:t>
      </w:r>
      <w:r w:rsidR="0006688D">
        <w:t>i</w:t>
      </w:r>
      <w:r w:rsidRPr="00155F80">
        <w:t>onizirajućeg zračenja. Program se realiz</w:t>
      </w:r>
      <w:r w:rsidR="0006688D">
        <w:t>ira</w:t>
      </w:r>
      <w:r w:rsidRPr="00155F80">
        <w:rPr>
          <w:rStyle w:val="longtext"/>
        </w:rPr>
        <w:t xml:space="preserve"> praćenjem radioaktivnosti u životnoj sredini </w:t>
      </w:r>
      <w:r w:rsidRPr="00155F80">
        <w:rPr>
          <w:rStyle w:val="hps"/>
        </w:rPr>
        <w:t>s ciljem procjene efektivne doze. Efektivna doza je pokazatelj zdravstvenog</w:t>
      </w:r>
      <w:r w:rsidRPr="00155F80">
        <w:rPr>
          <w:rStyle w:val="longtext"/>
        </w:rPr>
        <w:t xml:space="preserve"> </w:t>
      </w:r>
      <w:r w:rsidRPr="00155F80">
        <w:rPr>
          <w:rStyle w:val="hps"/>
        </w:rPr>
        <w:t xml:space="preserve">rizika povezanog s neželjenim </w:t>
      </w:r>
      <w:r w:rsidR="0006688D">
        <w:rPr>
          <w:rStyle w:val="hps"/>
        </w:rPr>
        <w:t>učincima</w:t>
      </w:r>
      <w:r w:rsidRPr="00155F80">
        <w:rPr>
          <w:rStyle w:val="hps"/>
        </w:rPr>
        <w:t xml:space="preserve"> </w:t>
      </w:r>
      <w:r w:rsidR="0006688D">
        <w:rPr>
          <w:rStyle w:val="hps"/>
        </w:rPr>
        <w:t>i</w:t>
      </w:r>
      <w:r w:rsidRPr="00155F80">
        <w:rPr>
          <w:rStyle w:val="hps"/>
        </w:rPr>
        <w:t>onizirajućeg</w:t>
      </w:r>
      <w:r w:rsidRPr="00155F80">
        <w:rPr>
          <w:rStyle w:val="longtext"/>
        </w:rPr>
        <w:t xml:space="preserve"> </w:t>
      </w:r>
      <w:r w:rsidRPr="00155F80">
        <w:rPr>
          <w:rStyle w:val="hps"/>
        </w:rPr>
        <w:t>zračenja</w:t>
      </w:r>
      <w:r w:rsidRPr="00155F80">
        <w:rPr>
          <w:rStyle w:val="longtext"/>
        </w:rPr>
        <w:t xml:space="preserve">, a provodi ga Zavod za javno zdravstvo FBiH. </w:t>
      </w:r>
      <w:r w:rsidRPr="00155F80">
        <w:t xml:space="preserve"> </w:t>
      </w:r>
      <w:r w:rsidRPr="00155F80">
        <w:rPr>
          <w:rStyle w:val="longtext"/>
        </w:rPr>
        <w:t xml:space="preserve"> </w:t>
      </w:r>
    </w:p>
    <w:p w:rsidR="00A131AD" w:rsidRPr="00155F80" w:rsidRDefault="00A131AD" w:rsidP="00250204">
      <w:pPr>
        <w:pStyle w:val="TEKST"/>
        <w:rPr>
          <w:i/>
        </w:rPr>
      </w:pPr>
      <w:r w:rsidRPr="00155F80">
        <w:t xml:space="preserve">Praćenje </w:t>
      </w:r>
      <w:r w:rsidR="0006688D">
        <w:t>i</w:t>
      </w:r>
      <w:r w:rsidRPr="00155F80">
        <w:t xml:space="preserve">onizirajućeg zračenja u životnoj sredini </w:t>
      </w:r>
      <w:r w:rsidR="0006688D">
        <w:t>obavlja</w:t>
      </w:r>
      <w:r w:rsidRPr="00155F80">
        <w:t xml:space="preserve"> se mjerenjem brzine ambijentalnog doznog ekvivalenta gama zračenja u zraku, prostornog ekvivalenta doze gama zračenja u zraku, kao i mjerenjem aktivnosti radionuklida u uzorcima životne sredine.Kao dio integralnog s</w:t>
      </w:r>
      <w:r w:rsidR="0006688D">
        <w:t>ustava</w:t>
      </w:r>
      <w:r w:rsidRPr="00155F80">
        <w:t xml:space="preserve"> u Bosni i Hercegovini namijenjenog za praćenje i ranu dojavu prisustva radioaktivne kontaminacije u zraku mjerenje brzine ambijentalnog doznog ekvivalenta  u zraku </w:t>
      </w:r>
      <w:r w:rsidR="0006688D">
        <w:t>obavlja</w:t>
      </w:r>
      <w:r w:rsidRPr="00155F80">
        <w:t xml:space="preserve"> se na šest lokacija u FBiH: Sarajevu, Jajcu (od </w:t>
      </w:r>
      <w:r w:rsidR="0006688D">
        <w:t>lipnja</w:t>
      </w:r>
      <w:r w:rsidRPr="00155F80">
        <w:t xml:space="preserve"> 2011.), Tuzli, Livnu, Bihaću i Mostaru. Za potrebe FBiH praćenje i obradu podataka </w:t>
      </w:r>
      <w:r w:rsidR="0006688D">
        <w:t>obavlja</w:t>
      </w:r>
      <w:r w:rsidRPr="00155F80">
        <w:t xml:space="preserve"> Zavod za javno zdravstv</w:t>
      </w:r>
      <w:r w:rsidR="0006688D">
        <w:t>o</w:t>
      </w:r>
      <w:r w:rsidRPr="00155F80">
        <w:t xml:space="preserve"> FBiH.</w:t>
      </w:r>
    </w:p>
    <w:p w:rsidR="00A131AD" w:rsidRPr="00155F80" w:rsidRDefault="0006688D" w:rsidP="00250204">
      <w:pPr>
        <w:pStyle w:val="TEKST"/>
        <w:rPr>
          <w:i/>
        </w:rPr>
      </w:pPr>
      <w:r>
        <w:lastRenderedPageBreak/>
        <w:t>Temeljem</w:t>
      </w:r>
      <w:r w:rsidR="00A131AD" w:rsidRPr="00155F80">
        <w:t xml:space="preserve"> izmjerenih vrijednosti ambijentalnog doznog ekvivalenta na godišnj</w:t>
      </w:r>
      <w:r>
        <w:t>oj</w:t>
      </w:r>
      <w:r w:rsidR="00A131AD" w:rsidRPr="00155F80">
        <w:t xml:space="preserve"> </w:t>
      </w:r>
      <w:r>
        <w:t>razini</w:t>
      </w:r>
      <w:r w:rsidR="0059128D">
        <w:t xml:space="preserve"> za FBiH, da</w:t>
      </w:r>
      <w:r>
        <w:t>n</w:t>
      </w:r>
      <w:r w:rsidR="0059128D">
        <w:t>ih u Grafikonu 87</w:t>
      </w:r>
      <w:r w:rsidR="00A131AD" w:rsidRPr="00155F80">
        <w:t>,  jasno je vidljivo da nije prekoračena maksimalno dozvoljena vrijednost (dozvoljeno odstupanje od 20% do 100% iznad prosječne vrijednosti za protekl</w:t>
      </w:r>
      <w:r>
        <w:t>o razdoblje</w:t>
      </w:r>
      <w:r w:rsidR="00A131AD" w:rsidRPr="00155F80">
        <w:t xml:space="preserve"> od jedne godine za datu lokaciju - Službeni list SFRJ 84/91). Srednja godišnja vrijednost brzine prostornog doznog ekvivalenta  na teritorij</w:t>
      </w:r>
      <w:r>
        <w:t>u</w:t>
      </w:r>
      <w:r w:rsidR="00A131AD" w:rsidRPr="00155F80">
        <w:t xml:space="preserve"> Federacije Bosne i Hercegovine </w:t>
      </w:r>
      <w:r>
        <w:t>u razdoblju</w:t>
      </w:r>
      <w:r w:rsidR="00A131AD" w:rsidRPr="00155F80">
        <w:t xml:space="preserve"> 2010. - 2015. godina iznosila je 109 nSv/h.</w:t>
      </w:r>
    </w:p>
    <w:p w:rsidR="00A131AD" w:rsidRPr="00155F80" w:rsidRDefault="00A131AD" w:rsidP="000C0138">
      <w:pPr>
        <w:keepLines/>
        <w:spacing w:line="276" w:lineRule="auto"/>
        <w:rPr>
          <w:rFonts w:ascii="Times New Roman" w:hAnsi="Times New Roman"/>
          <w:lang w:val="hr-HR"/>
        </w:rPr>
      </w:pPr>
    </w:p>
    <w:p w:rsidR="00A131AD" w:rsidRPr="00155F80" w:rsidRDefault="00A131AD" w:rsidP="00B37E7E">
      <w:pPr>
        <w:pStyle w:val="refererere"/>
        <w:rPr>
          <w:lang w:val="hr-HR"/>
        </w:rPr>
      </w:pPr>
      <w:r w:rsidRPr="00155F80">
        <w:rPr>
          <w:lang w:val="hr-HR"/>
        </w:rPr>
        <w:t xml:space="preserve">Grafikon 87: Ambijentalni dozni ekvivalent, </w:t>
      </w:r>
      <w:r w:rsidR="0006688D">
        <w:rPr>
          <w:lang w:val="hr-HR"/>
        </w:rPr>
        <w:t>razdoblje</w:t>
      </w:r>
      <w:r w:rsidRPr="00155F80">
        <w:rPr>
          <w:lang w:val="hr-HR"/>
        </w:rPr>
        <w:t xml:space="preserve"> 2010. -2015. godina</w:t>
      </w:r>
    </w:p>
    <w:p w:rsidR="00A131AD" w:rsidRPr="00155F80" w:rsidRDefault="00A131AD" w:rsidP="000C0138">
      <w:pPr>
        <w:spacing w:line="276" w:lineRule="auto"/>
        <w:rPr>
          <w:rFonts w:ascii="Times New Roman" w:hAnsi="Times New Roman"/>
          <w:lang w:val="hr-HR"/>
        </w:rPr>
      </w:pPr>
      <w:r w:rsidRPr="00155F80">
        <w:rPr>
          <w:rFonts w:ascii="Times New Roman" w:hAnsi="Times New Roman"/>
          <w:noProof/>
          <w:lang w:val="bs-Latn-BA" w:eastAsia="bs-Latn-BA"/>
        </w:rPr>
        <w:drawing>
          <wp:inline distT="0" distB="0" distL="0" distR="0" wp14:anchorId="5283CF38" wp14:editId="25B18B1C">
            <wp:extent cx="5722875" cy="3028208"/>
            <wp:effectExtent l="0" t="0" r="0" b="127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733934" cy="3034060"/>
                    </a:xfrm>
                    <a:prstGeom prst="rect">
                      <a:avLst/>
                    </a:prstGeom>
                    <a:noFill/>
                    <a:ln>
                      <a:noFill/>
                    </a:ln>
                  </pic:spPr>
                </pic:pic>
              </a:graphicData>
            </a:graphic>
          </wp:inline>
        </w:drawing>
      </w:r>
    </w:p>
    <w:p w:rsidR="00A131AD" w:rsidRPr="00155F80" w:rsidRDefault="00A131AD" w:rsidP="003066C2">
      <w:pPr>
        <w:keepLines/>
        <w:spacing w:line="276" w:lineRule="auto"/>
        <w:rPr>
          <w:rFonts w:ascii="Times New Roman" w:hAnsi="Times New Roman"/>
        </w:rPr>
      </w:pPr>
      <w:r w:rsidRPr="00155F80">
        <w:rPr>
          <w:rFonts w:ascii="Times New Roman" w:hAnsi="Times New Roman"/>
          <w:lang w:val="hr-HR"/>
        </w:rPr>
        <w:t xml:space="preserve">Bez obzira na </w:t>
      </w:r>
      <w:r w:rsidR="0006688D">
        <w:rPr>
          <w:rFonts w:ascii="Times New Roman" w:hAnsi="Times New Roman"/>
          <w:lang w:val="hr-HR"/>
        </w:rPr>
        <w:t>tjedne</w:t>
      </w:r>
      <w:r w:rsidRPr="00155F80">
        <w:rPr>
          <w:rFonts w:ascii="Times New Roman" w:hAnsi="Times New Roman"/>
          <w:lang w:val="hr-HR"/>
        </w:rPr>
        <w:t xml:space="preserve">, mjesečne ili godišnje vrijednosti </w:t>
      </w:r>
      <w:r w:rsidRPr="00155F80">
        <w:rPr>
          <w:rFonts w:ascii="Times New Roman" w:hAnsi="Times New Roman"/>
        </w:rPr>
        <w:t>ambijentalnog doznog ekvivalenta</w:t>
      </w:r>
      <w:r w:rsidRPr="00155F80">
        <w:rPr>
          <w:rFonts w:ascii="Times New Roman" w:hAnsi="Times New Roman"/>
          <w:lang w:val="hr-HR"/>
        </w:rPr>
        <w:t xml:space="preserve"> evidentirana su statistički značajna o</w:t>
      </w:r>
      <w:r w:rsidRPr="00155F80">
        <w:rPr>
          <w:rFonts w:ascii="Times New Roman" w:hAnsi="Times New Roman"/>
          <w:bCs/>
          <w:lang w:val="hr-HR"/>
        </w:rPr>
        <w:t>dstupanja vrijednosti brzine doze od srednje vrijednosti za grad Mostar, koja su se dešavala t</w:t>
      </w:r>
      <w:r w:rsidR="0006688D">
        <w:rPr>
          <w:rFonts w:ascii="Times New Roman" w:hAnsi="Times New Roman"/>
          <w:bCs/>
          <w:lang w:val="hr-HR"/>
        </w:rPr>
        <w:t>ije</w:t>
      </w:r>
      <w:r w:rsidRPr="00155F80">
        <w:rPr>
          <w:rFonts w:ascii="Times New Roman" w:hAnsi="Times New Roman"/>
          <w:bCs/>
          <w:lang w:val="hr-HR"/>
        </w:rPr>
        <w:t xml:space="preserve">kom cijele  2013. i 2014. godine u određenim vremenskim razmacima. Maksimalne vrijednosti zabilježene u navedenom </w:t>
      </w:r>
      <w:r w:rsidR="0006688D">
        <w:rPr>
          <w:rFonts w:ascii="Times New Roman" w:hAnsi="Times New Roman"/>
          <w:bCs/>
          <w:lang w:val="hr-HR"/>
        </w:rPr>
        <w:t>razdoblju</w:t>
      </w:r>
      <w:r w:rsidRPr="00155F80">
        <w:rPr>
          <w:rFonts w:ascii="Times New Roman" w:hAnsi="Times New Roman"/>
          <w:bCs/>
          <w:lang w:val="hr-HR"/>
        </w:rPr>
        <w:t xml:space="preserve"> su dostigle vrijednost od 239 nSv/h  i 290 nSv/h.</w:t>
      </w:r>
      <w:r w:rsidR="0006688D">
        <w:rPr>
          <w:rFonts w:ascii="Times New Roman" w:hAnsi="Times New Roman"/>
          <w:bCs/>
          <w:lang w:val="hr-HR"/>
        </w:rPr>
        <w:t xml:space="preserve"> </w:t>
      </w:r>
      <w:r w:rsidR="0059128D">
        <w:rPr>
          <w:rFonts w:ascii="Times New Roman" w:hAnsi="Times New Roman"/>
          <w:bCs/>
          <w:lang w:val="hr-HR"/>
        </w:rPr>
        <w:t xml:space="preserve">O </w:t>
      </w:r>
      <w:r w:rsidRPr="00155F80">
        <w:rPr>
          <w:rFonts w:ascii="Times New Roman" w:hAnsi="Times New Roman"/>
          <w:bCs/>
          <w:lang w:val="hr-HR"/>
        </w:rPr>
        <w:t>u</w:t>
      </w:r>
      <w:r w:rsidR="0006688D">
        <w:rPr>
          <w:rFonts w:ascii="Times New Roman" w:hAnsi="Times New Roman"/>
          <w:bCs/>
          <w:lang w:val="hr-HR"/>
        </w:rPr>
        <w:t>o</w:t>
      </w:r>
      <w:r w:rsidRPr="00155F80">
        <w:rPr>
          <w:rFonts w:ascii="Times New Roman" w:hAnsi="Times New Roman"/>
          <w:bCs/>
          <w:lang w:val="hr-HR"/>
        </w:rPr>
        <w:t xml:space="preserve">čenom problemu je obaviještena nadležna institucija Državna agencija za radijacijsku i nuklearnu sigurnost. Razlog navedenim visokim vrijednostima nije utvrđen. </w:t>
      </w:r>
    </w:p>
    <w:p w:rsidR="00A131AD" w:rsidRPr="00155F80" w:rsidRDefault="00A131AD" w:rsidP="000C0138">
      <w:pPr>
        <w:keepLines/>
        <w:widowControl w:val="0"/>
        <w:spacing w:line="276" w:lineRule="auto"/>
        <w:rPr>
          <w:rStyle w:val="Emphasis"/>
          <w:rFonts w:ascii="Times New Roman" w:hAnsi="Times New Roman"/>
          <w:i w:val="0"/>
          <w:lang w:val="pl-PL"/>
        </w:rPr>
      </w:pPr>
      <w:r w:rsidRPr="00155F80">
        <w:rPr>
          <w:rStyle w:val="Emphasis"/>
          <w:rFonts w:ascii="Times New Roman" w:hAnsi="Times New Roman"/>
          <w:i w:val="0"/>
          <w:lang w:val="pl-PL"/>
        </w:rPr>
        <w:t xml:space="preserve">U okviru Programa monitoringa radioaktivnosti u okolišu, Zavod za javno zdravstvo Federacije BiH, </w:t>
      </w:r>
      <w:r w:rsidR="0006688D">
        <w:rPr>
          <w:rStyle w:val="Emphasis"/>
          <w:rFonts w:ascii="Times New Roman" w:hAnsi="Times New Roman"/>
          <w:i w:val="0"/>
          <w:lang w:val="pl-PL"/>
        </w:rPr>
        <w:t>obavlja</w:t>
      </w:r>
      <w:r w:rsidRPr="00155F80">
        <w:rPr>
          <w:rStyle w:val="Emphasis"/>
          <w:rFonts w:ascii="Times New Roman" w:hAnsi="Times New Roman"/>
          <w:i w:val="0"/>
          <w:lang w:val="pl-PL"/>
        </w:rPr>
        <w:t xml:space="preserve"> kontrolu radioaktivnosti uzoraka iz okoliša na odabranim lokacijama (uzorkovanje i mjerenje sadržaja radionuklida u zemlji, površinskoj vodi, vodi za piće, zraku, ljudskoj i stočnoj hrani), s ciljem procjene efektivne doze stanovništva.</w:t>
      </w:r>
    </w:p>
    <w:p w:rsidR="002C323A" w:rsidRDefault="00A131AD" w:rsidP="000C0138">
      <w:pPr>
        <w:keepLines/>
        <w:widowControl w:val="0"/>
        <w:spacing w:line="276" w:lineRule="auto"/>
        <w:rPr>
          <w:rStyle w:val="Emphasis"/>
          <w:rFonts w:ascii="Times New Roman" w:hAnsi="Times New Roman"/>
          <w:i w:val="0"/>
          <w:lang w:val="pl-PL"/>
        </w:rPr>
      </w:pPr>
      <w:bookmarkStart w:id="330" w:name="_Toc370891654"/>
      <w:r w:rsidRPr="00155F80">
        <w:rPr>
          <w:rStyle w:val="Emphasis"/>
          <w:rFonts w:ascii="Times New Roman" w:hAnsi="Times New Roman"/>
          <w:i w:val="0"/>
          <w:lang w:val="pl-PL"/>
        </w:rPr>
        <w:t xml:space="preserve">Na </w:t>
      </w:r>
      <w:r w:rsidR="0006688D">
        <w:rPr>
          <w:rStyle w:val="Emphasis"/>
          <w:rFonts w:ascii="Times New Roman" w:hAnsi="Times New Roman"/>
          <w:i w:val="0"/>
          <w:lang w:val="pl-PL"/>
        </w:rPr>
        <w:t>temelju</w:t>
      </w:r>
      <w:r w:rsidRPr="00155F80">
        <w:rPr>
          <w:rStyle w:val="Emphasis"/>
          <w:rFonts w:ascii="Times New Roman" w:hAnsi="Times New Roman"/>
          <w:i w:val="0"/>
          <w:lang w:val="pl-PL"/>
        </w:rPr>
        <w:t xml:space="preserve"> izmjerenih vrijednosti aktivnosti radionuklida u tlu </w:t>
      </w:r>
      <w:r w:rsidR="0006688D">
        <w:rPr>
          <w:rStyle w:val="Emphasis"/>
          <w:rFonts w:ascii="Times New Roman" w:hAnsi="Times New Roman"/>
          <w:i w:val="0"/>
          <w:lang w:val="pl-PL"/>
        </w:rPr>
        <w:t>obavlja</w:t>
      </w:r>
      <w:r w:rsidRPr="00155F80">
        <w:rPr>
          <w:rStyle w:val="Emphasis"/>
          <w:rFonts w:ascii="Times New Roman" w:hAnsi="Times New Roman"/>
          <w:i w:val="0"/>
          <w:lang w:val="pl-PL"/>
        </w:rPr>
        <w:t xml:space="preserve"> se procjena efektivne doze za stanovništvo za vrijeme boravka na otvorenom za deset lokacija. Razlike u vrijednostima za pojedine lokacije posljedica su </w:t>
      </w:r>
      <w:r w:rsidR="0006688D">
        <w:rPr>
          <w:rStyle w:val="Emphasis"/>
          <w:rFonts w:ascii="Times New Roman" w:hAnsi="Times New Roman"/>
          <w:i w:val="0"/>
          <w:lang w:val="pl-PL"/>
        </w:rPr>
        <w:t xml:space="preserve">zemljopisnog </w:t>
      </w:r>
      <w:r w:rsidRPr="00155F80">
        <w:rPr>
          <w:rStyle w:val="Emphasis"/>
          <w:rFonts w:ascii="Times New Roman" w:hAnsi="Times New Roman"/>
          <w:i w:val="0"/>
          <w:lang w:val="pl-PL"/>
        </w:rPr>
        <w:t xml:space="preserve">položaja lokacija uzorkovanja kao i geološke strukture tla. Za sve lokacije u proteklom </w:t>
      </w:r>
      <w:r w:rsidR="0006688D">
        <w:rPr>
          <w:rStyle w:val="Emphasis"/>
          <w:rFonts w:ascii="Times New Roman" w:hAnsi="Times New Roman"/>
          <w:i w:val="0"/>
          <w:lang w:val="pl-PL"/>
        </w:rPr>
        <w:t>razdoblju</w:t>
      </w:r>
      <w:r w:rsidRPr="00155F80">
        <w:rPr>
          <w:rStyle w:val="Emphasis"/>
          <w:rFonts w:ascii="Times New Roman" w:hAnsi="Times New Roman"/>
          <w:i w:val="0"/>
          <w:lang w:val="pl-PL"/>
        </w:rPr>
        <w:t xml:space="preserve"> rezultati su u okviru statističke nesigurnosti mjerenja</w:t>
      </w:r>
      <w:r w:rsidR="00533E46">
        <w:rPr>
          <w:rStyle w:val="Emphasis"/>
          <w:rFonts w:ascii="Times New Roman" w:hAnsi="Times New Roman"/>
          <w:i w:val="0"/>
          <w:lang w:val="pl-PL"/>
        </w:rPr>
        <w:t>.</w:t>
      </w:r>
    </w:p>
    <w:p w:rsidR="00533E46" w:rsidRPr="00155F80" w:rsidRDefault="00533E46" w:rsidP="000C0138">
      <w:pPr>
        <w:keepLines/>
        <w:widowControl w:val="0"/>
        <w:spacing w:line="276" w:lineRule="auto"/>
        <w:rPr>
          <w:rFonts w:ascii="Times New Roman" w:hAnsi="Times New Roman"/>
          <w:iCs/>
          <w:lang w:val="pl-PL"/>
        </w:rPr>
      </w:pPr>
    </w:p>
    <w:tbl>
      <w:tblPr>
        <w:tblW w:w="9599" w:type="dxa"/>
        <w:tblInd w:w="93" w:type="dxa"/>
        <w:tblLook w:val="0000" w:firstRow="0" w:lastRow="0" w:firstColumn="0" w:lastColumn="0" w:noHBand="0" w:noVBand="0"/>
      </w:tblPr>
      <w:tblGrid>
        <w:gridCol w:w="2549"/>
        <w:gridCol w:w="860"/>
        <w:gridCol w:w="860"/>
        <w:gridCol w:w="860"/>
        <w:gridCol w:w="860"/>
        <w:gridCol w:w="860"/>
        <w:gridCol w:w="2514"/>
        <w:gridCol w:w="236"/>
      </w:tblGrid>
      <w:tr w:rsidR="00A131AD" w:rsidRPr="00155F80" w:rsidTr="001911A6">
        <w:trPr>
          <w:trHeight w:val="314"/>
        </w:trPr>
        <w:tc>
          <w:tcPr>
            <w:tcW w:w="9599" w:type="dxa"/>
            <w:gridSpan w:val="8"/>
            <w:tcBorders>
              <w:top w:val="nil"/>
              <w:left w:val="nil"/>
              <w:bottom w:val="nil"/>
              <w:right w:val="nil"/>
            </w:tcBorders>
            <w:shd w:val="clear" w:color="auto" w:fill="auto"/>
            <w:noWrap/>
            <w:vAlign w:val="bottom"/>
          </w:tcPr>
          <w:p w:rsidR="00A131AD" w:rsidRPr="00155F80" w:rsidRDefault="00A131AD" w:rsidP="00B37E7E">
            <w:pPr>
              <w:pStyle w:val="refererere"/>
            </w:pPr>
            <w:r w:rsidRPr="00155F80">
              <w:t>Tabl</w:t>
            </w:r>
            <w:r w:rsidR="00FE3B0D">
              <w:t>ic</w:t>
            </w:r>
            <w:r w:rsidRPr="00155F80">
              <w:t>a 17: Procijenjena efektivne godišnje doze uslijed spoljašnje ekspozicije za vrijeme boravka na otvorenom (mikroSv/god)</w:t>
            </w:r>
          </w:p>
          <w:tbl>
            <w:tblPr>
              <w:tblStyle w:val="TableGrid"/>
              <w:tblW w:w="0" w:type="auto"/>
              <w:tblLook w:val="01E0" w:firstRow="1" w:lastRow="1" w:firstColumn="1" w:lastColumn="1" w:noHBand="0" w:noVBand="0"/>
            </w:tblPr>
            <w:tblGrid>
              <w:gridCol w:w="1878"/>
              <w:gridCol w:w="851"/>
              <w:gridCol w:w="851"/>
              <w:gridCol w:w="851"/>
              <w:gridCol w:w="851"/>
              <w:gridCol w:w="851"/>
              <w:gridCol w:w="851"/>
              <w:gridCol w:w="1796"/>
            </w:tblGrid>
            <w:tr w:rsidR="00A131AD" w:rsidRPr="00155F80" w:rsidTr="003066C2">
              <w:tc>
                <w:tcPr>
                  <w:tcW w:w="1878" w:type="dxa"/>
                  <w:tcBorders>
                    <w:bottom w:val="single" w:sz="4" w:space="0" w:color="auto"/>
                  </w:tcBorders>
                </w:tcPr>
                <w:p w:rsidR="00A131AD" w:rsidRPr="00155F80" w:rsidRDefault="00A131AD" w:rsidP="000C0138">
                  <w:pPr>
                    <w:spacing w:line="276" w:lineRule="auto"/>
                    <w:rPr>
                      <w:rFonts w:ascii="Times New Roman" w:hAnsi="Times New Roman"/>
                      <w:b/>
                      <w:bCs/>
                      <w:sz w:val="22"/>
                      <w:szCs w:val="22"/>
                    </w:rPr>
                  </w:pPr>
                </w:p>
              </w:tc>
              <w:tc>
                <w:tcPr>
                  <w:tcW w:w="851" w:type="dxa"/>
                  <w:vAlign w:val="bottom"/>
                </w:tcPr>
                <w:p w:rsidR="00A131AD" w:rsidRPr="00155F80" w:rsidRDefault="00A131AD" w:rsidP="000C0138">
                  <w:pPr>
                    <w:spacing w:line="276" w:lineRule="auto"/>
                    <w:jc w:val="center"/>
                    <w:rPr>
                      <w:rFonts w:ascii="Times New Roman" w:hAnsi="Times New Roman"/>
                      <w:b/>
                      <w:bCs/>
                      <w:sz w:val="22"/>
                      <w:szCs w:val="22"/>
                    </w:rPr>
                  </w:pPr>
                  <w:r w:rsidRPr="00155F80">
                    <w:rPr>
                      <w:rFonts w:ascii="Times New Roman" w:hAnsi="Times New Roman"/>
                      <w:b/>
                      <w:bCs/>
                      <w:sz w:val="22"/>
                      <w:szCs w:val="22"/>
                    </w:rPr>
                    <w:t>2010</w:t>
                  </w:r>
                </w:p>
              </w:tc>
              <w:tc>
                <w:tcPr>
                  <w:tcW w:w="851" w:type="dxa"/>
                  <w:vAlign w:val="bottom"/>
                </w:tcPr>
                <w:p w:rsidR="00A131AD" w:rsidRPr="00155F80" w:rsidRDefault="00A131AD" w:rsidP="000C0138">
                  <w:pPr>
                    <w:spacing w:line="276" w:lineRule="auto"/>
                    <w:jc w:val="center"/>
                    <w:rPr>
                      <w:rFonts w:ascii="Times New Roman" w:hAnsi="Times New Roman"/>
                      <w:b/>
                      <w:bCs/>
                      <w:sz w:val="22"/>
                      <w:szCs w:val="22"/>
                    </w:rPr>
                  </w:pPr>
                  <w:r w:rsidRPr="00155F80">
                    <w:rPr>
                      <w:rFonts w:ascii="Times New Roman" w:hAnsi="Times New Roman"/>
                      <w:b/>
                      <w:bCs/>
                      <w:sz w:val="22"/>
                      <w:szCs w:val="22"/>
                    </w:rPr>
                    <w:t>2011</w:t>
                  </w:r>
                </w:p>
              </w:tc>
              <w:tc>
                <w:tcPr>
                  <w:tcW w:w="851" w:type="dxa"/>
                  <w:vAlign w:val="bottom"/>
                </w:tcPr>
                <w:p w:rsidR="00A131AD" w:rsidRPr="00155F80" w:rsidRDefault="00A131AD" w:rsidP="000C0138">
                  <w:pPr>
                    <w:spacing w:line="276" w:lineRule="auto"/>
                    <w:jc w:val="center"/>
                    <w:rPr>
                      <w:rFonts w:ascii="Times New Roman" w:hAnsi="Times New Roman"/>
                      <w:b/>
                      <w:bCs/>
                      <w:sz w:val="22"/>
                      <w:szCs w:val="22"/>
                    </w:rPr>
                  </w:pPr>
                  <w:r w:rsidRPr="00155F80">
                    <w:rPr>
                      <w:rFonts w:ascii="Times New Roman" w:hAnsi="Times New Roman"/>
                      <w:b/>
                      <w:bCs/>
                      <w:sz w:val="22"/>
                      <w:szCs w:val="22"/>
                    </w:rPr>
                    <w:t>2012</w:t>
                  </w:r>
                </w:p>
              </w:tc>
              <w:tc>
                <w:tcPr>
                  <w:tcW w:w="851" w:type="dxa"/>
                  <w:vAlign w:val="bottom"/>
                </w:tcPr>
                <w:p w:rsidR="00A131AD" w:rsidRPr="00155F80" w:rsidRDefault="00A131AD" w:rsidP="000C0138">
                  <w:pPr>
                    <w:spacing w:line="276" w:lineRule="auto"/>
                    <w:jc w:val="center"/>
                    <w:rPr>
                      <w:rFonts w:ascii="Times New Roman" w:hAnsi="Times New Roman"/>
                      <w:b/>
                      <w:bCs/>
                      <w:sz w:val="22"/>
                      <w:szCs w:val="22"/>
                    </w:rPr>
                  </w:pPr>
                  <w:r w:rsidRPr="00155F80">
                    <w:rPr>
                      <w:rFonts w:ascii="Times New Roman" w:hAnsi="Times New Roman"/>
                      <w:b/>
                      <w:bCs/>
                      <w:sz w:val="22"/>
                      <w:szCs w:val="22"/>
                    </w:rPr>
                    <w:t>2013</w:t>
                  </w:r>
                </w:p>
              </w:tc>
              <w:tc>
                <w:tcPr>
                  <w:tcW w:w="851" w:type="dxa"/>
                  <w:vAlign w:val="bottom"/>
                </w:tcPr>
                <w:p w:rsidR="00A131AD" w:rsidRPr="00155F80" w:rsidRDefault="00A131AD" w:rsidP="000C0138">
                  <w:pPr>
                    <w:spacing w:line="276" w:lineRule="auto"/>
                    <w:jc w:val="center"/>
                    <w:rPr>
                      <w:rFonts w:ascii="Times New Roman" w:hAnsi="Times New Roman"/>
                      <w:b/>
                      <w:bCs/>
                      <w:sz w:val="22"/>
                      <w:szCs w:val="22"/>
                    </w:rPr>
                  </w:pPr>
                  <w:r w:rsidRPr="00155F80">
                    <w:rPr>
                      <w:rFonts w:ascii="Times New Roman" w:hAnsi="Times New Roman"/>
                      <w:b/>
                      <w:bCs/>
                      <w:sz w:val="22"/>
                      <w:szCs w:val="22"/>
                    </w:rPr>
                    <w:t>2014</w:t>
                  </w:r>
                </w:p>
              </w:tc>
              <w:tc>
                <w:tcPr>
                  <w:tcW w:w="851" w:type="dxa"/>
                </w:tcPr>
                <w:p w:rsidR="00A131AD" w:rsidRPr="00155F80" w:rsidRDefault="00A131AD" w:rsidP="000C0138">
                  <w:pPr>
                    <w:spacing w:line="276" w:lineRule="auto"/>
                    <w:rPr>
                      <w:rFonts w:ascii="Times New Roman" w:hAnsi="Times New Roman"/>
                      <w:b/>
                      <w:bCs/>
                      <w:sz w:val="22"/>
                      <w:szCs w:val="22"/>
                    </w:rPr>
                  </w:pPr>
                  <w:r w:rsidRPr="00155F80">
                    <w:rPr>
                      <w:rFonts w:ascii="Times New Roman" w:hAnsi="Times New Roman"/>
                      <w:b/>
                      <w:bCs/>
                      <w:sz w:val="22"/>
                      <w:szCs w:val="22"/>
                    </w:rPr>
                    <w:t>2015</w:t>
                  </w:r>
                </w:p>
              </w:tc>
              <w:tc>
                <w:tcPr>
                  <w:tcW w:w="1796" w:type="dxa"/>
                  <w:shd w:val="clear" w:color="auto" w:fill="C0C0C0"/>
                </w:tcPr>
                <w:p w:rsidR="00A131AD" w:rsidRPr="00155F80" w:rsidRDefault="00A131AD" w:rsidP="000C0138">
                  <w:pPr>
                    <w:spacing w:line="276" w:lineRule="auto"/>
                    <w:rPr>
                      <w:rFonts w:ascii="Times New Roman" w:hAnsi="Times New Roman"/>
                      <w:b/>
                      <w:bCs/>
                      <w:sz w:val="22"/>
                      <w:szCs w:val="22"/>
                    </w:rPr>
                  </w:pPr>
                  <w:r w:rsidRPr="00155F80">
                    <w:rPr>
                      <w:rFonts w:ascii="Times New Roman" w:hAnsi="Times New Roman"/>
                      <w:sz w:val="22"/>
                      <w:szCs w:val="22"/>
                    </w:rPr>
                    <w:t>Sred.vrijednost</w:t>
                  </w:r>
                </w:p>
              </w:tc>
            </w:tr>
            <w:tr w:rsidR="00A131AD" w:rsidRPr="00155F80" w:rsidTr="003066C2">
              <w:tc>
                <w:tcPr>
                  <w:tcW w:w="1878" w:type="dxa"/>
                  <w:shd w:val="clear" w:color="auto" w:fill="C0C0C0"/>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Sarajevo</w:t>
                  </w:r>
                </w:p>
              </w:tc>
              <w:tc>
                <w:tcPr>
                  <w:tcW w:w="851" w:type="dxa"/>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116</w:t>
                  </w:r>
                </w:p>
              </w:tc>
              <w:tc>
                <w:tcPr>
                  <w:tcW w:w="851" w:type="dxa"/>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115</w:t>
                  </w:r>
                </w:p>
              </w:tc>
              <w:tc>
                <w:tcPr>
                  <w:tcW w:w="851" w:type="dxa"/>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116</w:t>
                  </w:r>
                </w:p>
              </w:tc>
              <w:tc>
                <w:tcPr>
                  <w:tcW w:w="851" w:type="dxa"/>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107</w:t>
                  </w:r>
                </w:p>
              </w:tc>
              <w:tc>
                <w:tcPr>
                  <w:tcW w:w="851" w:type="dxa"/>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113</w:t>
                  </w:r>
                </w:p>
              </w:tc>
              <w:tc>
                <w:tcPr>
                  <w:tcW w:w="851" w:type="dxa"/>
                </w:tcPr>
                <w:p w:rsidR="00A131AD" w:rsidRPr="00155F80" w:rsidRDefault="00A131AD" w:rsidP="000C0138">
                  <w:pPr>
                    <w:spacing w:line="276" w:lineRule="auto"/>
                    <w:jc w:val="center"/>
                    <w:rPr>
                      <w:rFonts w:ascii="Times New Roman" w:hAnsi="Times New Roman"/>
                      <w:b/>
                      <w:bCs/>
                      <w:sz w:val="22"/>
                      <w:szCs w:val="22"/>
                    </w:rPr>
                  </w:pPr>
                  <w:r w:rsidRPr="00155F80">
                    <w:rPr>
                      <w:rFonts w:ascii="Times New Roman" w:hAnsi="Times New Roman"/>
                      <w:b/>
                      <w:bCs/>
                      <w:sz w:val="22"/>
                      <w:szCs w:val="22"/>
                    </w:rPr>
                    <w:t>*</w:t>
                  </w:r>
                </w:p>
              </w:tc>
              <w:tc>
                <w:tcPr>
                  <w:tcW w:w="1796" w:type="dxa"/>
                  <w:shd w:val="clear" w:color="auto" w:fill="C0C0C0"/>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113</w:t>
                  </w:r>
                </w:p>
              </w:tc>
            </w:tr>
            <w:tr w:rsidR="00A131AD" w:rsidRPr="00155F80" w:rsidTr="003066C2">
              <w:tc>
                <w:tcPr>
                  <w:tcW w:w="1878" w:type="dxa"/>
                  <w:shd w:val="clear" w:color="auto" w:fill="C0C0C0"/>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Mostar</w:t>
                  </w:r>
                </w:p>
              </w:tc>
              <w:tc>
                <w:tcPr>
                  <w:tcW w:w="851" w:type="dxa"/>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234</w:t>
                  </w:r>
                </w:p>
              </w:tc>
              <w:tc>
                <w:tcPr>
                  <w:tcW w:w="851" w:type="dxa"/>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214</w:t>
                  </w:r>
                </w:p>
              </w:tc>
              <w:tc>
                <w:tcPr>
                  <w:tcW w:w="851" w:type="dxa"/>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202</w:t>
                  </w:r>
                </w:p>
              </w:tc>
              <w:tc>
                <w:tcPr>
                  <w:tcW w:w="851" w:type="dxa"/>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214</w:t>
                  </w:r>
                </w:p>
              </w:tc>
              <w:tc>
                <w:tcPr>
                  <w:tcW w:w="851" w:type="dxa"/>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218</w:t>
                  </w:r>
                </w:p>
              </w:tc>
              <w:tc>
                <w:tcPr>
                  <w:tcW w:w="851" w:type="dxa"/>
                </w:tcPr>
                <w:p w:rsidR="00A131AD" w:rsidRPr="00155F80" w:rsidRDefault="00A131AD" w:rsidP="000C0138">
                  <w:pPr>
                    <w:spacing w:line="276" w:lineRule="auto"/>
                    <w:jc w:val="center"/>
                    <w:rPr>
                      <w:rFonts w:ascii="Times New Roman" w:hAnsi="Times New Roman"/>
                      <w:b/>
                      <w:bCs/>
                      <w:sz w:val="22"/>
                      <w:szCs w:val="22"/>
                    </w:rPr>
                  </w:pPr>
                  <w:r w:rsidRPr="00155F80">
                    <w:rPr>
                      <w:rFonts w:ascii="Times New Roman" w:hAnsi="Times New Roman"/>
                      <w:b/>
                      <w:bCs/>
                      <w:sz w:val="22"/>
                      <w:szCs w:val="22"/>
                    </w:rPr>
                    <w:t>*</w:t>
                  </w:r>
                </w:p>
              </w:tc>
              <w:tc>
                <w:tcPr>
                  <w:tcW w:w="1796" w:type="dxa"/>
                  <w:shd w:val="clear" w:color="auto" w:fill="C0C0C0"/>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216</w:t>
                  </w:r>
                </w:p>
              </w:tc>
            </w:tr>
            <w:tr w:rsidR="00A131AD" w:rsidRPr="00155F80" w:rsidTr="003066C2">
              <w:tc>
                <w:tcPr>
                  <w:tcW w:w="1878" w:type="dxa"/>
                  <w:shd w:val="clear" w:color="auto" w:fill="C0C0C0"/>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Livno</w:t>
                  </w:r>
                </w:p>
              </w:tc>
              <w:tc>
                <w:tcPr>
                  <w:tcW w:w="851" w:type="dxa"/>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190</w:t>
                  </w:r>
                </w:p>
              </w:tc>
              <w:tc>
                <w:tcPr>
                  <w:tcW w:w="851" w:type="dxa"/>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207</w:t>
                  </w:r>
                </w:p>
              </w:tc>
              <w:tc>
                <w:tcPr>
                  <w:tcW w:w="851" w:type="dxa"/>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180</w:t>
                  </w:r>
                </w:p>
              </w:tc>
              <w:tc>
                <w:tcPr>
                  <w:tcW w:w="851" w:type="dxa"/>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197</w:t>
                  </w:r>
                </w:p>
              </w:tc>
              <w:tc>
                <w:tcPr>
                  <w:tcW w:w="851" w:type="dxa"/>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179</w:t>
                  </w:r>
                </w:p>
              </w:tc>
              <w:tc>
                <w:tcPr>
                  <w:tcW w:w="851" w:type="dxa"/>
                </w:tcPr>
                <w:p w:rsidR="00A131AD" w:rsidRPr="00155F80" w:rsidRDefault="00A131AD" w:rsidP="000C0138">
                  <w:pPr>
                    <w:spacing w:line="276" w:lineRule="auto"/>
                    <w:jc w:val="center"/>
                    <w:rPr>
                      <w:rFonts w:ascii="Times New Roman" w:hAnsi="Times New Roman"/>
                      <w:b/>
                      <w:bCs/>
                      <w:sz w:val="22"/>
                      <w:szCs w:val="22"/>
                    </w:rPr>
                  </w:pPr>
                  <w:r w:rsidRPr="00155F80">
                    <w:rPr>
                      <w:rFonts w:ascii="Times New Roman" w:hAnsi="Times New Roman"/>
                      <w:b/>
                      <w:bCs/>
                      <w:sz w:val="22"/>
                      <w:szCs w:val="22"/>
                    </w:rPr>
                    <w:t>*</w:t>
                  </w:r>
                </w:p>
              </w:tc>
              <w:tc>
                <w:tcPr>
                  <w:tcW w:w="1796" w:type="dxa"/>
                  <w:shd w:val="clear" w:color="auto" w:fill="C0C0C0"/>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191</w:t>
                  </w:r>
                </w:p>
              </w:tc>
            </w:tr>
            <w:tr w:rsidR="00A131AD" w:rsidRPr="00155F80" w:rsidTr="003066C2">
              <w:tc>
                <w:tcPr>
                  <w:tcW w:w="1878" w:type="dxa"/>
                  <w:shd w:val="clear" w:color="auto" w:fill="C0C0C0"/>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Tuzla</w:t>
                  </w:r>
                </w:p>
              </w:tc>
              <w:tc>
                <w:tcPr>
                  <w:tcW w:w="851" w:type="dxa"/>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116</w:t>
                  </w:r>
                </w:p>
              </w:tc>
              <w:tc>
                <w:tcPr>
                  <w:tcW w:w="851" w:type="dxa"/>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120</w:t>
                  </w:r>
                </w:p>
              </w:tc>
              <w:tc>
                <w:tcPr>
                  <w:tcW w:w="851" w:type="dxa"/>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120</w:t>
                  </w:r>
                </w:p>
              </w:tc>
              <w:tc>
                <w:tcPr>
                  <w:tcW w:w="851" w:type="dxa"/>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115</w:t>
                  </w:r>
                </w:p>
              </w:tc>
              <w:tc>
                <w:tcPr>
                  <w:tcW w:w="851" w:type="dxa"/>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114</w:t>
                  </w:r>
                </w:p>
              </w:tc>
              <w:tc>
                <w:tcPr>
                  <w:tcW w:w="851" w:type="dxa"/>
                </w:tcPr>
                <w:p w:rsidR="00A131AD" w:rsidRPr="00155F80" w:rsidRDefault="00A131AD" w:rsidP="000C0138">
                  <w:pPr>
                    <w:spacing w:line="276" w:lineRule="auto"/>
                    <w:jc w:val="center"/>
                    <w:rPr>
                      <w:rFonts w:ascii="Times New Roman" w:hAnsi="Times New Roman"/>
                      <w:b/>
                      <w:bCs/>
                      <w:sz w:val="22"/>
                      <w:szCs w:val="22"/>
                    </w:rPr>
                  </w:pPr>
                  <w:r w:rsidRPr="00155F80">
                    <w:rPr>
                      <w:rFonts w:ascii="Times New Roman" w:hAnsi="Times New Roman"/>
                      <w:b/>
                      <w:bCs/>
                      <w:sz w:val="22"/>
                      <w:szCs w:val="22"/>
                    </w:rPr>
                    <w:t>*</w:t>
                  </w:r>
                </w:p>
              </w:tc>
              <w:tc>
                <w:tcPr>
                  <w:tcW w:w="1796" w:type="dxa"/>
                  <w:shd w:val="clear" w:color="auto" w:fill="C0C0C0"/>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117</w:t>
                  </w:r>
                </w:p>
              </w:tc>
            </w:tr>
            <w:tr w:rsidR="00A131AD" w:rsidRPr="00155F80" w:rsidTr="003066C2">
              <w:tc>
                <w:tcPr>
                  <w:tcW w:w="1878" w:type="dxa"/>
                  <w:shd w:val="clear" w:color="auto" w:fill="C0C0C0"/>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Bihać</w:t>
                  </w:r>
                </w:p>
              </w:tc>
              <w:tc>
                <w:tcPr>
                  <w:tcW w:w="851" w:type="dxa"/>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159</w:t>
                  </w:r>
                </w:p>
              </w:tc>
              <w:tc>
                <w:tcPr>
                  <w:tcW w:w="851" w:type="dxa"/>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153</w:t>
                  </w:r>
                </w:p>
              </w:tc>
              <w:tc>
                <w:tcPr>
                  <w:tcW w:w="851" w:type="dxa"/>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152</w:t>
                  </w:r>
                </w:p>
              </w:tc>
              <w:tc>
                <w:tcPr>
                  <w:tcW w:w="851" w:type="dxa"/>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122</w:t>
                  </w:r>
                </w:p>
              </w:tc>
              <w:tc>
                <w:tcPr>
                  <w:tcW w:w="851" w:type="dxa"/>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105</w:t>
                  </w:r>
                </w:p>
              </w:tc>
              <w:tc>
                <w:tcPr>
                  <w:tcW w:w="851" w:type="dxa"/>
                </w:tcPr>
                <w:p w:rsidR="00A131AD" w:rsidRPr="00155F80" w:rsidRDefault="00A131AD" w:rsidP="000C0138">
                  <w:pPr>
                    <w:spacing w:line="276" w:lineRule="auto"/>
                    <w:jc w:val="center"/>
                    <w:rPr>
                      <w:rFonts w:ascii="Times New Roman" w:hAnsi="Times New Roman"/>
                      <w:b/>
                      <w:bCs/>
                      <w:sz w:val="22"/>
                      <w:szCs w:val="22"/>
                    </w:rPr>
                  </w:pPr>
                  <w:r w:rsidRPr="00155F80">
                    <w:rPr>
                      <w:rFonts w:ascii="Times New Roman" w:hAnsi="Times New Roman"/>
                      <w:b/>
                      <w:bCs/>
                      <w:sz w:val="22"/>
                      <w:szCs w:val="22"/>
                    </w:rPr>
                    <w:t>*</w:t>
                  </w:r>
                </w:p>
              </w:tc>
              <w:tc>
                <w:tcPr>
                  <w:tcW w:w="1796" w:type="dxa"/>
                  <w:shd w:val="clear" w:color="auto" w:fill="C0C0C0"/>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138</w:t>
                  </w:r>
                </w:p>
              </w:tc>
            </w:tr>
            <w:tr w:rsidR="00A131AD" w:rsidRPr="00155F80" w:rsidTr="003066C2">
              <w:tc>
                <w:tcPr>
                  <w:tcW w:w="1878" w:type="dxa"/>
                  <w:shd w:val="clear" w:color="auto" w:fill="C0C0C0"/>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Sanski Most</w:t>
                  </w:r>
                </w:p>
              </w:tc>
              <w:tc>
                <w:tcPr>
                  <w:tcW w:w="851" w:type="dxa"/>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172</w:t>
                  </w:r>
                </w:p>
              </w:tc>
              <w:tc>
                <w:tcPr>
                  <w:tcW w:w="851" w:type="dxa"/>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163</w:t>
                  </w:r>
                </w:p>
              </w:tc>
              <w:tc>
                <w:tcPr>
                  <w:tcW w:w="851" w:type="dxa"/>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154</w:t>
                  </w:r>
                </w:p>
              </w:tc>
              <w:tc>
                <w:tcPr>
                  <w:tcW w:w="851" w:type="dxa"/>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166</w:t>
                  </w:r>
                </w:p>
              </w:tc>
              <w:tc>
                <w:tcPr>
                  <w:tcW w:w="851" w:type="dxa"/>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138</w:t>
                  </w:r>
                </w:p>
              </w:tc>
              <w:tc>
                <w:tcPr>
                  <w:tcW w:w="851" w:type="dxa"/>
                </w:tcPr>
                <w:p w:rsidR="00A131AD" w:rsidRPr="00155F80" w:rsidRDefault="00A131AD" w:rsidP="000C0138">
                  <w:pPr>
                    <w:spacing w:line="276" w:lineRule="auto"/>
                    <w:jc w:val="center"/>
                    <w:rPr>
                      <w:rFonts w:ascii="Times New Roman" w:hAnsi="Times New Roman"/>
                      <w:b/>
                      <w:bCs/>
                      <w:sz w:val="22"/>
                      <w:szCs w:val="22"/>
                    </w:rPr>
                  </w:pPr>
                  <w:r w:rsidRPr="00155F80">
                    <w:rPr>
                      <w:rFonts w:ascii="Times New Roman" w:hAnsi="Times New Roman"/>
                      <w:b/>
                      <w:bCs/>
                      <w:sz w:val="22"/>
                      <w:szCs w:val="22"/>
                    </w:rPr>
                    <w:t>*</w:t>
                  </w:r>
                </w:p>
              </w:tc>
              <w:tc>
                <w:tcPr>
                  <w:tcW w:w="1796" w:type="dxa"/>
                  <w:shd w:val="clear" w:color="auto" w:fill="C0C0C0"/>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159</w:t>
                  </w:r>
                </w:p>
              </w:tc>
            </w:tr>
            <w:tr w:rsidR="00A131AD" w:rsidRPr="00155F80" w:rsidTr="003066C2">
              <w:tc>
                <w:tcPr>
                  <w:tcW w:w="1878" w:type="dxa"/>
                  <w:shd w:val="clear" w:color="auto" w:fill="C0C0C0"/>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lastRenderedPageBreak/>
                    <w:t>Jajce</w:t>
                  </w:r>
                </w:p>
              </w:tc>
              <w:tc>
                <w:tcPr>
                  <w:tcW w:w="851" w:type="dxa"/>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95</w:t>
                  </w:r>
                </w:p>
              </w:tc>
              <w:tc>
                <w:tcPr>
                  <w:tcW w:w="851" w:type="dxa"/>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93</w:t>
                  </w:r>
                </w:p>
              </w:tc>
              <w:tc>
                <w:tcPr>
                  <w:tcW w:w="851" w:type="dxa"/>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91</w:t>
                  </w:r>
                </w:p>
              </w:tc>
              <w:tc>
                <w:tcPr>
                  <w:tcW w:w="851" w:type="dxa"/>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93</w:t>
                  </w:r>
                </w:p>
              </w:tc>
              <w:tc>
                <w:tcPr>
                  <w:tcW w:w="851" w:type="dxa"/>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88</w:t>
                  </w:r>
                </w:p>
              </w:tc>
              <w:tc>
                <w:tcPr>
                  <w:tcW w:w="851" w:type="dxa"/>
                </w:tcPr>
                <w:p w:rsidR="00A131AD" w:rsidRPr="00155F80" w:rsidRDefault="00A131AD" w:rsidP="000C0138">
                  <w:pPr>
                    <w:spacing w:line="276" w:lineRule="auto"/>
                    <w:jc w:val="center"/>
                    <w:rPr>
                      <w:rFonts w:ascii="Times New Roman" w:hAnsi="Times New Roman"/>
                      <w:b/>
                      <w:bCs/>
                      <w:sz w:val="22"/>
                      <w:szCs w:val="22"/>
                    </w:rPr>
                  </w:pPr>
                  <w:r w:rsidRPr="00155F80">
                    <w:rPr>
                      <w:rFonts w:ascii="Times New Roman" w:hAnsi="Times New Roman"/>
                      <w:b/>
                      <w:bCs/>
                      <w:sz w:val="22"/>
                      <w:szCs w:val="22"/>
                    </w:rPr>
                    <w:t>*</w:t>
                  </w:r>
                </w:p>
              </w:tc>
              <w:tc>
                <w:tcPr>
                  <w:tcW w:w="1796" w:type="dxa"/>
                  <w:shd w:val="clear" w:color="auto" w:fill="C0C0C0"/>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92</w:t>
                  </w:r>
                </w:p>
              </w:tc>
            </w:tr>
            <w:tr w:rsidR="00A131AD" w:rsidRPr="00155F80" w:rsidTr="003066C2">
              <w:tc>
                <w:tcPr>
                  <w:tcW w:w="1878" w:type="dxa"/>
                  <w:shd w:val="clear" w:color="auto" w:fill="C0C0C0"/>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Stolac</w:t>
                  </w:r>
                </w:p>
              </w:tc>
              <w:tc>
                <w:tcPr>
                  <w:tcW w:w="851" w:type="dxa"/>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131</w:t>
                  </w:r>
                </w:p>
              </w:tc>
              <w:tc>
                <w:tcPr>
                  <w:tcW w:w="851" w:type="dxa"/>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130</w:t>
                  </w:r>
                </w:p>
              </w:tc>
              <w:tc>
                <w:tcPr>
                  <w:tcW w:w="851" w:type="dxa"/>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131</w:t>
                  </w:r>
                </w:p>
              </w:tc>
              <w:tc>
                <w:tcPr>
                  <w:tcW w:w="851" w:type="dxa"/>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105</w:t>
                  </w:r>
                </w:p>
              </w:tc>
              <w:tc>
                <w:tcPr>
                  <w:tcW w:w="851" w:type="dxa"/>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120</w:t>
                  </w:r>
                </w:p>
              </w:tc>
              <w:tc>
                <w:tcPr>
                  <w:tcW w:w="851" w:type="dxa"/>
                </w:tcPr>
                <w:p w:rsidR="00A131AD" w:rsidRPr="00155F80" w:rsidRDefault="00A131AD" w:rsidP="000C0138">
                  <w:pPr>
                    <w:spacing w:line="276" w:lineRule="auto"/>
                    <w:jc w:val="center"/>
                    <w:rPr>
                      <w:rFonts w:ascii="Times New Roman" w:hAnsi="Times New Roman"/>
                      <w:b/>
                      <w:bCs/>
                      <w:sz w:val="22"/>
                      <w:szCs w:val="22"/>
                    </w:rPr>
                  </w:pPr>
                  <w:r w:rsidRPr="00155F80">
                    <w:rPr>
                      <w:rFonts w:ascii="Times New Roman" w:hAnsi="Times New Roman"/>
                      <w:b/>
                      <w:bCs/>
                      <w:sz w:val="22"/>
                      <w:szCs w:val="22"/>
                    </w:rPr>
                    <w:t>*</w:t>
                  </w:r>
                </w:p>
              </w:tc>
              <w:tc>
                <w:tcPr>
                  <w:tcW w:w="1796" w:type="dxa"/>
                  <w:shd w:val="clear" w:color="auto" w:fill="C0C0C0"/>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123</w:t>
                  </w:r>
                </w:p>
              </w:tc>
            </w:tr>
            <w:tr w:rsidR="00A131AD" w:rsidRPr="00155F80" w:rsidTr="003066C2">
              <w:tc>
                <w:tcPr>
                  <w:tcW w:w="1878" w:type="dxa"/>
                  <w:shd w:val="clear" w:color="auto" w:fill="C0C0C0"/>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Zenica</w:t>
                  </w:r>
                </w:p>
              </w:tc>
              <w:tc>
                <w:tcPr>
                  <w:tcW w:w="851" w:type="dxa"/>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131</w:t>
                  </w:r>
                </w:p>
              </w:tc>
              <w:tc>
                <w:tcPr>
                  <w:tcW w:w="851" w:type="dxa"/>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133</w:t>
                  </w:r>
                </w:p>
              </w:tc>
              <w:tc>
                <w:tcPr>
                  <w:tcW w:w="851" w:type="dxa"/>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140</w:t>
                  </w:r>
                </w:p>
              </w:tc>
              <w:tc>
                <w:tcPr>
                  <w:tcW w:w="851" w:type="dxa"/>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128</w:t>
                  </w:r>
                </w:p>
              </w:tc>
              <w:tc>
                <w:tcPr>
                  <w:tcW w:w="851" w:type="dxa"/>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127</w:t>
                  </w:r>
                </w:p>
              </w:tc>
              <w:tc>
                <w:tcPr>
                  <w:tcW w:w="851" w:type="dxa"/>
                </w:tcPr>
                <w:p w:rsidR="00A131AD" w:rsidRPr="00155F80" w:rsidRDefault="00A131AD" w:rsidP="000C0138">
                  <w:pPr>
                    <w:spacing w:line="276" w:lineRule="auto"/>
                    <w:jc w:val="center"/>
                    <w:rPr>
                      <w:rFonts w:ascii="Times New Roman" w:hAnsi="Times New Roman"/>
                      <w:b/>
                      <w:bCs/>
                      <w:sz w:val="22"/>
                      <w:szCs w:val="22"/>
                    </w:rPr>
                  </w:pPr>
                  <w:r w:rsidRPr="00155F80">
                    <w:rPr>
                      <w:rFonts w:ascii="Times New Roman" w:hAnsi="Times New Roman"/>
                      <w:b/>
                      <w:bCs/>
                      <w:sz w:val="22"/>
                      <w:szCs w:val="22"/>
                    </w:rPr>
                    <w:t>*</w:t>
                  </w:r>
                </w:p>
              </w:tc>
              <w:tc>
                <w:tcPr>
                  <w:tcW w:w="1796" w:type="dxa"/>
                  <w:shd w:val="clear" w:color="auto" w:fill="C0C0C0"/>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132</w:t>
                  </w:r>
                </w:p>
              </w:tc>
            </w:tr>
            <w:tr w:rsidR="00A131AD" w:rsidRPr="00155F80" w:rsidTr="003066C2">
              <w:tc>
                <w:tcPr>
                  <w:tcW w:w="1878" w:type="dxa"/>
                  <w:shd w:val="clear" w:color="auto" w:fill="C0C0C0"/>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Gradačac</w:t>
                  </w:r>
                </w:p>
              </w:tc>
              <w:tc>
                <w:tcPr>
                  <w:tcW w:w="851" w:type="dxa"/>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145</w:t>
                  </w:r>
                </w:p>
              </w:tc>
              <w:tc>
                <w:tcPr>
                  <w:tcW w:w="851" w:type="dxa"/>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143</w:t>
                  </w:r>
                </w:p>
              </w:tc>
              <w:tc>
                <w:tcPr>
                  <w:tcW w:w="851" w:type="dxa"/>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138</w:t>
                  </w:r>
                </w:p>
              </w:tc>
              <w:tc>
                <w:tcPr>
                  <w:tcW w:w="851" w:type="dxa"/>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136</w:t>
                  </w:r>
                </w:p>
              </w:tc>
              <w:tc>
                <w:tcPr>
                  <w:tcW w:w="851" w:type="dxa"/>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140</w:t>
                  </w:r>
                </w:p>
              </w:tc>
              <w:tc>
                <w:tcPr>
                  <w:tcW w:w="851" w:type="dxa"/>
                </w:tcPr>
                <w:p w:rsidR="00A131AD" w:rsidRPr="00155F80" w:rsidRDefault="00A131AD" w:rsidP="000C0138">
                  <w:pPr>
                    <w:spacing w:line="276" w:lineRule="auto"/>
                    <w:jc w:val="center"/>
                    <w:rPr>
                      <w:rFonts w:ascii="Times New Roman" w:hAnsi="Times New Roman"/>
                      <w:b/>
                      <w:bCs/>
                      <w:sz w:val="22"/>
                      <w:szCs w:val="22"/>
                    </w:rPr>
                  </w:pPr>
                  <w:r w:rsidRPr="00155F80">
                    <w:rPr>
                      <w:rFonts w:ascii="Times New Roman" w:hAnsi="Times New Roman"/>
                      <w:b/>
                      <w:bCs/>
                      <w:sz w:val="22"/>
                      <w:szCs w:val="22"/>
                    </w:rPr>
                    <w:t>*</w:t>
                  </w:r>
                </w:p>
              </w:tc>
              <w:tc>
                <w:tcPr>
                  <w:tcW w:w="1796" w:type="dxa"/>
                  <w:shd w:val="clear" w:color="auto" w:fill="C0C0C0"/>
                  <w:vAlign w:val="bottom"/>
                </w:tcPr>
                <w:p w:rsidR="00A131AD" w:rsidRPr="00155F80" w:rsidRDefault="00A131AD" w:rsidP="000C0138">
                  <w:pPr>
                    <w:spacing w:line="276" w:lineRule="auto"/>
                    <w:jc w:val="center"/>
                    <w:rPr>
                      <w:rFonts w:ascii="Times New Roman" w:hAnsi="Times New Roman"/>
                      <w:sz w:val="22"/>
                      <w:szCs w:val="22"/>
                    </w:rPr>
                  </w:pPr>
                  <w:r w:rsidRPr="00155F80">
                    <w:rPr>
                      <w:rFonts w:ascii="Times New Roman" w:hAnsi="Times New Roman"/>
                      <w:sz w:val="22"/>
                      <w:szCs w:val="22"/>
                    </w:rPr>
                    <w:t>140</w:t>
                  </w:r>
                </w:p>
              </w:tc>
            </w:tr>
          </w:tbl>
          <w:p w:rsidR="00A131AD" w:rsidRPr="00155F80" w:rsidRDefault="00A131AD" w:rsidP="000C0138">
            <w:pPr>
              <w:spacing w:line="276" w:lineRule="auto"/>
              <w:rPr>
                <w:rFonts w:ascii="Times New Roman" w:hAnsi="Times New Roman"/>
                <w:b/>
                <w:bCs/>
              </w:rPr>
            </w:pPr>
          </w:p>
        </w:tc>
      </w:tr>
      <w:tr w:rsidR="00A131AD" w:rsidRPr="00155F80" w:rsidTr="001911A6">
        <w:trPr>
          <w:trHeight w:val="314"/>
        </w:trPr>
        <w:tc>
          <w:tcPr>
            <w:tcW w:w="2549" w:type="dxa"/>
            <w:tcBorders>
              <w:top w:val="nil"/>
              <w:left w:val="nil"/>
              <w:bottom w:val="nil"/>
              <w:right w:val="nil"/>
            </w:tcBorders>
            <w:shd w:val="clear" w:color="auto" w:fill="auto"/>
            <w:noWrap/>
            <w:vAlign w:val="bottom"/>
          </w:tcPr>
          <w:p w:rsidR="00A131AD" w:rsidRPr="00155F80" w:rsidRDefault="00A131AD" w:rsidP="000C0138">
            <w:pPr>
              <w:spacing w:line="276" w:lineRule="auto"/>
              <w:rPr>
                <w:rFonts w:ascii="Times New Roman" w:hAnsi="Times New Roman"/>
                <w:bCs/>
              </w:rPr>
            </w:pPr>
            <w:r w:rsidRPr="00155F80">
              <w:rPr>
                <w:rFonts w:ascii="Times New Roman" w:hAnsi="Times New Roman"/>
                <w:bCs/>
              </w:rPr>
              <w:lastRenderedPageBreak/>
              <w:t>* Nedostupni poda</w:t>
            </w:r>
            <w:r w:rsidR="0075437E">
              <w:rPr>
                <w:rFonts w:ascii="Times New Roman" w:hAnsi="Times New Roman"/>
                <w:bCs/>
              </w:rPr>
              <w:t>t</w:t>
            </w:r>
            <w:r w:rsidRPr="00155F80">
              <w:rPr>
                <w:rFonts w:ascii="Times New Roman" w:hAnsi="Times New Roman"/>
                <w:bCs/>
              </w:rPr>
              <w:t>ci</w:t>
            </w:r>
          </w:p>
        </w:tc>
        <w:tc>
          <w:tcPr>
            <w:tcW w:w="860" w:type="dxa"/>
            <w:tcBorders>
              <w:top w:val="nil"/>
              <w:left w:val="nil"/>
              <w:bottom w:val="nil"/>
              <w:right w:val="nil"/>
            </w:tcBorders>
            <w:shd w:val="clear" w:color="auto" w:fill="auto"/>
            <w:noWrap/>
            <w:vAlign w:val="bottom"/>
          </w:tcPr>
          <w:p w:rsidR="00A131AD" w:rsidRPr="00155F80" w:rsidRDefault="00A131AD" w:rsidP="000C0138">
            <w:pPr>
              <w:spacing w:line="276" w:lineRule="auto"/>
              <w:rPr>
                <w:rFonts w:ascii="Times New Roman" w:hAnsi="Times New Roman"/>
              </w:rPr>
            </w:pPr>
          </w:p>
        </w:tc>
        <w:tc>
          <w:tcPr>
            <w:tcW w:w="860" w:type="dxa"/>
            <w:tcBorders>
              <w:top w:val="nil"/>
              <w:left w:val="nil"/>
              <w:bottom w:val="nil"/>
              <w:right w:val="nil"/>
            </w:tcBorders>
            <w:shd w:val="clear" w:color="auto" w:fill="auto"/>
            <w:noWrap/>
            <w:vAlign w:val="bottom"/>
          </w:tcPr>
          <w:p w:rsidR="00A131AD" w:rsidRPr="00155F80" w:rsidRDefault="00A131AD" w:rsidP="000C0138">
            <w:pPr>
              <w:spacing w:line="276" w:lineRule="auto"/>
              <w:rPr>
                <w:rFonts w:ascii="Times New Roman" w:hAnsi="Times New Roman"/>
              </w:rPr>
            </w:pPr>
          </w:p>
        </w:tc>
        <w:tc>
          <w:tcPr>
            <w:tcW w:w="860" w:type="dxa"/>
            <w:tcBorders>
              <w:top w:val="nil"/>
              <w:left w:val="nil"/>
              <w:bottom w:val="nil"/>
              <w:right w:val="nil"/>
            </w:tcBorders>
            <w:shd w:val="clear" w:color="auto" w:fill="auto"/>
            <w:noWrap/>
            <w:vAlign w:val="bottom"/>
          </w:tcPr>
          <w:p w:rsidR="00A131AD" w:rsidRPr="00155F80" w:rsidRDefault="00A131AD" w:rsidP="000C0138">
            <w:pPr>
              <w:spacing w:line="276" w:lineRule="auto"/>
              <w:rPr>
                <w:rFonts w:ascii="Times New Roman" w:hAnsi="Times New Roman"/>
              </w:rPr>
            </w:pPr>
          </w:p>
        </w:tc>
        <w:tc>
          <w:tcPr>
            <w:tcW w:w="860" w:type="dxa"/>
            <w:tcBorders>
              <w:top w:val="nil"/>
              <w:left w:val="nil"/>
              <w:bottom w:val="nil"/>
              <w:right w:val="nil"/>
            </w:tcBorders>
            <w:shd w:val="clear" w:color="auto" w:fill="auto"/>
            <w:noWrap/>
            <w:vAlign w:val="bottom"/>
          </w:tcPr>
          <w:p w:rsidR="00A131AD" w:rsidRPr="00155F80" w:rsidRDefault="00A131AD" w:rsidP="000C0138">
            <w:pPr>
              <w:spacing w:line="276" w:lineRule="auto"/>
              <w:rPr>
                <w:rFonts w:ascii="Times New Roman" w:hAnsi="Times New Roman"/>
              </w:rPr>
            </w:pPr>
          </w:p>
        </w:tc>
        <w:tc>
          <w:tcPr>
            <w:tcW w:w="860" w:type="dxa"/>
            <w:tcBorders>
              <w:top w:val="nil"/>
              <w:left w:val="nil"/>
              <w:bottom w:val="nil"/>
              <w:right w:val="nil"/>
            </w:tcBorders>
            <w:shd w:val="clear" w:color="auto" w:fill="auto"/>
            <w:noWrap/>
            <w:vAlign w:val="bottom"/>
          </w:tcPr>
          <w:p w:rsidR="00A131AD" w:rsidRPr="00155F80" w:rsidRDefault="00A131AD" w:rsidP="000C0138">
            <w:pPr>
              <w:spacing w:line="276" w:lineRule="auto"/>
              <w:rPr>
                <w:rFonts w:ascii="Times New Roman" w:hAnsi="Times New Roman"/>
              </w:rPr>
            </w:pPr>
          </w:p>
        </w:tc>
        <w:tc>
          <w:tcPr>
            <w:tcW w:w="2514" w:type="dxa"/>
            <w:tcBorders>
              <w:top w:val="nil"/>
              <w:left w:val="nil"/>
              <w:bottom w:val="nil"/>
              <w:right w:val="nil"/>
            </w:tcBorders>
            <w:shd w:val="clear" w:color="auto" w:fill="auto"/>
            <w:noWrap/>
            <w:vAlign w:val="bottom"/>
          </w:tcPr>
          <w:p w:rsidR="00A131AD" w:rsidRPr="00155F80" w:rsidRDefault="00A131AD" w:rsidP="000C0138">
            <w:pPr>
              <w:spacing w:line="276" w:lineRule="auto"/>
              <w:rPr>
                <w:rFonts w:ascii="Times New Roman" w:hAnsi="Times New Roman"/>
              </w:rPr>
            </w:pPr>
          </w:p>
        </w:tc>
        <w:tc>
          <w:tcPr>
            <w:tcW w:w="236" w:type="dxa"/>
            <w:tcBorders>
              <w:top w:val="nil"/>
              <w:left w:val="nil"/>
              <w:bottom w:val="nil"/>
              <w:right w:val="nil"/>
            </w:tcBorders>
            <w:shd w:val="clear" w:color="auto" w:fill="auto"/>
            <w:noWrap/>
            <w:vAlign w:val="bottom"/>
          </w:tcPr>
          <w:p w:rsidR="00A131AD" w:rsidRPr="00155F80" w:rsidRDefault="00A131AD" w:rsidP="000C0138">
            <w:pPr>
              <w:spacing w:line="276" w:lineRule="auto"/>
              <w:rPr>
                <w:rFonts w:ascii="Times New Roman" w:hAnsi="Times New Roman"/>
              </w:rPr>
            </w:pPr>
          </w:p>
        </w:tc>
      </w:tr>
    </w:tbl>
    <w:p w:rsidR="003066C2" w:rsidRPr="00EC077A" w:rsidRDefault="00A131AD" w:rsidP="00250204">
      <w:pPr>
        <w:pStyle w:val="TEKST"/>
        <w:rPr>
          <w:rStyle w:val="Emphasis"/>
          <w:color w:val="FF0000"/>
        </w:rPr>
      </w:pPr>
      <w:r w:rsidRPr="00EC077A">
        <w:rPr>
          <w:rStyle w:val="Emphasis"/>
          <w:i w:val="0"/>
        </w:rPr>
        <w:t xml:space="preserve">Na </w:t>
      </w:r>
      <w:r w:rsidR="0006688D">
        <w:rPr>
          <w:rStyle w:val="Emphasis"/>
          <w:i w:val="0"/>
        </w:rPr>
        <w:t>temelju</w:t>
      </w:r>
      <w:r w:rsidRPr="00EC077A">
        <w:rPr>
          <w:rStyle w:val="Emphasis"/>
          <w:i w:val="0"/>
        </w:rPr>
        <w:t xml:space="preserve"> izmjerenih vrijednosti aktivnosti radionuklida u uzorcima hrane </w:t>
      </w:r>
      <w:r w:rsidR="0006688D">
        <w:rPr>
          <w:rStyle w:val="Emphasis"/>
          <w:i w:val="0"/>
        </w:rPr>
        <w:t>obavlja</w:t>
      </w:r>
      <w:r w:rsidRPr="00EC077A">
        <w:rPr>
          <w:rStyle w:val="Emphasis"/>
          <w:i w:val="0"/>
        </w:rPr>
        <w:t xml:space="preserve"> se procjena efektivne doze za stanovništvo po dobnim skupinama ingestijom.</w:t>
      </w:r>
      <w:r w:rsidRPr="00155F80">
        <w:rPr>
          <w:rStyle w:val="Emphasis"/>
        </w:rPr>
        <w:t xml:space="preserve"> </w:t>
      </w:r>
      <w:r w:rsidRPr="00155F80">
        <w:rPr>
          <w:bCs/>
        </w:rPr>
        <w:t xml:space="preserve">Na bazi procjene utvrđeno je da nisu prekoračene granice unosa vještačkih radionuklida </w:t>
      </w:r>
      <w:r w:rsidRPr="00155F80">
        <w:rPr>
          <w:bCs/>
          <w:vertAlign w:val="superscript"/>
        </w:rPr>
        <w:t>137</w:t>
      </w:r>
      <w:r w:rsidRPr="00155F80">
        <w:rPr>
          <w:bCs/>
        </w:rPr>
        <w:t xml:space="preserve">Cs </w:t>
      </w:r>
      <w:r w:rsidRPr="00155F80">
        <w:t xml:space="preserve">i </w:t>
      </w:r>
      <w:r w:rsidRPr="00155F80">
        <w:rPr>
          <w:vertAlign w:val="superscript"/>
        </w:rPr>
        <w:t>90</w:t>
      </w:r>
      <w:r w:rsidRPr="00155F80">
        <w:t>Sr/</w:t>
      </w:r>
      <w:r w:rsidRPr="00155F80">
        <w:rPr>
          <w:vertAlign w:val="superscript"/>
        </w:rPr>
        <w:t>89</w:t>
      </w:r>
      <w:r w:rsidRPr="00155F80">
        <w:t>Sr</w:t>
      </w:r>
      <w:r w:rsidRPr="00155F80">
        <w:rPr>
          <w:bCs/>
        </w:rPr>
        <w:t xml:space="preserve"> u organizam, propisane Pravilnikom</w:t>
      </w:r>
      <w:r w:rsidRPr="00155F80">
        <w:t xml:space="preserve"> o granicama sadržaja radionuklida u hrani, hrani za životinje, lijekovima, predmetima opće upor</w:t>
      </w:r>
      <w:r w:rsidR="00AC46A7">
        <w:t>a</w:t>
      </w:r>
      <w:r w:rsidRPr="00155F80">
        <w:t>be, građevinskom materijalu i drugoj robi koja se stavlja u promet (Službeni glasnik BIH broj 54/14</w:t>
      </w:r>
      <w:r w:rsidRPr="00155F80">
        <w:rPr>
          <w:bCs/>
        </w:rPr>
        <w:t xml:space="preserve">). </w:t>
      </w:r>
    </w:p>
    <w:p w:rsidR="003230A0" w:rsidRPr="00155F80" w:rsidRDefault="00A131AD" w:rsidP="00B37E7E">
      <w:pPr>
        <w:pStyle w:val="refererere"/>
      </w:pPr>
      <w:r w:rsidRPr="00155F80">
        <w:t>Tabl</w:t>
      </w:r>
      <w:r w:rsidR="00FE3B0D">
        <w:t>ic</w:t>
      </w:r>
      <w:r w:rsidRPr="00155F80">
        <w:t>a 18: Procijenjena efektivna doza uslijed unosa vještačkih radionuklida Cs i Sr ingestijom hrane i vode za piće za različite dobne skupine (mikroSv/god)</w:t>
      </w:r>
    </w:p>
    <w:tbl>
      <w:tblPr>
        <w:tblW w:w="9298" w:type="dxa"/>
        <w:tblLook w:val="0000" w:firstRow="0" w:lastRow="0" w:firstColumn="0" w:lastColumn="0" w:noHBand="0" w:noVBand="0"/>
      </w:tblPr>
      <w:tblGrid>
        <w:gridCol w:w="1805"/>
        <w:gridCol w:w="765"/>
        <w:gridCol w:w="1109"/>
        <w:gridCol w:w="764"/>
        <w:gridCol w:w="1109"/>
        <w:gridCol w:w="764"/>
        <w:gridCol w:w="1109"/>
        <w:gridCol w:w="764"/>
        <w:gridCol w:w="1109"/>
      </w:tblGrid>
      <w:tr w:rsidR="00A131AD" w:rsidRPr="00155F80" w:rsidTr="001911A6">
        <w:trPr>
          <w:trHeight w:val="235"/>
        </w:trPr>
        <w:tc>
          <w:tcPr>
            <w:tcW w:w="1805" w:type="dxa"/>
            <w:tcBorders>
              <w:top w:val="nil"/>
              <w:left w:val="nil"/>
              <w:bottom w:val="nil"/>
              <w:right w:val="nil"/>
            </w:tcBorders>
            <w:shd w:val="clear" w:color="auto" w:fill="auto"/>
            <w:noWrap/>
            <w:vAlign w:val="bottom"/>
          </w:tcPr>
          <w:p w:rsidR="00A131AD" w:rsidRPr="00155F80" w:rsidRDefault="00A131AD" w:rsidP="000C0138">
            <w:pPr>
              <w:spacing w:line="276" w:lineRule="auto"/>
              <w:rPr>
                <w:rFonts w:ascii="Times New Roman" w:hAnsi="Times New Roman"/>
                <w:color w:val="000000"/>
              </w:rPr>
            </w:pPr>
          </w:p>
        </w:tc>
        <w:tc>
          <w:tcPr>
            <w:tcW w:w="765" w:type="dxa"/>
            <w:tcBorders>
              <w:top w:val="single" w:sz="4" w:space="0" w:color="auto"/>
              <w:left w:val="single" w:sz="4" w:space="0" w:color="auto"/>
              <w:bottom w:val="single" w:sz="4" w:space="0" w:color="auto"/>
              <w:right w:val="single" w:sz="4" w:space="0" w:color="auto"/>
            </w:tcBorders>
            <w:shd w:val="clear" w:color="auto" w:fill="C0C0C0"/>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vertAlign w:val="superscript"/>
              </w:rPr>
              <w:t>137</w:t>
            </w:r>
            <w:r w:rsidRPr="00155F80">
              <w:rPr>
                <w:rFonts w:ascii="Times New Roman" w:hAnsi="Times New Roman"/>
                <w:color w:val="000000"/>
              </w:rPr>
              <w:t>Cs</w:t>
            </w:r>
          </w:p>
        </w:tc>
        <w:tc>
          <w:tcPr>
            <w:tcW w:w="1109" w:type="dxa"/>
            <w:tcBorders>
              <w:top w:val="single" w:sz="4" w:space="0" w:color="auto"/>
              <w:left w:val="nil"/>
              <w:bottom w:val="single" w:sz="4" w:space="0" w:color="auto"/>
              <w:right w:val="single" w:sz="4" w:space="0" w:color="auto"/>
            </w:tcBorders>
            <w:shd w:val="clear" w:color="auto" w:fill="C0C0C0"/>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vertAlign w:val="superscript"/>
              </w:rPr>
              <w:t>90</w:t>
            </w:r>
            <w:r w:rsidRPr="00155F80">
              <w:rPr>
                <w:rFonts w:ascii="Times New Roman" w:hAnsi="Times New Roman"/>
                <w:color w:val="000000"/>
              </w:rPr>
              <w:t>Sr/</w:t>
            </w:r>
            <w:r w:rsidRPr="00155F80">
              <w:rPr>
                <w:rFonts w:ascii="Times New Roman" w:hAnsi="Times New Roman"/>
                <w:color w:val="000000"/>
                <w:vertAlign w:val="superscript"/>
              </w:rPr>
              <w:t>89</w:t>
            </w:r>
            <w:r w:rsidRPr="00155F80">
              <w:rPr>
                <w:rFonts w:ascii="Times New Roman" w:hAnsi="Times New Roman"/>
                <w:color w:val="000000"/>
              </w:rPr>
              <w:t xml:space="preserve">Sr </w:t>
            </w:r>
          </w:p>
        </w:tc>
        <w:tc>
          <w:tcPr>
            <w:tcW w:w="764" w:type="dxa"/>
            <w:tcBorders>
              <w:top w:val="single" w:sz="4" w:space="0" w:color="auto"/>
              <w:left w:val="nil"/>
              <w:bottom w:val="single" w:sz="4" w:space="0" w:color="auto"/>
              <w:right w:val="single" w:sz="4" w:space="0" w:color="auto"/>
            </w:tcBorders>
            <w:shd w:val="clear" w:color="auto" w:fill="C0C0C0"/>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vertAlign w:val="superscript"/>
              </w:rPr>
              <w:t>137</w:t>
            </w:r>
            <w:r w:rsidRPr="00155F80">
              <w:rPr>
                <w:rFonts w:ascii="Times New Roman" w:hAnsi="Times New Roman"/>
                <w:color w:val="000000"/>
              </w:rPr>
              <w:t>Cs</w:t>
            </w:r>
          </w:p>
        </w:tc>
        <w:tc>
          <w:tcPr>
            <w:tcW w:w="1109" w:type="dxa"/>
            <w:tcBorders>
              <w:top w:val="single" w:sz="4" w:space="0" w:color="auto"/>
              <w:left w:val="nil"/>
              <w:bottom w:val="single" w:sz="4" w:space="0" w:color="auto"/>
              <w:right w:val="single" w:sz="4" w:space="0" w:color="auto"/>
            </w:tcBorders>
            <w:shd w:val="clear" w:color="auto" w:fill="C0C0C0"/>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vertAlign w:val="superscript"/>
              </w:rPr>
              <w:t>90</w:t>
            </w:r>
            <w:r w:rsidRPr="00155F80">
              <w:rPr>
                <w:rFonts w:ascii="Times New Roman" w:hAnsi="Times New Roman"/>
                <w:color w:val="000000"/>
              </w:rPr>
              <w:t>Sr/</w:t>
            </w:r>
            <w:r w:rsidRPr="00155F80">
              <w:rPr>
                <w:rFonts w:ascii="Times New Roman" w:hAnsi="Times New Roman"/>
                <w:color w:val="000000"/>
                <w:vertAlign w:val="superscript"/>
              </w:rPr>
              <w:t>89</w:t>
            </w:r>
            <w:r w:rsidRPr="00155F80">
              <w:rPr>
                <w:rFonts w:ascii="Times New Roman" w:hAnsi="Times New Roman"/>
                <w:color w:val="000000"/>
              </w:rPr>
              <w:t xml:space="preserve">Sr </w:t>
            </w:r>
          </w:p>
        </w:tc>
        <w:tc>
          <w:tcPr>
            <w:tcW w:w="764" w:type="dxa"/>
            <w:tcBorders>
              <w:top w:val="single" w:sz="4" w:space="0" w:color="auto"/>
              <w:left w:val="nil"/>
              <w:bottom w:val="single" w:sz="4" w:space="0" w:color="auto"/>
              <w:right w:val="single" w:sz="4" w:space="0" w:color="auto"/>
            </w:tcBorders>
            <w:shd w:val="clear" w:color="auto" w:fill="C0C0C0"/>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vertAlign w:val="superscript"/>
              </w:rPr>
              <w:t>137</w:t>
            </w:r>
            <w:r w:rsidRPr="00155F80">
              <w:rPr>
                <w:rFonts w:ascii="Times New Roman" w:hAnsi="Times New Roman"/>
                <w:color w:val="000000"/>
              </w:rPr>
              <w:t>Cs</w:t>
            </w:r>
          </w:p>
        </w:tc>
        <w:tc>
          <w:tcPr>
            <w:tcW w:w="1109" w:type="dxa"/>
            <w:tcBorders>
              <w:top w:val="single" w:sz="4" w:space="0" w:color="auto"/>
              <w:left w:val="nil"/>
              <w:bottom w:val="single" w:sz="4" w:space="0" w:color="auto"/>
              <w:right w:val="single" w:sz="4" w:space="0" w:color="auto"/>
            </w:tcBorders>
            <w:shd w:val="clear" w:color="auto" w:fill="C0C0C0"/>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vertAlign w:val="superscript"/>
              </w:rPr>
              <w:t>90</w:t>
            </w:r>
            <w:r w:rsidRPr="00155F80">
              <w:rPr>
                <w:rFonts w:ascii="Times New Roman" w:hAnsi="Times New Roman"/>
                <w:color w:val="000000"/>
              </w:rPr>
              <w:t>Sr/</w:t>
            </w:r>
            <w:r w:rsidRPr="00155F80">
              <w:rPr>
                <w:rFonts w:ascii="Times New Roman" w:hAnsi="Times New Roman"/>
                <w:color w:val="000000"/>
                <w:vertAlign w:val="superscript"/>
              </w:rPr>
              <w:t>89</w:t>
            </w:r>
            <w:r w:rsidRPr="00155F80">
              <w:rPr>
                <w:rFonts w:ascii="Times New Roman" w:hAnsi="Times New Roman"/>
                <w:color w:val="000000"/>
              </w:rPr>
              <w:t xml:space="preserve">Sr </w:t>
            </w:r>
          </w:p>
        </w:tc>
        <w:tc>
          <w:tcPr>
            <w:tcW w:w="764" w:type="dxa"/>
            <w:tcBorders>
              <w:top w:val="single" w:sz="4" w:space="0" w:color="auto"/>
              <w:left w:val="nil"/>
              <w:bottom w:val="single" w:sz="4" w:space="0" w:color="auto"/>
              <w:right w:val="single" w:sz="4" w:space="0" w:color="auto"/>
            </w:tcBorders>
            <w:shd w:val="clear" w:color="auto" w:fill="C0C0C0"/>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vertAlign w:val="superscript"/>
              </w:rPr>
              <w:t>137</w:t>
            </w:r>
            <w:r w:rsidRPr="00155F80">
              <w:rPr>
                <w:rFonts w:ascii="Times New Roman" w:hAnsi="Times New Roman"/>
                <w:color w:val="000000"/>
              </w:rPr>
              <w:t>Cs</w:t>
            </w:r>
          </w:p>
        </w:tc>
        <w:tc>
          <w:tcPr>
            <w:tcW w:w="1109" w:type="dxa"/>
            <w:tcBorders>
              <w:top w:val="single" w:sz="4" w:space="0" w:color="auto"/>
              <w:left w:val="nil"/>
              <w:bottom w:val="single" w:sz="4" w:space="0" w:color="auto"/>
              <w:right w:val="single" w:sz="4" w:space="0" w:color="auto"/>
            </w:tcBorders>
            <w:shd w:val="clear" w:color="auto" w:fill="C0C0C0"/>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vertAlign w:val="superscript"/>
              </w:rPr>
              <w:t>90</w:t>
            </w:r>
            <w:r w:rsidRPr="00155F80">
              <w:rPr>
                <w:rFonts w:ascii="Times New Roman" w:hAnsi="Times New Roman"/>
                <w:color w:val="000000"/>
              </w:rPr>
              <w:t>Sr/</w:t>
            </w:r>
            <w:r w:rsidRPr="00155F80">
              <w:rPr>
                <w:rFonts w:ascii="Times New Roman" w:hAnsi="Times New Roman"/>
                <w:color w:val="000000"/>
                <w:vertAlign w:val="superscript"/>
              </w:rPr>
              <w:t>89</w:t>
            </w:r>
            <w:r w:rsidRPr="00155F80">
              <w:rPr>
                <w:rFonts w:ascii="Times New Roman" w:hAnsi="Times New Roman"/>
                <w:color w:val="000000"/>
              </w:rPr>
              <w:t xml:space="preserve">Sr </w:t>
            </w:r>
          </w:p>
        </w:tc>
      </w:tr>
      <w:tr w:rsidR="00A131AD" w:rsidRPr="00155F80" w:rsidTr="001911A6">
        <w:trPr>
          <w:trHeight w:val="197"/>
        </w:trPr>
        <w:tc>
          <w:tcPr>
            <w:tcW w:w="1805" w:type="dxa"/>
            <w:tcBorders>
              <w:top w:val="single" w:sz="4" w:space="0" w:color="auto"/>
              <w:left w:val="single" w:sz="4" w:space="0" w:color="auto"/>
              <w:bottom w:val="single" w:sz="4" w:space="0" w:color="auto"/>
              <w:right w:val="single" w:sz="4" w:space="0" w:color="auto"/>
            </w:tcBorders>
            <w:shd w:val="clear" w:color="auto" w:fill="C0C0C0"/>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Starosna dob</w:t>
            </w:r>
          </w:p>
        </w:tc>
        <w:tc>
          <w:tcPr>
            <w:tcW w:w="765" w:type="dxa"/>
            <w:tcBorders>
              <w:top w:val="nil"/>
              <w:left w:val="nil"/>
              <w:bottom w:val="nil"/>
              <w:right w:val="nil"/>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18+</w:t>
            </w:r>
          </w:p>
        </w:tc>
        <w:tc>
          <w:tcPr>
            <w:tcW w:w="1109" w:type="dxa"/>
            <w:tcBorders>
              <w:top w:val="nil"/>
              <w:left w:val="nil"/>
              <w:bottom w:val="nil"/>
              <w:right w:val="nil"/>
            </w:tcBorders>
            <w:shd w:val="clear" w:color="auto" w:fill="auto"/>
            <w:vAlign w:val="bottom"/>
          </w:tcPr>
          <w:p w:rsidR="00A131AD" w:rsidRPr="00155F80" w:rsidRDefault="00A131AD" w:rsidP="000C0138">
            <w:pPr>
              <w:spacing w:line="276" w:lineRule="auto"/>
              <w:jc w:val="center"/>
              <w:rPr>
                <w:rFonts w:ascii="Times New Roman" w:hAnsi="Times New Roman"/>
                <w:color w:val="000000"/>
              </w:rPr>
            </w:pPr>
          </w:p>
        </w:tc>
        <w:tc>
          <w:tcPr>
            <w:tcW w:w="764" w:type="dxa"/>
            <w:tcBorders>
              <w:top w:val="single" w:sz="4" w:space="0" w:color="auto"/>
              <w:left w:val="single" w:sz="4" w:space="0" w:color="auto"/>
              <w:bottom w:val="nil"/>
              <w:right w:val="single" w:sz="4" w:space="0" w:color="000000"/>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1</w:t>
            </w:r>
          </w:p>
        </w:tc>
        <w:tc>
          <w:tcPr>
            <w:tcW w:w="1109" w:type="dxa"/>
            <w:tcBorders>
              <w:top w:val="single" w:sz="4" w:space="0" w:color="auto"/>
              <w:left w:val="single" w:sz="4" w:space="0" w:color="auto"/>
              <w:bottom w:val="nil"/>
              <w:right w:val="single" w:sz="4" w:space="0" w:color="000000"/>
            </w:tcBorders>
            <w:shd w:val="clear" w:color="auto" w:fill="auto"/>
            <w:vAlign w:val="bottom"/>
          </w:tcPr>
          <w:p w:rsidR="00A131AD" w:rsidRPr="00155F80" w:rsidRDefault="00A131AD" w:rsidP="000C0138">
            <w:pPr>
              <w:spacing w:line="276" w:lineRule="auto"/>
              <w:jc w:val="center"/>
              <w:rPr>
                <w:rFonts w:ascii="Times New Roman" w:hAnsi="Times New Roman"/>
                <w:color w:val="000000"/>
              </w:rPr>
            </w:pPr>
          </w:p>
        </w:tc>
        <w:tc>
          <w:tcPr>
            <w:tcW w:w="764" w:type="dxa"/>
            <w:tcBorders>
              <w:top w:val="single" w:sz="4" w:space="0" w:color="auto"/>
              <w:left w:val="nil"/>
              <w:bottom w:val="nil"/>
              <w:right w:val="single" w:sz="4" w:space="0" w:color="000000"/>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5</w:t>
            </w:r>
          </w:p>
        </w:tc>
        <w:tc>
          <w:tcPr>
            <w:tcW w:w="1109" w:type="dxa"/>
            <w:tcBorders>
              <w:top w:val="single" w:sz="4" w:space="0" w:color="auto"/>
              <w:left w:val="nil"/>
              <w:bottom w:val="nil"/>
              <w:right w:val="single" w:sz="4" w:space="0" w:color="000000"/>
            </w:tcBorders>
            <w:shd w:val="clear" w:color="auto" w:fill="auto"/>
            <w:vAlign w:val="bottom"/>
          </w:tcPr>
          <w:p w:rsidR="00A131AD" w:rsidRPr="00155F80" w:rsidRDefault="00A131AD" w:rsidP="000C0138">
            <w:pPr>
              <w:spacing w:line="276" w:lineRule="auto"/>
              <w:jc w:val="center"/>
              <w:rPr>
                <w:rFonts w:ascii="Times New Roman" w:hAnsi="Times New Roman"/>
                <w:color w:val="000000"/>
              </w:rPr>
            </w:pPr>
          </w:p>
        </w:tc>
        <w:tc>
          <w:tcPr>
            <w:tcW w:w="764" w:type="dxa"/>
            <w:tcBorders>
              <w:top w:val="single" w:sz="4" w:space="0" w:color="auto"/>
              <w:left w:val="nil"/>
              <w:bottom w:val="nil"/>
              <w:right w:val="single" w:sz="4" w:space="0" w:color="000000"/>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10</w:t>
            </w:r>
          </w:p>
        </w:tc>
        <w:tc>
          <w:tcPr>
            <w:tcW w:w="1109" w:type="dxa"/>
            <w:tcBorders>
              <w:top w:val="single" w:sz="4" w:space="0" w:color="auto"/>
              <w:left w:val="nil"/>
              <w:bottom w:val="nil"/>
              <w:right w:val="single" w:sz="4" w:space="0" w:color="000000"/>
            </w:tcBorders>
            <w:shd w:val="clear" w:color="auto" w:fill="auto"/>
            <w:vAlign w:val="bottom"/>
          </w:tcPr>
          <w:p w:rsidR="00A131AD" w:rsidRPr="00155F80" w:rsidRDefault="00A131AD" w:rsidP="000C0138">
            <w:pPr>
              <w:spacing w:line="276" w:lineRule="auto"/>
              <w:jc w:val="center"/>
              <w:rPr>
                <w:rFonts w:ascii="Times New Roman" w:hAnsi="Times New Roman"/>
                <w:color w:val="000000"/>
              </w:rPr>
            </w:pPr>
          </w:p>
        </w:tc>
      </w:tr>
      <w:tr w:rsidR="00A131AD" w:rsidRPr="00155F80" w:rsidTr="001911A6">
        <w:trPr>
          <w:trHeight w:val="197"/>
        </w:trPr>
        <w:tc>
          <w:tcPr>
            <w:tcW w:w="1805" w:type="dxa"/>
            <w:tcBorders>
              <w:top w:val="nil"/>
              <w:left w:val="single" w:sz="4" w:space="0" w:color="auto"/>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2010.</w:t>
            </w:r>
          </w:p>
        </w:tc>
        <w:tc>
          <w:tcPr>
            <w:tcW w:w="765" w:type="dxa"/>
            <w:tcBorders>
              <w:top w:val="single" w:sz="4" w:space="0" w:color="auto"/>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0,55</w:t>
            </w:r>
          </w:p>
        </w:tc>
        <w:tc>
          <w:tcPr>
            <w:tcW w:w="1109" w:type="dxa"/>
            <w:tcBorders>
              <w:top w:val="single" w:sz="4" w:space="0" w:color="auto"/>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0,68</w:t>
            </w:r>
          </w:p>
        </w:tc>
        <w:tc>
          <w:tcPr>
            <w:tcW w:w="764" w:type="dxa"/>
            <w:tcBorders>
              <w:top w:val="single" w:sz="4" w:space="0" w:color="auto"/>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0,22</w:t>
            </w:r>
          </w:p>
        </w:tc>
        <w:tc>
          <w:tcPr>
            <w:tcW w:w="1109" w:type="dxa"/>
            <w:tcBorders>
              <w:top w:val="single" w:sz="4" w:space="0" w:color="auto"/>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1,12</w:t>
            </w:r>
          </w:p>
        </w:tc>
        <w:tc>
          <w:tcPr>
            <w:tcW w:w="764" w:type="dxa"/>
            <w:tcBorders>
              <w:top w:val="single" w:sz="4" w:space="0" w:color="auto"/>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0,19</w:t>
            </w:r>
          </w:p>
        </w:tc>
        <w:tc>
          <w:tcPr>
            <w:tcW w:w="1109" w:type="dxa"/>
            <w:tcBorders>
              <w:top w:val="single" w:sz="4" w:space="0" w:color="auto"/>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0,62</w:t>
            </w:r>
          </w:p>
        </w:tc>
        <w:tc>
          <w:tcPr>
            <w:tcW w:w="764" w:type="dxa"/>
            <w:tcBorders>
              <w:top w:val="single" w:sz="4" w:space="0" w:color="auto"/>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0,28</w:t>
            </w:r>
          </w:p>
        </w:tc>
        <w:tc>
          <w:tcPr>
            <w:tcW w:w="1109" w:type="dxa"/>
            <w:tcBorders>
              <w:top w:val="single" w:sz="4" w:space="0" w:color="auto"/>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1,01</w:t>
            </w:r>
          </w:p>
        </w:tc>
      </w:tr>
      <w:tr w:rsidR="00A131AD" w:rsidRPr="00155F80" w:rsidTr="001911A6">
        <w:trPr>
          <w:trHeight w:val="197"/>
        </w:trPr>
        <w:tc>
          <w:tcPr>
            <w:tcW w:w="1805" w:type="dxa"/>
            <w:tcBorders>
              <w:top w:val="nil"/>
              <w:left w:val="single" w:sz="4" w:space="0" w:color="auto"/>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2011.</w:t>
            </w:r>
          </w:p>
        </w:tc>
        <w:tc>
          <w:tcPr>
            <w:tcW w:w="765"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0,53</w:t>
            </w:r>
          </w:p>
        </w:tc>
        <w:tc>
          <w:tcPr>
            <w:tcW w:w="1109"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0,89</w:t>
            </w:r>
          </w:p>
        </w:tc>
        <w:tc>
          <w:tcPr>
            <w:tcW w:w="764"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0,26</w:t>
            </w:r>
          </w:p>
        </w:tc>
        <w:tc>
          <w:tcPr>
            <w:tcW w:w="1109"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1,27</w:t>
            </w:r>
          </w:p>
        </w:tc>
        <w:tc>
          <w:tcPr>
            <w:tcW w:w="764"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0,18</w:t>
            </w:r>
          </w:p>
        </w:tc>
        <w:tc>
          <w:tcPr>
            <w:tcW w:w="1109"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0,77</w:t>
            </w:r>
          </w:p>
        </w:tc>
        <w:tc>
          <w:tcPr>
            <w:tcW w:w="764"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0,28</w:t>
            </w:r>
          </w:p>
        </w:tc>
        <w:tc>
          <w:tcPr>
            <w:tcW w:w="1109"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1,3</w:t>
            </w:r>
          </w:p>
        </w:tc>
      </w:tr>
      <w:tr w:rsidR="00A131AD" w:rsidRPr="00155F80" w:rsidTr="001911A6">
        <w:trPr>
          <w:trHeight w:val="197"/>
        </w:trPr>
        <w:tc>
          <w:tcPr>
            <w:tcW w:w="1805" w:type="dxa"/>
            <w:tcBorders>
              <w:top w:val="nil"/>
              <w:left w:val="single" w:sz="4" w:space="0" w:color="auto"/>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2012.</w:t>
            </w:r>
          </w:p>
        </w:tc>
        <w:tc>
          <w:tcPr>
            <w:tcW w:w="765"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0,35</w:t>
            </w:r>
          </w:p>
        </w:tc>
        <w:tc>
          <w:tcPr>
            <w:tcW w:w="1109"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1,57</w:t>
            </w:r>
          </w:p>
        </w:tc>
        <w:tc>
          <w:tcPr>
            <w:tcW w:w="764"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0,26</w:t>
            </w:r>
          </w:p>
        </w:tc>
        <w:tc>
          <w:tcPr>
            <w:tcW w:w="1109"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1,73</w:t>
            </w:r>
          </w:p>
        </w:tc>
        <w:tc>
          <w:tcPr>
            <w:tcW w:w="764"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0,13</w:t>
            </w:r>
          </w:p>
        </w:tc>
        <w:tc>
          <w:tcPr>
            <w:tcW w:w="1109"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1,33</w:t>
            </w:r>
          </w:p>
        </w:tc>
        <w:tc>
          <w:tcPr>
            <w:tcW w:w="764"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0,18</w:t>
            </w:r>
          </w:p>
        </w:tc>
        <w:tc>
          <w:tcPr>
            <w:tcW w:w="1109"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2,43</w:t>
            </w:r>
          </w:p>
        </w:tc>
      </w:tr>
      <w:tr w:rsidR="00A131AD" w:rsidRPr="00155F80" w:rsidTr="001911A6">
        <w:trPr>
          <w:trHeight w:val="197"/>
        </w:trPr>
        <w:tc>
          <w:tcPr>
            <w:tcW w:w="1805" w:type="dxa"/>
            <w:tcBorders>
              <w:top w:val="nil"/>
              <w:left w:val="single" w:sz="4" w:space="0" w:color="auto"/>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2013</w:t>
            </w:r>
          </w:p>
        </w:tc>
        <w:tc>
          <w:tcPr>
            <w:tcW w:w="765"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0,42</w:t>
            </w:r>
          </w:p>
        </w:tc>
        <w:tc>
          <w:tcPr>
            <w:tcW w:w="1109"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1,07</w:t>
            </w:r>
          </w:p>
        </w:tc>
        <w:tc>
          <w:tcPr>
            <w:tcW w:w="764"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0,21</w:t>
            </w:r>
          </w:p>
        </w:tc>
        <w:tc>
          <w:tcPr>
            <w:tcW w:w="1109"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1,49</w:t>
            </w:r>
          </w:p>
        </w:tc>
        <w:tc>
          <w:tcPr>
            <w:tcW w:w="764"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0,16</w:t>
            </w:r>
          </w:p>
        </w:tc>
        <w:tc>
          <w:tcPr>
            <w:tcW w:w="1109"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0,94</w:t>
            </w:r>
          </w:p>
        </w:tc>
        <w:tc>
          <w:tcPr>
            <w:tcW w:w="764"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0,23</w:t>
            </w:r>
          </w:p>
        </w:tc>
        <w:tc>
          <w:tcPr>
            <w:tcW w:w="1109"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1,3</w:t>
            </w:r>
          </w:p>
        </w:tc>
      </w:tr>
      <w:tr w:rsidR="00A131AD" w:rsidRPr="00155F80" w:rsidTr="001911A6">
        <w:trPr>
          <w:trHeight w:val="197"/>
        </w:trPr>
        <w:tc>
          <w:tcPr>
            <w:tcW w:w="1805" w:type="dxa"/>
            <w:tcBorders>
              <w:top w:val="nil"/>
              <w:left w:val="single" w:sz="4" w:space="0" w:color="auto"/>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2014</w:t>
            </w:r>
          </w:p>
        </w:tc>
        <w:tc>
          <w:tcPr>
            <w:tcW w:w="765"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0,35</w:t>
            </w:r>
          </w:p>
        </w:tc>
        <w:tc>
          <w:tcPr>
            <w:tcW w:w="1109"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1,07</w:t>
            </w:r>
          </w:p>
        </w:tc>
        <w:tc>
          <w:tcPr>
            <w:tcW w:w="764"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0,19</w:t>
            </w:r>
          </w:p>
        </w:tc>
        <w:tc>
          <w:tcPr>
            <w:tcW w:w="1109"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1,49</w:t>
            </w:r>
          </w:p>
        </w:tc>
        <w:tc>
          <w:tcPr>
            <w:tcW w:w="764"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0,13</w:t>
            </w:r>
          </w:p>
        </w:tc>
        <w:tc>
          <w:tcPr>
            <w:tcW w:w="1109"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0,94</w:t>
            </w:r>
          </w:p>
        </w:tc>
        <w:tc>
          <w:tcPr>
            <w:tcW w:w="764"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0,18</w:t>
            </w:r>
          </w:p>
        </w:tc>
        <w:tc>
          <w:tcPr>
            <w:tcW w:w="1109"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1,58</w:t>
            </w:r>
          </w:p>
        </w:tc>
      </w:tr>
      <w:tr w:rsidR="00A131AD" w:rsidRPr="00155F80" w:rsidTr="001911A6">
        <w:trPr>
          <w:trHeight w:val="197"/>
        </w:trPr>
        <w:tc>
          <w:tcPr>
            <w:tcW w:w="1805" w:type="dxa"/>
            <w:tcBorders>
              <w:top w:val="nil"/>
              <w:left w:val="single" w:sz="4" w:space="0" w:color="auto"/>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2015</w:t>
            </w:r>
          </w:p>
        </w:tc>
        <w:tc>
          <w:tcPr>
            <w:tcW w:w="765"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w:t>
            </w:r>
          </w:p>
        </w:tc>
        <w:tc>
          <w:tcPr>
            <w:tcW w:w="1109"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w:t>
            </w:r>
          </w:p>
        </w:tc>
        <w:tc>
          <w:tcPr>
            <w:tcW w:w="764"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w:t>
            </w:r>
          </w:p>
        </w:tc>
        <w:tc>
          <w:tcPr>
            <w:tcW w:w="1109"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w:t>
            </w:r>
          </w:p>
        </w:tc>
        <w:tc>
          <w:tcPr>
            <w:tcW w:w="764"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w:t>
            </w:r>
          </w:p>
        </w:tc>
        <w:tc>
          <w:tcPr>
            <w:tcW w:w="1109"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w:t>
            </w:r>
          </w:p>
        </w:tc>
        <w:tc>
          <w:tcPr>
            <w:tcW w:w="764"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w:t>
            </w:r>
          </w:p>
        </w:tc>
        <w:tc>
          <w:tcPr>
            <w:tcW w:w="1109"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w:t>
            </w:r>
          </w:p>
        </w:tc>
      </w:tr>
      <w:tr w:rsidR="00A131AD" w:rsidRPr="00155F80" w:rsidTr="001911A6">
        <w:trPr>
          <w:trHeight w:val="197"/>
        </w:trPr>
        <w:tc>
          <w:tcPr>
            <w:tcW w:w="1805" w:type="dxa"/>
            <w:tcBorders>
              <w:top w:val="nil"/>
              <w:left w:val="single" w:sz="4" w:space="0" w:color="auto"/>
              <w:bottom w:val="single" w:sz="4" w:space="0" w:color="auto"/>
              <w:right w:val="single" w:sz="4" w:space="0" w:color="auto"/>
            </w:tcBorders>
            <w:shd w:val="clear" w:color="auto" w:fill="C0C0C0"/>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Sred.vrijednost</w:t>
            </w:r>
          </w:p>
        </w:tc>
        <w:tc>
          <w:tcPr>
            <w:tcW w:w="765" w:type="dxa"/>
            <w:tcBorders>
              <w:top w:val="nil"/>
              <w:left w:val="nil"/>
              <w:bottom w:val="single" w:sz="4" w:space="0" w:color="auto"/>
              <w:right w:val="single" w:sz="4" w:space="0" w:color="auto"/>
            </w:tcBorders>
            <w:shd w:val="clear" w:color="auto" w:fill="C0C0C0"/>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0,45</w:t>
            </w:r>
          </w:p>
        </w:tc>
        <w:tc>
          <w:tcPr>
            <w:tcW w:w="1109" w:type="dxa"/>
            <w:tcBorders>
              <w:top w:val="nil"/>
              <w:left w:val="nil"/>
              <w:bottom w:val="single" w:sz="4" w:space="0" w:color="auto"/>
              <w:right w:val="single" w:sz="4" w:space="0" w:color="auto"/>
            </w:tcBorders>
            <w:shd w:val="clear" w:color="auto" w:fill="C0C0C0"/>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0,88</w:t>
            </w:r>
          </w:p>
        </w:tc>
        <w:tc>
          <w:tcPr>
            <w:tcW w:w="764" w:type="dxa"/>
            <w:tcBorders>
              <w:top w:val="nil"/>
              <w:left w:val="nil"/>
              <w:bottom w:val="single" w:sz="4" w:space="0" w:color="auto"/>
              <w:right w:val="single" w:sz="4" w:space="0" w:color="auto"/>
            </w:tcBorders>
            <w:shd w:val="clear" w:color="auto" w:fill="C0C0C0"/>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0,21</w:t>
            </w:r>
          </w:p>
        </w:tc>
        <w:tc>
          <w:tcPr>
            <w:tcW w:w="1109" w:type="dxa"/>
            <w:tcBorders>
              <w:top w:val="nil"/>
              <w:left w:val="nil"/>
              <w:bottom w:val="single" w:sz="4" w:space="0" w:color="auto"/>
              <w:right w:val="single" w:sz="4" w:space="0" w:color="auto"/>
            </w:tcBorders>
            <w:shd w:val="clear" w:color="auto" w:fill="C0C0C0"/>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1,31</w:t>
            </w:r>
          </w:p>
        </w:tc>
        <w:tc>
          <w:tcPr>
            <w:tcW w:w="764" w:type="dxa"/>
            <w:tcBorders>
              <w:top w:val="nil"/>
              <w:left w:val="nil"/>
              <w:bottom w:val="single" w:sz="4" w:space="0" w:color="auto"/>
              <w:right w:val="single" w:sz="4" w:space="0" w:color="auto"/>
            </w:tcBorders>
            <w:shd w:val="clear" w:color="auto" w:fill="C0C0C0"/>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0,16</w:t>
            </w:r>
          </w:p>
        </w:tc>
        <w:tc>
          <w:tcPr>
            <w:tcW w:w="1109" w:type="dxa"/>
            <w:tcBorders>
              <w:top w:val="nil"/>
              <w:left w:val="nil"/>
              <w:bottom w:val="single" w:sz="4" w:space="0" w:color="auto"/>
              <w:right w:val="single" w:sz="4" w:space="0" w:color="auto"/>
            </w:tcBorders>
            <w:shd w:val="clear" w:color="auto" w:fill="C0C0C0"/>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0,78</w:t>
            </w:r>
          </w:p>
        </w:tc>
        <w:tc>
          <w:tcPr>
            <w:tcW w:w="764" w:type="dxa"/>
            <w:tcBorders>
              <w:top w:val="nil"/>
              <w:left w:val="nil"/>
              <w:bottom w:val="single" w:sz="4" w:space="0" w:color="auto"/>
              <w:right w:val="single" w:sz="4" w:space="0" w:color="auto"/>
            </w:tcBorders>
            <w:shd w:val="clear" w:color="auto" w:fill="C0C0C0"/>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0,23</w:t>
            </w:r>
          </w:p>
        </w:tc>
        <w:tc>
          <w:tcPr>
            <w:tcW w:w="1109" w:type="dxa"/>
            <w:tcBorders>
              <w:top w:val="nil"/>
              <w:left w:val="nil"/>
              <w:bottom w:val="single" w:sz="4" w:space="0" w:color="auto"/>
              <w:right w:val="single" w:sz="4" w:space="0" w:color="auto"/>
            </w:tcBorders>
            <w:shd w:val="clear" w:color="auto" w:fill="C0C0C0"/>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1,30</w:t>
            </w:r>
          </w:p>
        </w:tc>
      </w:tr>
    </w:tbl>
    <w:p w:rsidR="00A131AD" w:rsidRPr="003066C2" w:rsidRDefault="00A131AD" w:rsidP="000C0138">
      <w:pPr>
        <w:spacing w:line="276" w:lineRule="auto"/>
        <w:rPr>
          <w:rStyle w:val="Emphasis"/>
          <w:rFonts w:ascii="Times New Roman" w:hAnsi="Times New Roman"/>
          <w:i w:val="0"/>
          <w:color w:val="FF0000"/>
          <w:sz w:val="20"/>
          <w:szCs w:val="20"/>
          <w:lang w:val="pl-PL"/>
        </w:rPr>
      </w:pPr>
      <w:r w:rsidRPr="003066C2">
        <w:rPr>
          <w:rFonts w:ascii="Times New Roman" w:hAnsi="Times New Roman"/>
          <w:bCs/>
          <w:color w:val="000000"/>
          <w:sz w:val="20"/>
          <w:szCs w:val="20"/>
        </w:rPr>
        <w:t>* Nedostupni poda</w:t>
      </w:r>
      <w:r w:rsidR="0075437E">
        <w:rPr>
          <w:rFonts w:ascii="Times New Roman" w:hAnsi="Times New Roman"/>
          <w:bCs/>
          <w:color w:val="000000"/>
          <w:sz w:val="20"/>
          <w:szCs w:val="20"/>
        </w:rPr>
        <w:t>t</w:t>
      </w:r>
      <w:r w:rsidRPr="003066C2">
        <w:rPr>
          <w:rFonts w:ascii="Times New Roman" w:hAnsi="Times New Roman"/>
          <w:bCs/>
          <w:color w:val="000000"/>
          <w:sz w:val="20"/>
          <w:szCs w:val="20"/>
        </w:rPr>
        <w:t>ci</w:t>
      </w:r>
    </w:p>
    <w:p w:rsidR="00A131AD" w:rsidRPr="00155F80" w:rsidRDefault="00A131AD" w:rsidP="000C0138">
      <w:pPr>
        <w:spacing w:line="276" w:lineRule="auto"/>
        <w:rPr>
          <w:rStyle w:val="Emphasis"/>
          <w:rFonts w:ascii="Times New Roman" w:hAnsi="Times New Roman"/>
          <w:i w:val="0"/>
          <w:lang w:val="pl-PL"/>
        </w:rPr>
      </w:pPr>
    </w:p>
    <w:p w:rsidR="00F8495E" w:rsidRDefault="00A131AD" w:rsidP="003066C2">
      <w:pPr>
        <w:spacing w:line="276" w:lineRule="auto"/>
        <w:rPr>
          <w:rStyle w:val="Emphasis"/>
          <w:rFonts w:ascii="Times New Roman" w:hAnsi="Times New Roman"/>
          <w:i w:val="0"/>
          <w:lang w:val="pl-PL"/>
        </w:rPr>
      </w:pPr>
      <w:r w:rsidRPr="00155F80">
        <w:rPr>
          <w:rStyle w:val="Emphasis"/>
          <w:rFonts w:ascii="Times New Roman" w:hAnsi="Times New Roman"/>
          <w:i w:val="0"/>
          <w:lang w:val="pl-PL"/>
        </w:rPr>
        <w:t xml:space="preserve">Na </w:t>
      </w:r>
      <w:r w:rsidR="00AC46A7">
        <w:rPr>
          <w:rStyle w:val="Emphasis"/>
          <w:rFonts w:ascii="Times New Roman" w:hAnsi="Times New Roman"/>
          <w:i w:val="0"/>
          <w:lang w:val="pl-PL"/>
        </w:rPr>
        <w:t>temelju</w:t>
      </w:r>
      <w:r w:rsidRPr="00155F80">
        <w:rPr>
          <w:rStyle w:val="Emphasis"/>
          <w:rFonts w:ascii="Times New Roman" w:hAnsi="Times New Roman"/>
          <w:i w:val="0"/>
          <w:lang w:val="pl-PL"/>
        </w:rPr>
        <w:t xml:space="preserve"> izmjerenih vrijednosti aktivnosti radionuklida u uzorcima zračnih filtera (čestična tvar) za lokaciju Sarajevo </w:t>
      </w:r>
      <w:r w:rsidR="00AC46A7">
        <w:rPr>
          <w:rStyle w:val="Emphasis"/>
          <w:rFonts w:ascii="Times New Roman" w:hAnsi="Times New Roman"/>
          <w:i w:val="0"/>
          <w:lang w:val="pl-PL"/>
        </w:rPr>
        <w:t>obavlja</w:t>
      </w:r>
      <w:r w:rsidRPr="00155F80">
        <w:rPr>
          <w:rStyle w:val="Emphasis"/>
          <w:rFonts w:ascii="Times New Roman" w:hAnsi="Times New Roman"/>
          <w:i w:val="0"/>
          <w:lang w:val="pl-PL"/>
        </w:rPr>
        <w:t xml:space="preserve"> se procjena efektivne doze za stanovništvo po dobnim skupinama inhalacijom. Povećane vrijednosti u 2011. godini posljedica su nesreće u nuklearnoj elektrani Fukushima, Japan. Dobi</w:t>
      </w:r>
      <w:r w:rsidR="00AC46A7">
        <w:rPr>
          <w:rStyle w:val="Emphasis"/>
          <w:rFonts w:ascii="Times New Roman" w:hAnsi="Times New Roman"/>
          <w:i w:val="0"/>
          <w:lang w:val="pl-PL"/>
        </w:rPr>
        <w:t>v</w:t>
      </w:r>
      <w:r w:rsidRPr="00155F80">
        <w:rPr>
          <w:rStyle w:val="Emphasis"/>
          <w:rFonts w:ascii="Times New Roman" w:hAnsi="Times New Roman"/>
          <w:i w:val="0"/>
          <w:lang w:val="pl-PL"/>
        </w:rPr>
        <w:t xml:space="preserve">ene vrijednosti su na </w:t>
      </w:r>
      <w:r w:rsidR="00AC46A7">
        <w:rPr>
          <w:rStyle w:val="Emphasis"/>
          <w:rFonts w:ascii="Times New Roman" w:hAnsi="Times New Roman"/>
          <w:i w:val="0"/>
          <w:lang w:val="pl-PL"/>
        </w:rPr>
        <w:t>razini</w:t>
      </w:r>
      <w:r w:rsidRPr="00155F80">
        <w:rPr>
          <w:rStyle w:val="Emphasis"/>
          <w:rFonts w:ascii="Times New Roman" w:hAnsi="Times New Roman"/>
          <w:i w:val="0"/>
          <w:lang w:val="pl-PL"/>
        </w:rPr>
        <w:t xml:space="preserve"> vrijednosti zemalja u regiji. Rezultati su dati u Tabli</w:t>
      </w:r>
      <w:r w:rsidR="00AC46A7">
        <w:rPr>
          <w:rStyle w:val="Emphasis"/>
          <w:rFonts w:ascii="Times New Roman" w:hAnsi="Times New Roman"/>
          <w:i w:val="0"/>
          <w:lang w:val="pl-PL"/>
        </w:rPr>
        <w:t>ci</w:t>
      </w:r>
      <w:r w:rsidRPr="00155F80">
        <w:rPr>
          <w:rStyle w:val="Emphasis"/>
          <w:rFonts w:ascii="Times New Roman" w:hAnsi="Times New Roman"/>
          <w:i w:val="0"/>
          <w:lang w:val="pl-PL"/>
        </w:rPr>
        <w:t xml:space="preserve"> 19.</w:t>
      </w:r>
    </w:p>
    <w:p w:rsidR="003066C2" w:rsidRDefault="003066C2" w:rsidP="003066C2">
      <w:pPr>
        <w:spacing w:line="276" w:lineRule="auto"/>
        <w:rPr>
          <w:rStyle w:val="Emphasis"/>
          <w:rFonts w:ascii="Times New Roman" w:hAnsi="Times New Roman"/>
          <w:i w:val="0"/>
          <w:sz w:val="20"/>
          <w:szCs w:val="20"/>
          <w:lang w:val="pl-PL"/>
        </w:rPr>
      </w:pPr>
    </w:p>
    <w:p w:rsidR="003230A0" w:rsidRPr="00155F80" w:rsidRDefault="00A131AD" w:rsidP="00B37E7E">
      <w:pPr>
        <w:pStyle w:val="refererere"/>
        <w:rPr>
          <w:rStyle w:val="Emphasis"/>
          <w:i w:val="0"/>
          <w:lang w:val="pl-PL"/>
        </w:rPr>
      </w:pPr>
      <w:r w:rsidRPr="00155F80">
        <w:rPr>
          <w:rStyle w:val="Emphasis"/>
          <w:i w:val="0"/>
          <w:lang w:val="pl-PL"/>
        </w:rPr>
        <w:t>Tabl</w:t>
      </w:r>
      <w:r w:rsidR="00AC46A7">
        <w:rPr>
          <w:rStyle w:val="Emphasis"/>
          <w:i w:val="0"/>
          <w:lang w:val="pl-PL"/>
        </w:rPr>
        <w:t>ic</w:t>
      </w:r>
      <w:r w:rsidRPr="00155F80">
        <w:rPr>
          <w:rStyle w:val="Emphasis"/>
          <w:i w:val="0"/>
          <w:lang w:val="pl-PL"/>
        </w:rPr>
        <w:t>a 19: Procijenjena efektivna doza uslijed unut</w:t>
      </w:r>
      <w:r w:rsidR="00C861DA">
        <w:rPr>
          <w:rStyle w:val="Emphasis"/>
          <w:i w:val="0"/>
          <w:lang w:val="pl-PL"/>
        </w:rPr>
        <w:t>a</w:t>
      </w:r>
      <w:r w:rsidRPr="00155F80">
        <w:rPr>
          <w:rStyle w:val="Emphasis"/>
          <w:i w:val="0"/>
          <w:lang w:val="pl-PL"/>
        </w:rPr>
        <w:t>rnje ekspozicije unosom vještačkog radionuklida Cs inhalacijom po starosnim skupinama (nSv/god)</w:t>
      </w:r>
    </w:p>
    <w:tbl>
      <w:tblPr>
        <w:tblW w:w="8752" w:type="dxa"/>
        <w:tblInd w:w="93" w:type="dxa"/>
        <w:tblLook w:val="0000" w:firstRow="0" w:lastRow="0" w:firstColumn="0" w:lastColumn="0" w:noHBand="0" w:noVBand="0"/>
      </w:tblPr>
      <w:tblGrid>
        <w:gridCol w:w="2197"/>
        <w:gridCol w:w="1862"/>
        <w:gridCol w:w="1626"/>
        <w:gridCol w:w="1599"/>
        <w:gridCol w:w="1468"/>
      </w:tblGrid>
      <w:tr w:rsidR="00A131AD" w:rsidRPr="00155F80" w:rsidTr="001911A6">
        <w:trPr>
          <w:trHeight w:val="317"/>
        </w:trPr>
        <w:tc>
          <w:tcPr>
            <w:tcW w:w="2197" w:type="dxa"/>
            <w:tcBorders>
              <w:top w:val="nil"/>
              <w:left w:val="nil"/>
              <w:bottom w:val="nil"/>
              <w:right w:val="nil"/>
            </w:tcBorders>
            <w:shd w:val="clear" w:color="auto" w:fill="auto"/>
            <w:noWrap/>
            <w:vAlign w:val="bottom"/>
          </w:tcPr>
          <w:p w:rsidR="00A131AD" w:rsidRPr="00155F80" w:rsidRDefault="00A131AD" w:rsidP="000C0138">
            <w:pPr>
              <w:spacing w:line="276" w:lineRule="auto"/>
              <w:rPr>
                <w:rFonts w:ascii="Times New Roman" w:hAnsi="Times New Roman"/>
                <w:color w:val="000000"/>
              </w:rPr>
            </w:pPr>
          </w:p>
        </w:tc>
        <w:tc>
          <w:tcPr>
            <w:tcW w:w="1862" w:type="dxa"/>
            <w:tcBorders>
              <w:top w:val="single" w:sz="4" w:space="0" w:color="auto"/>
              <w:left w:val="single" w:sz="4" w:space="0" w:color="auto"/>
              <w:bottom w:val="single" w:sz="4" w:space="0" w:color="auto"/>
              <w:right w:val="single" w:sz="4" w:space="0" w:color="auto"/>
            </w:tcBorders>
            <w:shd w:val="clear" w:color="auto" w:fill="C0C0C0"/>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vertAlign w:val="superscript"/>
              </w:rPr>
              <w:t>137</w:t>
            </w:r>
            <w:r w:rsidRPr="00155F80">
              <w:rPr>
                <w:rFonts w:ascii="Times New Roman" w:hAnsi="Times New Roman"/>
                <w:color w:val="000000"/>
              </w:rPr>
              <w:t>Cs</w:t>
            </w:r>
          </w:p>
        </w:tc>
        <w:tc>
          <w:tcPr>
            <w:tcW w:w="1626" w:type="dxa"/>
            <w:tcBorders>
              <w:top w:val="single" w:sz="4" w:space="0" w:color="auto"/>
              <w:left w:val="nil"/>
              <w:bottom w:val="single" w:sz="4" w:space="0" w:color="auto"/>
              <w:right w:val="single" w:sz="4" w:space="0" w:color="auto"/>
            </w:tcBorders>
            <w:shd w:val="clear" w:color="auto" w:fill="C0C0C0"/>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vertAlign w:val="superscript"/>
              </w:rPr>
              <w:t>137</w:t>
            </w:r>
            <w:r w:rsidRPr="00155F80">
              <w:rPr>
                <w:rFonts w:ascii="Times New Roman" w:hAnsi="Times New Roman"/>
                <w:color w:val="000000"/>
              </w:rPr>
              <w:t>Cs</w:t>
            </w:r>
          </w:p>
        </w:tc>
        <w:tc>
          <w:tcPr>
            <w:tcW w:w="1599" w:type="dxa"/>
            <w:tcBorders>
              <w:top w:val="single" w:sz="4" w:space="0" w:color="auto"/>
              <w:left w:val="nil"/>
              <w:bottom w:val="single" w:sz="4" w:space="0" w:color="auto"/>
              <w:right w:val="single" w:sz="4" w:space="0" w:color="auto"/>
            </w:tcBorders>
            <w:shd w:val="clear" w:color="auto" w:fill="C0C0C0"/>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vertAlign w:val="superscript"/>
              </w:rPr>
              <w:t>137</w:t>
            </w:r>
            <w:r w:rsidRPr="00155F80">
              <w:rPr>
                <w:rFonts w:ascii="Times New Roman" w:hAnsi="Times New Roman"/>
                <w:color w:val="000000"/>
              </w:rPr>
              <w:t>Cs</w:t>
            </w:r>
          </w:p>
        </w:tc>
        <w:tc>
          <w:tcPr>
            <w:tcW w:w="1468" w:type="dxa"/>
            <w:tcBorders>
              <w:top w:val="single" w:sz="4" w:space="0" w:color="auto"/>
              <w:left w:val="nil"/>
              <w:bottom w:val="single" w:sz="4" w:space="0" w:color="auto"/>
              <w:right w:val="single" w:sz="4" w:space="0" w:color="auto"/>
            </w:tcBorders>
            <w:shd w:val="clear" w:color="auto" w:fill="C0C0C0"/>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vertAlign w:val="superscript"/>
              </w:rPr>
              <w:t>137</w:t>
            </w:r>
            <w:r w:rsidRPr="00155F80">
              <w:rPr>
                <w:rFonts w:ascii="Times New Roman" w:hAnsi="Times New Roman"/>
                <w:color w:val="000000"/>
              </w:rPr>
              <w:t>Cs</w:t>
            </w:r>
          </w:p>
        </w:tc>
      </w:tr>
      <w:tr w:rsidR="00A131AD" w:rsidRPr="00155F80" w:rsidTr="001911A6">
        <w:trPr>
          <w:trHeight w:val="266"/>
        </w:trPr>
        <w:tc>
          <w:tcPr>
            <w:tcW w:w="2197" w:type="dxa"/>
            <w:tcBorders>
              <w:top w:val="single" w:sz="4" w:space="0" w:color="auto"/>
              <w:left w:val="single" w:sz="4" w:space="0" w:color="auto"/>
              <w:bottom w:val="single" w:sz="4" w:space="0" w:color="auto"/>
              <w:right w:val="single" w:sz="4" w:space="0" w:color="auto"/>
            </w:tcBorders>
            <w:shd w:val="clear" w:color="auto" w:fill="C0C0C0"/>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Starosna dob</w:t>
            </w:r>
          </w:p>
        </w:tc>
        <w:tc>
          <w:tcPr>
            <w:tcW w:w="1862"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b/>
                <w:bCs/>
                <w:color w:val="000000"/>
              </w:rPr>
            </w:pPr>
            <w:r w:rsidRPr="00155F80">
              <w:rPr>
                <w:rFonts w:ascii="Times New Roman" w:hAnsi="Times New Roman"/>
                <w:b/>
                <w:bCs/>
                <w:color w:val="000000"/>
              </w:rPr>
              <w:t>18+</w:t>
            </w:r>
          </w:p>
        </w:tc>
        <w:tc>
          <w:tcPr>
            <w:tcW w:w="1626"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b/>
                <w:bCs/>
                <w:color w:val="000000"/>
              </w:rPr>
            </w:pPr>
            <w:r w:rsidRPr="00155F80">
              <w:rPr>
                <w:rFonts w:ascii="Times New Roman" w:hAnsi="Times New Roman"/>
                <w:b/>
                <w:bCs/>
                <w:color w:val="000000"/>
              </w:rPr>
              <w:t>1</w:t>
            </w:r>
          </w:p>
        </w:tc>
        <w:tc>
          <w:tcPr>
            <w:tcW w:w="1599"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b/>
                <w:bCs/>
                <w:color w:val="000000"/>
              </w:rPr>
            </w:pPr>
            <w:r w:rsidRPr="00155F80">
              <w:rPr>
                <w:rFonts w:ascii="Times New Roman" w:hAnsi="Times New Roman"/>
                <w:b/>
                <w:bCs/>
                <w:color w:val="000000"/>
              </w:rPr>
              <w:t>5</w:t>
            </w:r>
          </w:p>
        </w:tc>
        <w:tc>
          <w:tcPr>
            <w:tcW w:w="1468"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b/>
                <w:bCs/>
                <w:color w:val="000000"/>
              </w:rPr>
            </w:pPr>
            <w:r w:rsidRPr="00155F80">
              <w:rPr>
                <w:rFonts w:ascii="Times New Roman" w:hAnsi="Times New Roman"/>
                <w:b/>
                <w:bCs/>
                <w:color w:val="000000"/>
              </w:rPr>
              <w:t>10</w:t>
            </w:r>
          </w:p>
        </w:tc>
      </w:tr>
      <w:tr w:rsidR="00A131AD" w:rsidRPr="00155F80" w:rsidTr="001911A6">
        <w:trPr>
          <w:trHeight w:val="266"/>
        </w:trPr>
        <w:tc>
          <w:tcPr>
            <w:tcW w:w="2197" w:type="dxa"/>
            <w:tcBorders>
              <w:top w:val="nil"/>
              <w:left w:val="single" w:sz="4" w:space="0" w:color="auto"/>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2010.</w:t>
            </w:r>
          </w:p>
        </w:tc>
        <w:tc>
          <w:tcPr>
            <w:tcW w:w="1862"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0,62</w:t>
            </w:r>
          </w:p>
        </w:tc>
        <w:tc>
          <w:tcPr>
            <w:tcW w:w="1626"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0,37</w:t>
            </w:r>
          </w:p>
        </w:tc>
        <w:tc>
          <w:tcPr>
            <w:tcW w:w="1599"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0,44</w:t>
            </w:r>
          </w:p>
        </w:tc>
        <w:tc>
          <w:tcPr>
            <w:tcW w:w="1468"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0,53</w:t>
            </w:r>
          </w:p>
        </w:tc>
      </w:tr>
      <w:tr w:rsidR="00A131AD" w:rsidRPr="00155F80" w:rsidTr="001911A6">
        <w:trPr>
          <w:trHeight w:val="266"/>
        </w:trPr>
        <w:tc>
          <w:tcPr>
            <w:tcW w:w="2197" w:type="dxa"/>
            <w:tcBorders>
              <w:top w:val="nil"/>
              <w:left w:val="single" w:sz="4" w:space="0" w:color="auto"/>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2011.</w:t>
            </w:r>
          </w:p>
        </w:tc>
        <w:tc>
          <w:tcPr>
            <w:tcW w:w="1862"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1,39</w:t>
            </w:r>
          </w:p>
        </w:tc>
        <w:tc>
          <w:tcPr>
            <w:tcW w:w="1626"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0,83</w:t>
            </w:r>
          </w:p>
        </w:tc>
        <w:tc>
          <w:tcPr>
            <w:tcW w:w="1599"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0,98</w:t>
            </w:r>
          </w:p>
        </w:tc>
        <w:tc>
          <w:tcPr>
            <w:tcW w:w="1468"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1,18</w:t>
            </w:r>
          </w:p>
        </w:tc>
      </w:tr>
      <w:tr w:rsidR="00A131AD" w:rsidRPr="00155F80" w:rsidTr="001911A6">
        <w:trPr>
          <w:trHeight w:val="266"/>
        </w:trPr>
        <w:tc>
          <w:tcPr>
            <w:tcW w:w="2197" w:type="dxa"/>
            <w:tcBorders>
              <w:top w:val="nil"/>
              <w:left w:val="single" w:sz="4" w:space="0" w:color="auto"/>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2012.</w:t>
            </w:r>
          </w:p>
        </w:tc>
        <w:tc>
          <w:tcPr>
            <w:tcW w:w="1862"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0,90</w:t>
            </w:r>
          </w:p>
        </w:tc>
        <w:tc>
          <w:tcPr>
            <w:tcW w:w="1626"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0,54</w:t>
            </w:r>
          </w:p>
        </w:tc>
        <w:tc>
          <w:tcPr>
            <w:tcW w:w="1599"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0,64</w:t>
            </w:r>
          </w:p>
        </w:tc>
        <w:tc>
          <w:tcPr>
            <w:tcW w:w="1468"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0,76</w:t>
            </w:r>
          </w:p>
        </w:tc>
      </w:tr>
      <w:tr w:rsidR="00A131AD" w:rsidRPr="00155F80" w:rsidTr="001911A6">
        <w:trPr>
          <w:trHeight w:val="266"/>
        </w:trPr>
        <w:tc>
          <w:tcPr>
            <w:tcW w:w="2197" w:type="dxa"/>
            <w:tcBorders>
              <w:top w:val="nil"/>
              <w:left w:val="single" w:sz="4" w:space="0" w:color="auto"/>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2013</w:t>
            </w:r>
          </w:p>
        </w:tc>
        <w:tc>
          <w:tcPr>
            <w:tcW w:w="1862"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0,46</w:t>
            </w:r>
          </w:p>
        </w:tc>
        <w:tc>
          <w:tcPr>
            <w:tcW w:w="1626"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0,27</w:t>
            </w:r>
          </w:p>
        </w:tc>
        <w:tc>
          <w:tcPr>
            <w:tcW w:w="1599"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0,32</w:t>
            </w:r>
          </w:p>
        </w:tc>
        <w:tc>
          <w:tcPr>
            <w:tcW w:w="1468"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0,39</w:t>
            </w:r>
          </w:p>
        </w:tc>
      </w:tr>
      <w:tr w:rsidR="00A131AD" w:rsidRPr="00155F80" w:rsidTr="001911A6">
        <w:trPr>
          <w:trHeight w:val="266"/>
        </w:trPr>
        <w:tc>
          <w:tcPr>
            <w:tcW w:w="2197" w:type="dxa"/>
            <w:tcBorders>
              <w:top w:val="nil"/>
              <w:left w:val="single" w:sz="4" w:space="0" w:color="auto"/>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2014</w:t>
            </w:r>
          </w:p>
        </w:tc>
        <w:tc>
          <w:tcPr>
            <w:tcW w:w="1862"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0,25</w:t>
            </w:r>
          </w:p>
        </w:tc>
        <w:tc>
          <w:tcPr>
            <w:tcW w:w="1626"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0,15</w:t>
            </w:r>
          </w:p>
        </w:tc>
        <w:tc>
          <w:tcPr>
            <w:tcW w:w="1599"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0,17</w:t>
            </w:r>
          </w:p>
        </w:tc>
        <w:tc>
          <w:tcPr>
            <w:tcW w:w="1468"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0,21</w:t>
            </w:r>
          </w:p>
        </w:tc>
      </w:tr>
      <w:tr w:rsidR="00A131AD" w:rsidRPr="00155F80" w:rsidTr="001911A6">
        <w:trPr>
          <w:trHeight w:val="266"/>
        </w:trPr>
        <w:tc>
          <w:tcPr>
            <w:tcW w:w="2197" w:type="dxa"/>
            <w:tcBorders>
              <w:top w:val="nil"/>
              <w:left w:val="single" w:sz="4" w:space="0" w:color="auto"/>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2015</w:t>
            </w:r>
          </w:p>
        </w:tc>
        <w:tc>
          <w:tcPr>
            <w:tcW w:w="1862"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w:t>
            </w:r>
          </w:p>
        </w:tc>
        <w:tc>
          <w:tcPr>
            <w:tcW w:w="1626"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w:t>
            </w:r>
          </w:p>
        </w:tc>
        <w:tc>
          <w:tcPr>
            <w:tcW w:w="1599"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w:t>
            </w:r>
          </w:p>
        </w:tc>
        <w:tc>
          <w:tcPr>
            <w:tcW w:w="1468" w:type="dxa"/>
            <w:tcBorders>
              <w:top w:val="nil"/>
              <w:left w:val="nil"/>
              <w:bottom w:val="single" w:sz="4" w:space="0" w:color="auto"/>
              <w:right w:val="single" w:sz="4" w:space="0" w:color="auto"/>
            </w:tcBorders>
            <w:shd w:val="clear" w:color="auto" w:fill="auto"/>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w:t>
            </w:r>
          </w:p>
        </w:tc>
      </w:tr>
      <w:tr w:rsidR="00A131AD" w:rsidRPr="00155F80" w:rsidTr="001911A6">
        <w:trPr>
          <w:trHeight w:val="266"/>
        </w:trPr>
        <w:tc>
          <w:tcPr>
            <w:tcW w:w="2197" w:type="dxa"/>
            <w:tcBorders>
              <w:top w:val="nil"/>
              <w:left w:val="single" w:sz="4" w:space="0" w:color="auto"/>
              <w:bottom w:val="single" w:sz="4" w:space="0" w:color="auto"/>
              <w:right w:val="single" w:sz="4" w:space="0" w:color="auto"/>
            </w:tcBorders>
            <w:shd w:val="clear" w:color="auto" w:fill="C0C0C0"/>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Sred.vrijednost</w:t>
            </w:r>
          </w:p>
        </w:tc>
        <w:tc>
          <w:tcPr>
            <w:tcW w:w="1862" w:type="dxa"/>
            <w:tcBorders>
              <w:top w:val="nil"/>
              <w:left w:val="nil"/>
              <w:bottom w:val="single" w:sz="4" w:space="0" w:color="auto"/>
              <w:right w:val="single" w:sz="4" w:space="0" w:color="auto"/>
            </w:tcBorders>
            <w:shd w:val="clear" w:color="auto" w:fill="C0C0C0"/>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0,72</w:t>
            </w:r>
          </w:p>
        </w:tc>
        <w:tc>
          <w:tcPr>
            <w:tcW w:w="1626" w:type="dxa"/>
            <w:tcBorders>
              <w:top w:val="nil"/>
              <w:left w:val="nil"/>
              <w:bottom w:val="single" w:sz="4" w:space="0" w:color="auto"/>
              <w:right w:val="single" w:sz="4" w:space="0" w:color="auto"/>
            </w:tcBorders>
            <w:shd w:val="clear" w:color="auto" w:fill="C0C0C0"/>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0,43</w:t>
            </w:r>
          </w:p>
        </w:tc>
        <w:tc>
          <w:tcPr>
            <w:tcW w:w="1599" w:type="dxa"/>
            <w:tcBorders>
              <w:top w:val="nil"/>
              <w:left w:val="nil"/>
              <w:bottom w:val="single" w:sz="4" w:space="0" w:color="auto"/>
              <w:right w:val="single" w:sz="4" w:space="0" w:color="auto"/>
            </w:tcBorders>
            <w:shd w:val="clear" w:color="auto" w:fill="C0C0C0"/>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0,51</w:t>
            </w:r>
          </w:p>
        </w:tc>
        <w:tc>
          <w:tcPr>
            <w:tcW w:w="1468" w:type="dxa"/>
            <w:tcBorders>
              <w:top w:val="nil"/>
              <w:left w:val="nil"/>
              <w:bottom w:val="single" w:sz="4" w:space="0" w:color="auto"/>
              <w:right w:val="single" w:sz="4" w:space="0" w:color="auto"/>
            </w:tcBorders>
            <w:shd w:val="clear" w:color="auto" w:fill="C0C0C0"/>
            <w:noWrap/>
            <w:vAlign w:val="bottom"/>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0,61</w:t>
            </w:r>
          </w:p>
        </w:tc>
      </w:tr>
    </w:tbl>
    <w:p w:rsidR="00A131AD" w:rsidRPr="00155F80" w:rsidRDefault="00A131AD" w:rsidP="000C0138">
      <w:pPr>
        <w:spacing w:line="276" w:lineRule="auto"/>
        <w:rPr>
          <w:rStyle w:val="Emphasis"/>
          <w:rFonts w:ascii="Times New Roman" w:hAnsi="Times New Roman"/>
          <w:i w:val="0"/>
          <w:color w:val="FF0000"/>
          <w:lang w:val="pl-PL"/>
        </w:rPr>
      </w:pPr>
      <w:r w:rsidRPr="00155F80">
        <w:rPr>
          <w:rFonts w:ascii="Times New Roman" w:hAnsi="Times New Roman"/>
          <w:bCs/>
          <w:color w:val="000000"/>
        </w:rPr>
        <w:t>* Nedostupni poda</w:t>
      </w:r>
      <w:r w:rsidR="0075437E">
        <w:rPr>
          <w:rFonts w:ascii="Times New Roman" w:hAnsi="Times New Roman"/>
          <w:bCs/>
          <w:color w:val="000000"/>
        </w:rPr>
        <w:t>t</w:t>
      </w:r>
      <w:r w:rsidRPr="00155F80">
        <w:rPr>
          <w:rFonts w:ascii="Times New Roman" w:hAnsi="Times New Roman"/>
          <w:bCs/>
          <w:color w:val="000000"/>
        </w:rPr>
        <w:t>ci</w:t>
      </w:r>
    </w:p>
    <w:p w:rsidR="003066C2" w:rsidRDefault="00A131AD" w:rsidP="00250204">
      <w:pPr>
        <w:pStyle w:val="TEKST"/>
      </w:pPr>
      <w:r w:rsidRPr="00155F80">
        <w:t>Plan monitoringa nije realiz</w:t>
      </w:r>
      <w:r w:rsidR="00AC46A7">
        <w:t>iran</w:t>
      </w:r>
      <w:r w:rsidRPr="00155F80">
        <w:t xml:space="preserve"> u potpunosti u 2014. i 2015. godini, zbog preseljavanja i adaptacije laboratorija za mjerenje radioaktivnosti. </w:t>
      </w:r>
    </w:p>
    <w:p w:rsidR="008F6458" w:rsidRPr="003066C2" w:rsidRDefault="00A131AD" w:rsidP="00250204">
      <w:pPr>
        <w:pStyle w:val="TEKST"/>
        <w:rPr>
          <w:i/>
        </w:rPr>
      </w:pPr>
      <w:r w:rsidRPr="003066C2">
        <w:t xml:space="preserve">Projekat mapiranja radionuklida u tlu u Kantonu </w:t>
      </w:r>
      <w:r w:rsidR="008F6458" w:rsidRPr="003066C2">
        <w:t>10</w:t>
      </w:r>
    </w:p>
    <w:p w:rsidR="00A131AD" w:rsidRPr="00155F80" w:rsidRDefault="00A131AD" w:rsidP="00250204">
      <w:pPr>
        <w:pStyle w:val="TEKST"/>
        <w:rPr>
          <w:i/>
        </w:rPr>
      </w:pPr>
      <w:r w:rsidRPr="00155F80">
        <w:lastRenderedPageBreak/>
        <w:t xml:space="preserve">U okviru saradnje sa Međunarodnom agencijom za atomsku energiju u </w:t>
      </w:r>
      <w:r w:rsidR="00AC46A7">
        <w:t>razdoblju</w:t>
      </w:r>
      <w:r w:rsidRPr="00155F80">
        <w:t xml:space="preserve"> 2012-2014 realiz</w:t>
      </w:r>
      <w:r w:rsidR="00AC46A7">
        <w:t>ira</w:t>
      </w:r>
      <w:r w:rsidRPr="00155F80">
        <w:t xml:space="preserve">n je projekat mapiranja radionuklida u tlu u Kantunu 10. </w:t>
      </w:r>
    </w:p>
    <w:p w:rsidR="00A131AD" w:rsidRPr="00155F80" w:rsidRDefault="00A131AD" w:rsidP="00250204">
      <w:pPr>
        <w:pStyle w:val="TEKST"/>
        <w:rPr>
          <w:i/>
        </w:rPr>
      </w:pPr>
      <w:r w:rsidRPr="00155F80">
        <w:t xml:space="preserve">Izmjerene vrijednosti aktivnosti za prirodne radionuklide iznose: 17 Bq/kg-255 Bq/kg za </w:t>
      </w:r>
      <w:r w:rsidRPr="00155F80">
        <w:rPr>
          <w:vertAlign w:val="superscript"/>
        </w:rPr>
        <w:t>238</w:t>
      </w:r>
      <w:r w:rsidRPr="00155F80">
        <w:t xml:space="preserve">U, 9 Bq/kg-134 Bq/kg za </w:t>
      </w:r>
      <w:r w:rsidRPr="00155F80">
        <w:rPr>
          <w:vertAlign w:val="superscript"/>
        </w:rPr>
        <w:t>226</w:t>
      </w:r>
      <w:r w:rsidRPr="00155F80">
        <w:t xml:space="preserve">Ra, 11 Bq/kg -103 Bq/kg za </w:t>
      </w:r>
      <w:r w:rsidRPr="00155F80">
        <w:rPr>
          <w:vertAlign w:val="superscript"/>
        </w:rPr>
        <w:t>232</w:t>
      </w:r>
      <w:r w:rsidRPr="00155F80">
        <w:t xml:space="preserve">Th i 120 Bq/kg -1237 Bq/kg za </w:t>
      </w:r>
      <w:r w:rsidRPr="00155F80">
        <w:rPr>
          <w:vertAlign w:val="superscript"/>
        </w:rPr>
        <w:t>40</w:t>
      </w:r>
      <w:r w:rsidRPr="00155F80">
        <w:t xml:space="preserve">K. Srednja vrijednost aktivnosti za prirodne radionuklide iznose: 96 Bq/kg za </w:t>
      </w:r>
      <w:r w:rsidRPr="00155F80">
        <w:rPr>
          <w:vertAlign w:val="superscript"/>
        </w:rPr>
        <w:t>238</w:t>
      </w:r>
      <w:r w:rsidRPr="00155F80">
        <w:t xml:space="preserve">U, 61 Bq/kg za </w:t>
      </w:r>
      <w:r w:rsidRPr="00155F80">
        <w:rPr>
          <w:vertAlign w:val="superscript"/>
        </w:rPr>
        <w:t>226</w:t>
      </w:r>
      <w:r w:rsidRPr="00155F80">
        <w:t xml:space="preserve">Ra, 50 Bq/kg za </w:t>
      </w:r>
      <w:r w:rsidRPr="00155F80">
        <w:rPr>
          <w:vertAlign w:val="superscript"/>
        </w:rPr>
        <w:t>232</w:t>
      </w:r>
      <w:r w:rsidRPr="00155F80">
        <w:t xml:space="preserve">Th i 328 Bq/kg za </w:t>
      </w:r>
      <w:r w:rsidRPr="00155F80">
        <w:rPr>
          <w:vertAlign w:val="superscript"/>
        </w:rPr>
        <w:t>40</w:t>
      </w:r>
      <w:r w:rsidRPr="00155F80">
        <w:t xml:space="preserve">K. Raspon izmjerenih vrijednosti aktivnosti za prirodne radionuklide je na </w:t>
      </w:r>
      <w:r w:rsidR="00AC46A7">
        <w:t>razini</w:t>
      </w:r>
      <w:r w:rsidRPr="00155F80">
        <w:t xml:space="preserve"> vrijednosti za regiju, a srednje vrijednosti aktivnosti su više za sve mjerene radionuklide, što pokazuje povećanu prirodnu radioaktivnost tla na ispitivanim lokacijama. Izmjerene vrijednosti u tlu za vještački radionuklid </w:t>
      </w:r>
      <w:r w:rsidRPr="00155F80">
        <w:rPr>
          <w:vertAlign w:val="superscript"/>
        </w:rPr>
        <w:t>137</w:t>
      </w:r>
      <w:r w:rsidRPr="00155F80">
        <w:t xml:space="preserve">Cs u tlu iznose 46 - 276 Bq/kg i na </w:t>
      </w:r>
      <w:r w:rsidR="00AC46A7">
        <w:t>razini</w:t>
      </w:r>
      <w:r w:rsidRPr="00155F80">
        <w:t xml:space="preserve"> su mjerenih vrijednosti za FBiH koje iznose od 6 Bq/kg do 250 Bq/kg. Koncentracija vještačkog </w:t>
      </w:r>
      <w:r w:rsidRPr="00155F80">
        <w:rPr>
          <w:vertAlign w:val="superscript"/>
        </w:rPr>
        <w:t>137</w:t>
      </w:r>
      <w:r w:rsidRPr="00155F80">
        <w:t>Cs, na tri lokaliteta, je viša od preporučene maksimalne vrijednosti kontaminacije (200 Bq/kg). Vrijednosti radij ekvivalenta (Ra</w:t>
      </w:r>
      <w:r w:rsidRPr="00155F80">
        <w:rPr>
          <w:vertAlign w:val="subscript"/>
        </w:rPr>
        <w:t>eq</w:t>
      </w:r>
      <w:r w:rsidRPr="00155F80">
        <w:t>) za ispitivane uzorke tla su niže od 370 Bq/kg, što označava zanemarljiv radijaci</w:t>
      </w:r>
      <w:r w:rsidR="00AC46A7">
        <w:t>jski</w:t>
      </w:r>
      <w:r w:rsidRPr="00155F80">
        <w:t xml:space="preserve"> rizik od izloženosti zračenju iz tla. Apsorb</w:t>
      </w:r>
      <w:r w:rsidR="00AC46A7">
        <w:t xml:space="preserve">irana </w:t>
      </w:r>
      <w:r w:rsidRPr="00155F80">
        <w:t>doza u zraku iznosi od 24 nGy/h do 128 nGy/h, srednja vrijednost 81 nGy/h, što je više (≈30%) od prosječne globalne vrijednosti koja iznosi 58 nGy/h. Efektivna doza iznosi od 0,030 mSv/g do 0,157 mSv/g, srednja vrijednost 0,100 mSv/g, što je više od prosječne globalne vrijednosti od 0,066 mSv/g.</w:t>
      </w:r>
    </w:p>
    <w:p w:rsidR="0059128D" w:rsidRDefault="00A131AD" w:rsidP="00250204">
      <w:pPr>
        <w:pStyle w:val="TEKST"/>
      </w:pPr>
      <w:r w:rsidRPr="0059128D">
        <w:t>Program ispitivanja radioaktivnosti podzemnih voda u Hadžićima</w:t>
      </w:r>
    </w:p>
    <w:p w:rsidR="003066C2" w:rsidRPr="0059128D" w:rsidRDefault="003066C2" w:rsidP="00250204">
      <w:pPr>
        <w:pStyle w:val="TEKST"/>
      </w:pPr>
    </w:p>
    <w:p w:rsidR="00A131AD" w:rsidRPr="00155F80" w:rsidRDefault="00A131AD" w:rsidP="000C0138">
      <w:pPr>
        <w:spacing w:line="276" w:lineRule="auto"/>
        <w:rPr>
          <w:rFonts w:ascii="Times New Roman" w:hAnsi="Times New Roman"/>
          <w:lang w:val="pl-PL"/>
        </w:rPr>
      </w:pPr>
      <w:r w:rsidRPr="00155F80">
        <w:rPr>
          <w:rFonts w:ascii="Times New Roman" w:hAnsi="Times New Roman"/>
          <w:lang w:val="pl-PL"/>
        </w:rPr>
        <w:t xml:space="preserve">Ispitivanja urana u vodama na području Hadžica </w:t>
      </w:r>
      <w:r w:rsidR="00AC46A7">
        <w:rPr>
          <w:rFonts w:ascii="Times New Roman" w:hAnsi="Times New Roman"/>
          <w:lang w:val="pl-PL"/>
        </w:rPr>
        <w:t>obavljana</w:t>
      </w:r>
      <w:r w:rsidRPr="00155F80">
        <w:rPr>
          <w:rFonts w:ascii="Times New Roman" w:hAnsi="Times New Roman"/>
          <w:lang w:val="pl-PL"/>
        </w:rPr>
        <w:t xml:space="preserve"> su u </w:t>
      </w:r>
      <w:r w:rsidR="00AC46A7">
        <w:rPr>
          <w:rFonts w:ascii="Times New Roman" w:hAnsi="Times New Roman"/>
          <w:lang w:val="pl-PL"/>
        </w:rPr>
        <w:t>razdoblju</w:t>
      </w:r>
      <w:r w:rsidRPr="00155F80">
        <w:rPr>
          <w:rFonts w:ascii="Times New Roman" w:hAnsi="Times New Roman"/>
          <w:lang w:val="pl-PL"/>
        </w:rPr>
        <w:t xml:space="preserve"> 2010</w:t>
      </w:r>
      <w:r w:rsidR="00EC077A">
        <w:rPr>
          <w:rFonts w:ascii="Times New Roman" w:hAnsi="Times New Roman"/>
          <w:lang w:val="pl-PL"/>
        </w:rPr>
        <w:t>.</w:t>
      </w:r>
      <w:r w:rsidRPr="00155F80">
        <w:rPr>
          <w:rFonts w:ascii="Times New Roman" w:hAnsi="Times New Roman"/>
          <w:lang w:val="pl-PL"/>
        </w:rPr>
        <w:t>-2011. godine u okviru istraživačkog projekta, finan</w:t>
      </w:r>
      <w:r w:rsidR="00AC46A7">
        <w:rPr>
          <w:rFonts w:ascii="Times New Roman" w:hAnsi="Times New Roman"/>
          <w:lang w:val="pl-PL"/>
        </w:rPr>
        <w:t>c</w:t>
      </w:r>
      <w:r w:rsidRPr="00155F80">
        <w:rPr>
          <w:rFonts w:ascii="Times New Roman" w:hAnsi="Times New Roman"/>
          <w:lang w:val="pl-PL"/>
        </w:rPr>
        <w:t xml:space="preserve">iranog od Federalnog ministarstva </w:t>
      </w:r>
      <w:r w:rsidR="00AC46A7">
        <w:rPr>
          <w:rFonts w:ascii="Times New Roman" w:hAnsi="Times New Roman"/>
          <w:lang w:val="pl-PL"/>
        </w:rPr>
        <w:t>znanosti</w:t>
      </w:r>
      <w:r w:rsidRPr="00155F80">
        <w:rPr>
          <w:rFonts w:ascii="Times New Roman" w:hAnsi="Times New Roman"/>
          <w:lang w:val="pl-PL"/>
        </w:rPr>
        <w:t xml:space="preserve"> i obrazovanja. </w:t>
      </w:r>
    </w:p>
    <w:p w:rsidR="00A131AD" w:rsidRDefault="00A131AD" w:rsidP="000C0138">
      <w:pPr>
        <w:spacing w:line="276" w:lineRule="auto"/>
        <w:rPr>
          <w:rFonts w:ascii="Times New Roman" w:hAnsi="Times New Roman"/>
          <w:lang w:val="pl-PL"/>
        </w:rPr>
      </w:pPr>
      <w:r w:rsidRPr="00155F80">
        <w:rPr>
          <w:rFonts w:ascii="Times New Roman" w:hAnsi="Times New Roman"/>
          <w:lang w:val="pl-PL"/>
        </w:rPr>
        <w:t>Ispitivanja podzemnih voda ukazuju na prirodan sadržaj urana i nije detekt</w:t>
      </w:r>
      <w:r w:rsidR="00A92ED0">
        <w:rPr>
          <w:rFonts w:ascii="Times New Roman" w:hAnsi="Times New Roman"/>
          <w:lang w:val="pl-PL"/>
        </w:rPr>
        <w:t>irana</w:t>
      </w:r>
      <w:r w:rsidRPr="00155F80">
        <w:rPr>
          <w:rFonts w:ascii="Times New Roman" w:hAnsi="Times New Roman"/>
          <w:lang w:val="pl-PL"/>
        </w:rPr>
        <w:t xml:space="preserve"> kontaminacija podzemnih voda osiromašenim uranom. Varijacije sadržaja urana na ispitivanom području posljedica su trošenja stijena i otapanja radioelemenata ovisno o geo</w:t>
      </w:r>
      <w:r w:rsidR="00A92ED0">
        <w:rPr>
          <w:rFonts w:ascii="Times New Roman" w:hAnsi="Times New Roman"/>
          <w:lang w:val="pl-PL"/>
        </w:rPr>
        <w:t>k</w:t>
      </w:r>
      <w:r w:rsidRPr="00155F80">
        <w:rPr>
          <w:rFonts w:ascii="Times New Roman" w:hAnsi="Times New Roman"/>
          <w:lang w:val="pl-PL"/>
        </w:rPr>
        <w:t>emijskim uvjetima sredine. Rezultati ispitivanja su prikazani u Tabli</w:t>
      </w:r>
      <w:r w:rsidR="00A92ED0">
        <w:rPr>
          <w:rFonts w:ascii="Times New Roman" w:hAnsi="Times New Roman"/>
          <w:lang w:val="pl-PL"/>
        </w:rPr>
        <w:t>ci</w:t>
      </w:r>
      <w:r w:rsidRPr="00155F80">
        <w:rPr>
          <w:rFonts w:ascii="Times New Roman" w:hAnsi="Times New Roman"/>
          <w:lang w:val="pl-PL"/>
        </w:rPr>
        <w:t xml:space="preserve"> 20.</w:t>
      </w:r>
    </w:p>
    <w:p w:rsidR="002C323A" w:rsidRDefault="002C323A" w:rsidP="000C0138">
      <w:pPr>
        <w:spacing w:line="276" w:lineRule="auto"/>
        <w:rPr>
          <w:rFonts w:ascii="Times New Roman" w:hAnsi="Times New Roman"/>
          <w:lang w:val="pl-PL"/>
        </w:rPr>
      </w:pPr>
    </w:p>
    <w:p w:rsidR="00A131AD" w:rsidRPr="00155F80" w:rsidRDefault="00A131AD" w:rsidP="00B37E7E">
      <w:pPr>
        <w:pStyle w:val="refererere"/>
        <w:rPr>
          <w:rStyle w:val="Emphasis"/>
          <w:bCs/>
          <w:i w:val="0"/>
          <w:iCs w:val="0"/>
        </w:rPr>
      </w:pPr>
      <w:r w:rsidRPr="00155F80">
        <w:rPr>
          <w:rStyle w:val="Emphasis"/>
          <w:i w:val="0"/>
          <w:lang w:val="pl-PL"/>
        </w:rPr>
        <w:t>Tabl</w:t>
      </w:r>
      <w:r w:rsidR="00A92ED0">
        <w:rPr>
          <w:rStyle w:val="Emphasis"/>
          <w:i w:val="0"/>
          <w:lang w:val="pl-PL"/>
        </w:rPr>
        <w:t>ic</w:t>
      </w:r>
      <w:r w:rsidRPr="00155F80">
        <w:rPr>
          <w:rStyle w:val="Emphasis"/>
          <w:i w:val="0"/>
          <w:lang w:val="pl-PL"/>
        </w:rPr>
        <w:t xml:space="preserve">a 20: </w:t>
      </w:r>
      <w:r w:rsidRPr="00155F80">
        <w:t>Sumarni prikaz rezultata alfa spektrometrijske analize urana u ispitivanim uzorcima vode</w:t>
      </w:r>
    </w:p>
    <w:tbl>
      <w:tblPr>
        <w:tblW w:w="8851" w:type="dxa"/>
        <w:tblInd w:w="93" w:type="dxa"/>
        <w:tblLook w:val="0000" w:firstRow="0" w:lastRow="0" w:firstColumn="0" w:lastColumn="0" w:noHBand="0" w:noVBand="0"/>
      </w:tblPr>
      <w:tblGrid>
        <w:gridCol w:w="1750"/>
        <w:gridCol w:w="1183"/>
        <w:gridCol w:w="1184"/>
        <w:gridCol w:w="1183"/>
        <w:gridCol w:w="1184"/>
        <w:gridCol w:w="1183"/>
        <w:gridCol w:w="1184"/>
      </w:tblGrid>
      <w:tr w:rsidR="00A131AD" w:rsidRPr="00155F80" w:rsidTr="003066C2">
        <w:trPr>
          <w:trHeight w:val="304"/>
        </w:trPr>
        <w:tc>
          <w:tcPr>
            <w:tcW w:w="1750" w:type="dxa"/>
            <w:vMerge w:val="restart"/>
            <w:tcBorders>
              <w:top w:val="single" w:sz="8" w:space="0" w:color="auto"/>
              <w:left w:val="single" w:sz="8" w:space="0" w:color="auto"/>
              <w:bottom w:val="single" w:sz="8" w:space="0" w:color="000000"/>
              <w:right w:val="single" w:sz="8" w:space="0" w:color="auto"/>
            </w:tcBorders>
            <w:shd w:val="clear" w:color="auto" w:fill="E7E6E6" w:themeFill="background2"/>
            <w:vAlign w:val="center"/>
          </w:tcPr>
          <w:p w:rsidR="00A131AD" w:rsidRPr="003066C2" w:rsidRDefault="00A131AD" w:rsidP="000C0138">
            <w:pPr>
              <w:spacing w:line="276" w:lineRule="auto"/>
              <w:jc w:val="center"/>
              <w:rPr>
                <w:rFonts w:ascii="Times New Roman" w:hAnsi="Times New Roman"/>
                <w:b/>
                <w:bCs/>
                <w:color w:val="000000"/>
              </w:rPr>
            </w:pPr>
            <w:r w:rsidRPr="003066C2">
              <w:rPr>
                <w:rFonts w:ascii="Times New Roman" w:hAnsi="Times New Roman"/>
                <w:b/>
                <w:bCs/>
                <w:color w:val="000000"/>
              </w:rPr>
              <w:t>Vrsta uzorka</w:t>
            </w:r>
          </w:p>
        </w:tc>
        <w:tc>
          <w:tcPr>
            <w:tcW w:w="2367" w:type="dxa"/>
            <w:gridSpan w:val="2"/>
            <w:tcBorders>
              <w:top w:val="single" w:sz="8" w:space="0" w:color="auto"/>
              <w:left w:val="nil"/>
              <w:bottom w:val="single" w:sz="8" w:space="0" w:color="auto"/>
              <w:right w:val="single" w:sz="8" w:space="0" w:color="000000"/>
            </w:tcBorders>
            <w:shd w:val="clear" w:color="auto" w:fill="E7E6E6" w:themeFill="background2"/>
            <w:vAlign w:val="center"/>
          </w:tcPr>
          <w:p w:rsidR="00A131AD" w:rsidRPr="003066C2" w:rsidRDefault="00A131AD" w:rsidP="000C0138">
            <w:pPr>
              <w:spacing w:line="276" w:lineRule="auto"/>
              <w:jc w:val="center"/>
              <w:rPr>
                <w:rFonts w:ascii="Times New Roman" w:hAnsi="Times New Roman"/>
                <w:b/>
                <w:bCs/>
                <w:color w:val="000000"/>
              </w:rPr>
            </w:pPr>
            <w:r w:rsidRPr="003066C2">
              <w:rPr>
                <w:rFonts w:ascii="Times New Roman" w:hAnsi="Times New Roman"/>
                <w:b/>
                <w:bCs/>
                <w:color w:val="000000"/>
                <w:vertAlign w:val="superscript"/>
              </w:rPr>
              <w:t>238</w:t>
            </w:r>
            <w:r w:rsidRPr="003066C2">
              <w:rPr>
                <w:rFonts w:ascii="Times New Roman" w:hAnsi="Times New Roman"/>
                <w:b/>
                <w:bCs/>
                <w:color w:val="000000"/>
              </w:rPr>
              <w:t>U</w:t>
            </w:r>
          </w:p>
        </w:tc>
        <w:tc>
          <w:tcPr>
            <w:tcW w:w="2367" w:type="dxa"/>
            <w:gridSpan w:val="2"/>
            <w:tcBorders>
              <w:top w:val="single" w:sz="8" w:space="0" w:color="auto"/>
              <w:left w:val="nil"/>
              <w:bottom w:val="single" w:sz="8" w:space="0" w:color="auto"/>
              <w:right w:val="single" w:sz="8" w:space="0" w:color="000000"/>
            </w:tcBorders>
            <w:shd w:val="clear" w:color="auto" w:fill="E7E6E6" w:themeFill="background2"/>
            <w:vAlign w:val="center"/>
          </w:tcPr>
          <w:p w:rsidR="00A131AD" w:rsidRPr="003066C2" w:rsidRDefault="00A131AD" w:rsidP="000C0138">
            <w:pPr>
              <w:spacing w:line="276" w:lineRule="auto"/>
              <w:jc w:val="center"/>
              <w:rPr>
                <w:rFonts w:ascii="Times New Roman" w:hAnsi="Times New Roman"/>
                <w:b/>
                <w:bCs/>
                <w:color w:val="000000"/>
              </w:rPr>
            </w:pPr>
            <w:r w:rsidRPr="003066C2">
              <w:rPr>
                <w:rFonts w:ascii="Times New Roman" w:hAnsi="Times New Roman"/>
                <w:b/>
                <w:bCs/>
                <w:color w:val="000000"/>
                <w:vertAlign w:val="superscript"/>
              </w:rPr>
              <w:t>234</w:t>
            </w:r>
            <w:r w:rsidRPr="003066C2">
              <w:rPr>
                <w:rFonts w:ascii="Times New Roman" w:hAnsi="Times New Roman"/>
                <w:b/>
                <w:bCs/>
                <w:color w:val="000000"/>
              </w:rPr>
              <w:t>U</w:t>
            </w:r>
          </w:p>
        </w:tc>
        <w:tc>
          <w:tcPr>
            <w:tcW w:w="2367" w:type="dxa"/>
            <w:gridSpan w:val="2"/>
            <w:tcBorders>
              <w:top w:val="single" w:sz="8" w:space="0" w:color="auto"/>
              <w:left w:val="nil"/>
              <w:bottom w:val="single" w:sz="8" w:space="0" w:color="auto"/>
              <w:right w:val="single" w:sz="8" w:space="0" w:color="000000"/>
            </w:tcBorders>
            <w:shd w:val="clear" w:color="auto" w:fill="E7E6E6" w:themeFill="background2"/>
            <w:vAlign w:val="center"/>
          </w:tcPr>
          <w:p w:rsidR="00A131AD" w:rsidRPr="003066C2" w:rsidRDefault="00A131AD" w:rsidP="000C0138">
            <w:pPr>
              <w:spacing w:line="276" w:lineRule="auto"/>
              <w:jc w:val="center"/>
              <w:rPr>
                <w:rFonts w:ascii="Times New Roman" w:hAnsi="Times New Roman"/>
                <w:b/>
                <w:bCs/>
                <w:color w:val="000000"/>
              </w:rPr>
            </w:pPr>
            <w:r w:rsidRPr="003066C2">
              <w:rPr>
                <w:rFonts w:ascii="Times New Roman" w:hAnsi="Times New Roman"/>
                <w:b/>
                <w:bCs/>
                <w:color w:val="000000"/>
              </w:rPr>
              <w:t>U</w:t>
            </w:r>
            <w:r w:rsidRPr="003066C2">
              <w:rPr>
                <w:rFonts w:ascii="Times New Roman" w:hAnsi="Times New Roman"/>
                <w:b/>
                <w:bCs/>
                <w:color w:val="000000"/>
                <w:vertAlign w:val="subscript"/>
              </w:rPr>
              <w:t>total</w:t>
            </w:r>
          </w:p>
        </w:tc>
      </w:tr>
      <w:tr w:rsidR="00A131AD" w:rsidRPr="00155F80" w:rsidTr="003066C2">
        <w:trPr>
          <w:trHeight w:val="278"/>
        </w:trPr>
        <w:tc>
          <w:tcPr>
            <w:tcW w:w="1750" w:type="dxa"/>
            <w:vMerge/>
            <w:tcBorders>
              <w:top w:val="single" w:sz="8" w:space="0" w:color="auto"/>
              <w:left w:val="single" w:sz="8" w:space="0" w:color="auto"/>
              <w:bottom w:val="single" w:sz="8" w:space="0" w:color="000000"/>
              <w:right w:val="single" w:sz="8" w:space="0" w:color="auto"/>
            </w:tcBorders>
            <w:shd w:val="clear" w:color="auto" w:fill="E7E6E6" w:themeFill="background2"/>
            <w:vAlign w:val="center"/>
          </w:tcPr>
          <w:p w:rsidR="00A131AD" w:rsidRPr="003066C2" w:rsidRDefault="00A131AD" w:rsidP="000C0138">
            <w:pPr>
              <w:spacing w:line="276" w:lineRule="auto"/>
              <w:rPr>
                <w:rFonts w:ascii="Times New Roman" w:hAnsi="Times New Roman"/>
                <w:b/>
                <w:bCs/>
                <w:color w:val="000000"/>
              </w:rPr>
            </w:pPr>
          </w:p>
        </w:tc>
        <w:tc>
          <w:tcPr>
            <w:tcW w:w="2367" w:type="dxa"/>
            <w:gridSpan w:val="2"/>
            <w:tcBorders>
              <w:top w:val="single" w:sz="8" w:space="0" w:color="auto"/>
              <w:left w:val="nil"/>
              <w:bottom w:val="single" w:sz="8" w:space="0" w:color="auto"/>
              <w:right w:val="single" w:sz="8" w:space="0" w:color="000000"/>
            </w:tcBorders>
            <w:shd w:val="clear" w:color="auto" w:fill="E7E6E6" w:themeFill="background2"/>
            <w:vAlign w:val="center"/>
          </w:tcPr>
          <w:p w:rsidR="00A131AD" w:rsidRPr="003066C2" w:rsidRDefault="00A131AD" w:rsidP="000C0138">
            <w:pPr>
              <w:spacing w:line="276" w:lineRule="auto"/>
              <w:jc w:val="center"/>
              <w:rPr>
                <w:rFonts w:ascii="Times New Roman" w:hAnsi="Times New Roman"/>
                <w:b/>
                <w:bCs/>
                <w:color w:val="000000"/>
              </w:rPr>
            </w:pPr>
            <w:r w:rsidRPr="003066C2">
              <w:rPr>
                <w:rFonts w:ascii="Times New Roman" w:hAnsi="Times New Roman"/>
                <w:b/>
                <w:bCs/>
                <w:color w:val="000000"/>
              </w:rPr>
              <w:t>mBq/L</w:t>
            </w:r>
          </w:p>
        </w:tc>
        <w:tc>
          <w:tcPr>
            <w:tcW w:w="2367" w:type="dxa"/>
            <w:gridSpan w:val="2"/>
            <w:tcBorders>
              <w:top w:val="single" w:sz="8" w:space="0" w:color="auto"/>
              <w:left w:val="nil"/>
              <w:bottom w:val="single" w:sz="8" w:space="0" w:color="auto"/>
              <w:right w:val="single" w:sz="8" w:space="0" w:color="000000"/>
            </w:tcBorders>
            <w:shd w:val="clear" w:color="auto" w:fill="E7E6E6" w:themeFill="background2"/>
            <w:vAlign w:val="center"/>
          </w:tcPr>
          <w:p w:rsidR="00A131AD" w:rsidRPr="003066C2" w:rsidRDefault="00A131AD" w:rsidP="000C0138">
            <w:pPr>
              <w:spacing w:line="276" w:lineRule="auto"/>
              <w:jc w:val="center"/>
              <w:rPr>
                <w:rFonts w:ascii="Times New Roman" w:hAnsi="Times New Roman"/>
                <w:b/>
                <w:bCs/>
                <w:color w:val="000000"/>
              </w:rPr>
            </w:pPr>
            <w:r w:rsidRPr="003066C2">
              <w:rPr>
                <w:rFonts w:ascii="Times New Roman" w:hAnsi="Times New Roman"/>
                <w:b/>
                <w:bCs/>
                <w:color w:val="000000"/>
              </w:rPr>
              <w:t>mBq/L</w:t>
            </w:r>
          </w:p>
        </w:tc>
        <w:tc>
          <w:tcPr>
            <w:tcW w:w="2367" w:type="dxa"/>
            <w:gridSpan w:val="2"/>
            <w:tcBorders>
              <w:top w:val="single" w:sz="8" w:space="0" w:color="auto"/>
              <w:left w:val="nil"/>
              <w:bottom w:val="single" w:sz="8" w:space="0" w:color="auto"/>
              <w:right w:val="single" w:sz="8" w:space="0" w:color="000000"/>
            </w:tcBorders>
            <w:shd w:val="clear" w:color="auto" w:fill="E7E6E6" w:themeFill="background2"/>
            <w:vAlign w:val="center"/>
          </w:tcPr>
          <w:p w:rsidR="00A131AD" w:rsidRPr="003066C2" w:rsidRDefault="00A131AD" w:rsidP="000C0138">
            <w:pPr>
              <w:spacing w:line="276" w:lineRule="auto"/>
              <w:jc w:val="center"/>
              <w:rPr>
                <w:rFonts w:ascii="Times New Roman" w:hAnsi="Times New Roman"/>
                <w:b/>
                <w:bCs/>
                <w:color w:val="000000"/>
              </w:rPr>
            </w:pPr>
            <w:r w:rsidRPr="003066C2">
              <w:rPr>
                <w:rFonts w:ascii="Times New Roman" w:hAnsi="Times New Roman"/>
                <w:b/>
                <w:bCs/>
                <w:color w:val="000000"/>
              </w:rPr>
              <w:t>µg/L</w:t>
            </w:r>
          </w:p>
        </w:tc>
      </w:tr>
      <w:tr w:rsidR="00A131AD" w:rsidRPr="00155F80" w:rsidTr="003066C2">
        <w:trPr>
          <w:trHeight w:val="278"/>
        </w:trPr>
        <w:tc>
          <w:tcPr>
            <w:tcW w:w="1750" w:type="dxa"/>
            <w:vMerge/>
            <w:tcBorders>
              <w:top w:val="single" w:sz="8" w:space="0" w:color="auto"/>
              <w:left w:val="single" w:sz="8" w:space="0" w:color="auto"/>
              <w:bottom w:val="single" w:sz="8" w:space="0" w:color="000000"/>
              <w:right w:val="single" w:sz="8" w:space="0" w:color="auto"/>
            </w:tcBorders>
            <w:shd w:val="clear" w:color="auto" w:fill="E7E6E6" w:themeFill="background2"/>
            <w:vAlign w:val="center"/>
          </w:tcPr>
          <w:p w:rsidR="00A131AD" w:rsidRPr="003066C2" w:rsidRDefault="00A131AD" w:rsidP="000C0138">
            <w:pPr>
              <w:spacing w:line="276" w:lineRule="auto"/>
              <w:rPr>
                <w:rFonts w:ascii="Times New Roman" w:hAnsi="Times New Roman"/>
                <w:b/>
                <w:bCs/>
                <w:color w:val="000000"/>
              </w:rPr>
            </w:pPr>
          </w:p>
        </w:tc>
        <w:tc>
          <w:tcPr>
            <w:tcW w:w="1183" w:type="dxa"/>
            <w:tcBorders>
              <w:top w:val="nil"/>
              <w:left w:val="nil"/>
              <w:bottom w:val="single" w:sz="8" w:space="0" w:color="auto"/>
              <w:right w:val="single" w:sz="8" w:space="0" w:color="auto"/>
            </w:tcBorders>
            <w:shd w:val="clear" w:color="auto" w:fill="E7E6E6" w:themeFill="background2"/>
            <w:vAlign w:val="center"/>
          </w:tcPr>
          <w:p w:rsidR="00A131AD" w:rsidRPr="003066C2" w:rsidRDefault="00A131AD" w:rsidP="000C0138">
            <w:pPr>
              <w:spacing w:line="276" w:lineRule="auto"/>
              <w:jc w:val="center"/>
              <w:rPr>
                <w:rFonts w:ascii="Times New Roman" w:hAnsi="Times New Roman"/>
                <w:b/>
                <w:color w:val="000000"/>
              </w:rPr>
            </w:pPr>
            <w:r w:rsidRPr="003066C2">
              <w:rPr>
                <w:rFonts w:ascii="Times New Roman" w:hAnsi="Times New Roman"/>
                <w:b/>
                <w:color w:val="000000"/>
              </w:rPr>
              <w:t>min</w:t>
            </w:r>
          </w:p>
        </w:tc>
        <w:tc>
          <w:tcPr>
            <w:tcW w:w="1183" w:type="dxa"/>
            <w:tcBorders>
              <w:top w:val="nil"/>
              <w:left w:val="nil"/>
              <w:bottom w:val="single" w:sz="8" w:space="0" w:color="auto"/>
              <w:right w:val="single" w:sz="8" w:space="0" w:color="auto"/>
            </w:tcBorders>
            <w:shd w:val="clear" w:color="auto" w:fill="E7E6E6" w:themeFill="background2"/>
            <w:vAlign w:val="center"/>
          </w:tcPr>
          <w:p w:rsidR="00A131AD" w:rsidRPr="003066C2" w:rsidRDefault="00A131AD" w:rsidP="000C0138">
            <w:pPr>
              <w:spacing w:line="276" w:lineRule="auto"/>
              <w:jc w:val="center"/>
              <w:rPr>
                <w:rFonts w:ascii="Times New Roman" w:hAnsi="Times New Roman"/>
                <w:b/>
                <w:color w:val="000000"/>
              </w:rPr>
            </w:pPr>
            <w:r w:rsidRPr="003066C2">
              <w:rPr>
                <w:rFonts w:ascii="Times New Roman" w:hAnsi="Times New Roman"/>
                <w:b/>
                <w:color w:val="000000"/>
              </w:rPr>
              <w:t>max</w:t>
            </w:r>
          </w:p>
        </w:tc>
        <w:tc>
          <w:tcPr>
            <w:tcW w:w="1183" w:type="dxa"/>
            <w:tcBorders>
              <w:top w:val="nil"/>
              <w:left w:val="nil"/>
              <w:bottom w:val="single" w:sz="8" w:space="0" w:color="auto"/>
              <w:right w:val="single" w:sz="8" w:space="0" w:color="auto"/>
            </w:tcBorders>
            <w:shd w:val="clear" w:color="auto" w:fill="E7E6E6" w:themeFill="background2"/>
            <w:vAlign w:val="center"/>
          </w:tcPr>
          <w:p w:rsidR="00A131AD" w:rsidRPr="003066C2" w:rsidRDefault="00A131AD" w:rsidP="000C0138">
            <w:pPr>
              <w:spacing w:line="276" w:lineRule="auto"/>
              <w:jc w:val="center"/>
              <w:rPr>
                <w:rFonts w:ascii="Times New Roman" w:hAnsi="Times New Roman"/>
                <w:b/>
                <w:color w:val="000000"/>
              </w:rPr>
            </w:pPr>
            <w:r w:rsidRPr="003066C2">
              <w:rPr>
                <w:rFonts w:ascii="Times New Roman" w:hAnsi="Times New Roman"/>
                <w:b/>
                <w:color w:val="000000"/>
              </w:rPr>
              <w:t>min</w:t>
            </w:r>
          </w:p>
        </w:tc>
        <w:tc>
          <w:tcPr>
            <w:tcW w:w="1183" w:type="dxa"/>
            <w:tcBorders>
              <w:top w:val="nil"/>
              <w:left w:val="nil"/>
              <w:bottom w:val="single" w:sz="8" w:space="0" w:color="auto"/>
              <w:right w:val="single" w:sz="8" w:space="0" w:color="auto"/>
            </w:tcBorders>
            <w:shd w:val="clear" w:color="auto" w:fill="E7E6E6" w:themeFill="background2"/>
            <w:vAlign w:val="center"/>
          </w:tcPr>
          <w:p w:rsidR="00A131AD" w:rsidRPr="003066C2" w:rsidRDefault="00A131AD" w:rsidP="000C0138">
            <w:pPr>
              <w:spacing w:line="276" w:lineRule="auto"/>
              <w:jc w:val="center"/>
              <w:rPr>
                <w:rFonts w:ascii="Times New Roman" w:hAnsi="Times New Roman"/>
                <w:b/>
                <w:color w:val="000000"/>
              </w:rPr>
            </w:pPr>
            <w:r w:rsidRPr="003066C2">
              <w:rPr>
                <w:rFonts w:ascii="Times New Roman" w:hAnsi="Times New Roman"/>
                <w:b/>
                <w:color w:val="000000"/>
              </w:rPr>
              <w:t>max</w:t>
            </w:r>
          </w:p>
        </w:tc>
        <w:tc>
          <w:tcPr>
            <w:tcW w:w="1183" w:type="dxa"/>
            <w:tcBorders>
              <w:top w:val="nil"/>
              <w:left w:val="nil"/>
              <w:bottom w:val="single" w:sz="8" w:space="0" w:color="auto"/>
              <w:right w:val="single" w:sz="8" w:space="0" w:color="auto"/>
            </w:tcBorders>
            <w:shd w:val="clear" w:color="auto" w:fill="E7E6E6" w:themeFill="background2"/>
            <w:vAlign w:val="center"/>
          </w:tcPr>
          <w:p w:rsidR="00A131AD" w:rsidRPr="003066C2" w:rsidRDefault="00A131AD" w:rsidP="000C0138">
            <w:pPr>
              <w:spacing w:line="276" w:lineRule="auto"/>
              <w:jc w:val="center"/>
              <w:rPr>
                <w:rFonts w:ascii="Times New Roman" w:hAnsi="Times New Roman"/>
                <w:b/>
                <w:color w:val="000000"/>
              </w:rPr>
            </w:pPr>
            <w:r w:rsidRPr="003066C2">
              <w:rPr>
                <w:rFonts w:ascii="Times New Roman" w:hAnsi="Times New Roman"/>
                <w:b/>
                <w:color w:val="000000"/>
              </w:rPr>
              <w:t>min</w:t>
            </w:r>
          </w:p>
        </w:tc>
        <w:tc>
          <w:tcPr>
            <w:tcW w:w="1183" w:type="dxa"/>
            <w:tcBorders>
              <w:top w:val="nil"/>
              <w:left w:val="nil"/>
              <w:bottom w:val="single" w:sz="8" w:space="0" w:color="auto"/>
              <w:right w:val="single" w:sz="8" w:space="0" w:color="auto"/>
            </w:tcBorders>
            <w:shd w:val="clear" w:color="auto" w:fill="E7E6E6" w:themeFill="background2"/>
            <w:vAlign w:val="center"/>
          </w:tcPr>
          <w:p w:rsidR="00A131AD" w:rsidRPr="003066C2" w:rsidRDefault="00A131AD" w:rsidP="000C0138">
            <w:pPr>
              <w:spacing w:line="276" w:lineRule="auto"/>
              <w:jc w:val="center"/>
              <w:rPr>
                <w:rFonts w:ascii="Times New Roman" w:hAnsi="Times New Roman"/>
                <w:b/>
                <w:color w:val="000000"/>
              </w:rPr>
            </w:pPr>
            <w:r w:rsidRPr="003066C2">
              <w:rPr>
                <w:rFonts w:ascii="Times New Roman" w:hAnsi="Times New Roman"/>
                <w:b/>
                <w:color w:val="000000"/>
              </w:rPr>
              <w:t>max</w:t>
            </w:r>
          </w:p>
        </w:tc>
      </w:tr>
      <w:tr w:rsidR="00A131AD" w:rsidRPr="00155F80" w:rsidTr="003066C2">
        <w:trPr>
          <w:trHeight w:val="516"/>
        </w:trPr>
        <w:tc>
          <w:tcPr>
            <w:tcW w:w="1750" w:type="dxa"/>
            <w:tcBorders>
              <w:top w:val="nil"/>
              <w:left w:val="single" w:sz="8" w:space="0" w:color="auto"/>
              <w:bottom w:val="single" w:sz="8" w:space="0" w:color="auto"/>
              <w:right w:val="single" w:sz="8" w:space="0" w:color="auto"/>
            </w:tcBorders>
            <w:shd w:val="clear" w:color="auto" w:fill="E7E6E6" w:themeFill="background2"/>
            <w:vAlign w:val="center"/>
          </w:tcPr>
          <w:p w:rsidR="00A131AD" w:rsidRPr="00155F80" w:rsidRDefault="00A131AD" w:rsidP="000C0138">
            <w:pPr>
              <w:spacing w:line="276" w:lineRule="auto"/>
              <w:jc w:val="center"/>
              <w:rPr>
                <w:rFonts w:ascii="Times New Roman" w:hAnsi="Times New Roman"/>
                <w:b/>
                <w:bCs/>
                <w:color w:val="000000"/>
              </w:rPr>
            </w:pPr>
            <w:r w:rsidRPr="00155F80">
              <w:rPr>
                <w:rFonts w:ascii="Times New Roman" w:hAnsi="Times New Roman"/>
                <w:b/>
                <w:bCs/>
                <w:color w:val="000000"/>
              </w:rPr>
              <w:t>Podzemne vode</w:t>
            </w:r>
          </w:p>
        </w:tc>
        <w:tc>
          <w:tcPr>
            <w:tcW w:w="1183" w:type="dxa"/>
            <w:tcBorders>
              <w:top w:val="nil"/>
              <w:left w:val="nil"/>
              <w:bottom w:val="single" w:sz="8" w:space="0" w:color="auto"/>
              <w:right w:val="single" w:sz="8" w:space="0" w:color="auto"/>
            </w:tcBorders>
            <w:shd w:val="clear" w:color="auto" w:fill="auto"/>
            <w:vAlign w:val="center"/>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2,6</w:t>
            </w:r>
          </w:p>
        </w:tc>
        <w:tc>
          <w:tcPr>
            <w:tcW w:w="1183" w:type="dxa"/>
            <w:tcBorders>
              <w:top w:val="nil"/>
              <w:left w:val="nil"/>
              <w:bottom w:val="single" w:sz="8" w:space="0" w:color="auto"/>
              <w:right w:val="single" w:sz="8" w:space="0" w:color="auto"/>
            </w:tcBorders>
            <w:shd w:val="clear" w:color="auto" w:fill="auto"/>
            <w:vAlign w:val="center"/>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13,9</w:t>
            </w:r>
          </w:p>
        </w:tc>
        <w:tc>
          <w:tcPr>
            <w:tcW w:w="1183" w:type="dxa"/>
            <w:tcBorders>
              <w:top w:val="nil"/>
              <w:left w:val="nil"/>
              <w:bottom w:val="single" w:sz="8" w:space="0" w:color="auto"/>
              <w:right w:val="single" w:sz="8" w:space="0" w:color="auto"/>
            </w:tcBorders>
            <w:shd w:val="clear" w:color="auto" w:fill="auto"/>
            <w:vAlign w:val="center"/>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3,2</w:t>
            </w:r>
          </w:p>
        </w:tc>
        <w:tc>
          <w:tcPr>
            <w:tcW w:w="1183" w:type="dxa"/>
            <w:tcBorders>
              <w:top w:val="nil"/>
              <w:left w:val="nil"/>
              <w:bottom w:val="single" w:sz="8" w:space="0" w:color="auto"/>
              <w:right w:val="single" w:sz="8" w:space="0" w:color="auto"/>
            </w:tcBorders>
            <w:shd w:val="clear" w:color="auto" w:fill="auto"/>
            <w:vAlign w:val="center"/>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15,3</w:t>
            </w:r>
          </w:p>
        </w:tc>
        <w:tc>
          <w:tcPr>
            <w:tcW w:w="1183" w:type="dxa"/>
            <w:tcBorders>
              <w:top w:val="nil"/>
              <w:left w:val="nil"/>
              <w:bottom w:val="single" w:sz="8" w:space="0" w:color="auto"/>
              <w:right w:val="single" w:sz="8" w:space="0" w:color="auto"/>
            </w:tcBorders>
            <w:shd w:val="clear" w:color="auto" w:fill="auto"/>
            <w:vAlign w:val="center"/>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0,2</w:t>
            </w:r>
          </w:p>
        </w:tc>
        <w:tc>
          <w:tcPr>
            <w:tcW w:w="1183" w:type="dxa"/>
            <w:tcBorders>
              <w:top w:val="nil"/>
              <w:left w:val="nil"/>
              <w:bottom w:val="single" w:sz="8" w:space="0" w:color="auto"/>
              <w:right w:val="single" w:sz="8" w:space="0" w:color="auto"/>
            </w:tcBorders>
            <w:shd w:val="clear" w:color="auto" w:fill="auto"/>
            <w:vAlign w:val="center"/>
          </w:tcPr>
          <w:p w:rsidR="00A131AD" w:rsidRPr="00155F80" w:rsidRDefault="00A131AD" w:rsidP="000C0138">
            <w:pPr>
              <w:spacing w:line="276" w:lineRule="auto"/>
              <w:jc w:val="center"/>
              <w:rPr>
                <w:rFonts w:ascii="Times New Roman" w:hAnsi="Times New Roman"/>
                <w:color w:val="000000"/>
              </w:rPr>
            </w:pPr>
            <w:r w:rsidRPr="00155F80">
              <w:rPr>
                <w:rFonts w:ascii="Times New Roman" w:hAnsi="Times New Roman"/>
                <w:color w:val="000000"/>
              </w:rPr>
              <w:t>1,1</w:t>
            </w:r>
          </w:p>
        </w:tc>
      </w:tr>
    </w:tbl>
    <w:p w:rsidR="00A131AD" w:rsidRPr="00155F80" w:rsidRDefault="00A131AD" w:rsidP="000C0138">
      <w:pPr>
        <w:spacing w:line="276" w:lineRule="auto"/>
        <w:rPr>
          <w:rStyle w:val="Emphasis"/>
          <w:rFonts w:ascii="Times New Roman" w:hAnsi="Times New Roman"/>
          <w:i w:val="0"/>
          <w:color w:val="FF0000"/>
          <w:lang w:val="pl-PL"/>
        </w:rPr>
      </w:pPr>
    </w:p>
    <w:p w:rsidR="00A131AD" w:rsidRPr="00155F80" w:rsidRDefault="00A131AD" w:rsidP="000C0138">
      <w:pPr>
        <w:keepLines/>
        <w:spacing w:line="276" w:lineRule="auto"/>
        <w:rPr>
          <w:rFonts w:ascii="Times New Roman" w:hAnsi="Times New Roman"/>
          <w:b/>
          <w:bCs/>
          <w:iCs/>
          <w:lang w:val="bs-Latn-BA"/>
        </w:rPr>
      </w:pPr>
      <w:r w:rsidRPr="00155F80">
        <w:rPr>
          <w:rFonts w:ascii="Times New Roman" w:hAnsi="Times New Roman"/>
          <w:b/>
          <w:bCs/>
          <w:iCs/>
          <w:lang w:val="bs-Latn-BA"/>
        </w:rPr>
        <w:t xml:space="preserve">Zdravstvena ispravnost hrane i vode za piće namijenjene konzumaciji ljudi-parametar </w:t>
      </w:r>
    </w:p>
    <w:p w:rsidR="00A131AD" w:rsidRPr="00155F80" w:rsidRDefault="00A131AD" w:rsidP="000C0138">
      <w:pPr>
        <w:keepLines/>
        <w:spacing w:line="276" w:lineRule="auto"/>
        <w:rPr>
          <w:rFonts w:ascii="Times New Roman" w:hAnsi="Times New Roman"/>
          <w:b/>
          <w:bCs/>
          <w:iCs/>
          <w:lang w:val="bs-Latn-BA"/>
        </w:rPr>
      </w:pPr>
      <w:r w:rsidRPr="00155F80">
        <w:rPr>
          <w:rFonts w:ascii="Times New Roman" w:hAnsi="Times New Roman"/>
          <w:b/>
          <w:bCs/>
          <w:iCs/>
          <w:lang w:val="bs-Latn-BA"/>
        </w:rPr>
        <w:t>radioaktivnost</w:t>
      </w:r>
    </w:p>
    <w:p w:rsidR="00A131AD" w:rsidRPr="00155F80" w:rsidRDefault="00A131AD" w:rsidP="00250204">
      <w:pPr>
        <w:pStyle w:val="TEKST"/>
        <w:rPr>
          <w:i/>
        </w:rPr>
      </w:pPr>
      <w:r w:rsidRPr="00155F80">
        <w:t xml:space="preserve">U </w:t>
      </w:r>
      <w:r w:rsidR="00A92ED0">
        <w:t>razdoblju</w:t>
      </w:r>
      <w:r w:rsidRPr="00155F80">
        <w:t xml:space="preserve"> od 2010. do 2015. godine, na </w:t>
      </w:r>
      <w:r w:rsidR="00A92ED0">
        <w:t>temelju</w:t>
      </w:r>
      <w:r w:rsidRPr="00155F80">
        <w:t xml:space="preserve"> dostupnih podataka, obavljeno je oko 5</w:t>
      </w:r>
      <w:r w:rsidR="00A92ED0">
        <w:t>.</w:t>
      </w:r>
      <w:r w:rsidRPr="00155F80">
        <w:t xml:space="preserve">000 analiza uzoraka </w:t>
      </w:r>
      <w:r w:rsidR="0059128D">
        <w:t>hrane na zdravstvenu ispravnost</w:t>
      </w:r>
      <w:r w:rsidRPr="00155F80">
        <w:t>– parametar radioaktivnost, i to u 90% slučajeva prema zahtjevu naruči</w:t>
      </w:r>
      <w:r w:rsidR="00A92ED0">
        <w:t>itelja</w:t>
      </w:r>
      <w:r w:rsidRPr="00155F80">
        <w:t xml:space="preserve"> u svrhu izvoza. Od ukupnog broja analiziranih uzoraka svega 0,30 % bilo je iznad maksimalno dozvoljene granične vrijednosti od 370 Bq/kg za mlijeko,</w:t>
      </w:r>
      <w:r w:rsidR="00A92ED0">
        <w:t xml:space="preserve"> </w:t>
      </w:r>
      <w:r w:rsidRPr="00155F80">
        <w:t xml:space="preserve">mliječne proizvode i dječju hranu, odnosno 600 Bq/kg za svu ostalu hranu (Sl. Gl. BIH 68/14). </w:t>
      </w:r>
    </w:p>
    <w:p w:rsidR="00A131AD" w:rsidRPr="00155F80" w:rsidRDefault="00A131AD" w:rsidP="00250204">
      <w:pPr>
        <w:pStyle w:val="TEKST"/>
        <w:rPr>
          <w:i/>
        </w:rPr>
      </w:pPr>
      <w:r w:rsidRPr="00155F80">
        <w:t xml:space="preserve">U istom </w:t>
      </w:r>
      <w:r w:rsidR="00A92ED0">
        <w:t>razdoblju</w:t>
      </w:r>
      <w:r w:rsidRPr="00155F80">
        <w:t xml:space="preserve"> urađeno je oko 400 analiza uzoraka vode na zdravstvenu ispravnost –parametar radioaktivnost (mjerenje ukupne alfa i ukupne beta aktivnosti) takođe</w:t>
      </w:r>
      <w:r w:rsidR="00A92ED0">
        <w:t>r</w:t>
      </w:r>
      <w:r w:rsidRPr="00155F80">
        <w:t xml:space="preserve"> prema zahtjevu naruči</w:t>
      </w:r>
      <w:r w:rsidR="00A92ED0">
        <w:t>telja</w:t>
      </w:r>
      <w:r w:rsidRPr="00155F80">
        <w:t>. Granična vrijednost ukupne alfa aktivnosti od 0,1 Bq/L (Sl. Gl. RS 75/15) odnosno 0,5 Bq/L (Sl. Gl. BIH 54/14; Sl. Gl. BiH 26/10 i 32/12 i Sl. Gl. BiH 40/10) je bila prekoračena u 4 analizirana uzorka, a izmjerene vrijednosti za ukupnu beta aktivnost su bile manje od granične vrijednosti 1 Bq/L (Sl. Gl. BIH 54/14; Sl. Gl. BiH 26/10 i 32/12 i Sl. Gl. BiH 40/10).</w:t>
      </w:r>
    </w:p>
    <w:bookmarkEnd w:id="330"/>
    <w:p w:rsidR="008F6458" w:rsidRPr="00155F80" w:rsidRDefault="00A131AD" w:rsidP="00250204">
      <w:pPr>
        <w:pStyle w:val="TEKST"/>
      </w:pPr>
      <w:r w:rsidRPr="00EC077A">
        <w:rPr>
          <w:rStyle w:val="Emphasis"/>
          <w:rFonts w:eastAsia="Calibri"/>
          <w:i w:val="0"/>
          <w:noProof w:val="0"/>
        </w:rPr>
        <w:lastRenderedPageBreak/>
        <w:t>Zavod za javno zdravstv</w:t>
      </w:r>
      <w:r w:rsidR="00A92ED0">
        <w:rPr>
          <w:rStyle w:val="Emphasis"/>
          <w:rFonts w:eastAsia="Calibri"/>
          <w:i w:val="0"/>
          <w:noProof w:val="0"/>
        </w:rPr>
        <w:t>o</w:t>
      </w:r>
      <w:r w:rsidRPr="00EC077A">
        <w:rPr>
          <w:rStyle w:val="Emphasis"/>
          <w:rFonts w:eastAsia="Calibri"/>
          <w:i w:val="0"/>
          <w:noProof w:val="0"/>
        </w:rPr>
        <w:t xml:space="preserve"> FBiH je jedina institucija u Bosni i Hercegovini koja je kadrovski i materijalno osposobljena za provođenje analize zdravstvene ispravnosti vode za piće-parametar radioaktivnost.</w:t>
      </w:r>
      <w:r w:rsidRPr="00155F80">
        <w:rPr>
          <w:rStyle w:val="Emphasis"/>
          <w:rFonts w:eastAsia="Calibri"/>
          <w:noProof w:val="0"/>
        </w:rPr>
        <w:t xml:space="preserve"> </w:t>
      </w:r>
      <w:r w:rsidRPr="00A92ED0">
        <w:rPr>
          <w:rStyle w:val="Emphasis"/>
          <w:rFonts w:eastAsia="Calibri"/>
          <w:i w:val="0"/>
          <w:noProof w:val="0"/>
        </w:rPr>
        <w:t>N</w:t>
      </w:r>
      <w:r w:rsidRPr="00155F80">
        <w:t xml:space="preserve">a </w:t>
      </w:r>
      <w:r w:rsidR="00A92ED0">
        <w:t>temelju</w:t>
      </w:r>
      <w:r w:rsidRPr="00155F80">
        <w:t xml:space="preserve"> podataka o veoma malom broju analiziranih uzoraka, može se zaključiti da nije uspostavljen s</w:t>
      </w:r>
      <w:r w:rsidR="00A92ED0">
        <w:t>ustav</w:t>
      </w:r>
      <w:r w:rsidRPr="00155F80">
        <w:t xml:space="preserve"> praćenja i kontrole zdravstvene ispravnosti vode za piće na području FBiH. Posebno treba istaći da nije izvršena analiza uzoraka iz nijedanog javnog vodoopskrbnog subjekta na zdravstvenu ispravnost vode za piće-parametar radioaktivnost </w:t>
      </w:r>
      <w:r w:rsidR="00A92ED0">
        <w:t>sukladno</w:t>
      </w:r>
      <w:r w:rsidRPr="00155F80">
        <w:t xml:space="preserve"> zakonskim i podzakonskim aktima koji reguli</w:t>
      </w:r>
      <w:r w:rsidR="00A92ED0">
        <w:t>raju</w:t>
      </w:r>
      <w:r w:rsidRPr="00155F80">
        <w:t xml:space="preserve"> ov</w:t>
      </w:r>
      <w:r w:rsidR="00A92ED0">
        <w:t>o</w:t>
      </w:r>
      <w:r w:rsidRPr="00155F80">
        <w:t xml:space="preserve"> </w:t>
      </w:r>
      <w:r w:rsidR="00A92ED0">
        <w:t>područje</w:t>
      </w:r>
      <w:r w:rsidRPr="00155F80">
        <w:t>.</w:t>
      </w:r>
    </w:p>
    <w:p w:rsidR="00A131AD" w:rsidRPr="00155F80" w:rsidRDefault="00A131AD" w:rsidP="000C0138">
      <w:pPr>
        <w:spacing w:line="276" w:lineRule="auto"/>
        <w:rPr>
          <w:rStyle w:val="Emphasis"/>
          <w:rFonts w:ascii="Times New Roman" w:hAnsi="Times New Roman"/>
          <w:b/>
          <w:i w:val="0"/>
          <w:lang w:val="pl-PL"/>
        </w:rPr>
      </w:pPr>
      <w:bookmarkStart w:id="331" w:name="_Toc370891655"/>
    </w:p>
    <w:p w:rsidR="00A131AD" w:rsidRDefault="008F6458" w:rsidP="0059581E">
      <w:pPr>
        <w:pStyle w:val="Poglavlje3"/>
      </w:pPr>
      <w:bookmarkStart w:id="332" w:name="_Toc456095932"/>
      <w:bookmarkEnd w:id="331"/>
      <w:r>
        <w:t xml:space="preserve">4.2.5 </w:t>
      </w:r>
      <w:r w:rsidR="00A131AD" w:rsidRPr="00155F80">
        <w:t>Higijenska ispravnost hrane</w:t>
      </w:r>
      <w:bookmarkEnd w:id="332"/>
      <w:r w:rsidR="00A131AD" w:rsidRPr="00155F80">
        <w:t xml:space="preserve"> </w:t>
      </w:r>
    </w:p>
    <w:p w:rsidR="008F6458" w:rsidRPr="008F6458" w:rsidRDefault="008F6458" w:rsidP="000C0138">
      <w:pPr>
        <w:spacing w:line="276" w:lineRule="auto"/>
      </w:pPr>
    </w:p>
    <w:p w:rsidR="00A131AD" w:rsidRPr="00155F80" w:rsidRDefault="00A131AD" w:rsidP="000C0138">
      <w:pPr>
        <w:spacing w:line="276" w:lineRule="auto"/>
        <w:rPr>
          <w:rFonts w:ascii="Times New Roman" w:hAnsi="Times New Roman"/>
        </w:rPr>
      </w:pPr>
      <w:r w:rsidRPr="00155F80">
        <w:rPr>
          <w:rFonts w:ascii="Times New Roman" w:hAnsi="Times New Roman"/>
        </w:rPr>
        <w:t xml:space="preserve">Svjetska zdravstvena organizacija procjenjuje da je nesigurna odnosno zdravstveno neispravna hrana  povezana s godišnjim umiranjem oko 2 miliona ljudi i odgovorna za više od 200 različitih oboljenja. </w:t>
      </w:r>
      <w:r w:rsidR="00550EF6">
        <w:rPr>
          <w:rFonts w:ascii="Times New Roman" w:hAnsi="Times New Roman"/>
        </w:rPr>
        <w:t>Istodobno</w:t>
      </w:r>
      <w:r w:rsidRPr="00155F80">
        <w:rPr>
          <w:rFonts w:ascii="Times New Roman" w:hAnsi="Times New Roman"/>
        </w:rPr>
        <w:t>, dešavaju se promjene u proizvodnji, distribuciji i potrošnji hrane, promjene u okolišu, javljaju se novi patogeni agensi, suočavamo se s problemom antimikrobne rezistencije, a sve to pred s</w:t>
      </w:r>
      <w:r w:rsidR="00550EF6">
        <w:rPr>
          <w:rFonts w:ascii="Times New Roman" w:hAnsi="Times New Roman"/>
        </w:rPr>
        <w:t>ustav</w:t>
      </w:r>
      <w:r w:rsidRPr="00155F80">
        <w:rPr>
          <w:rFonts w:ascii="Times New Roman" w:hAnsi="Times New Roman"/>
        </w:rPr>
        <w:t xml:space="preserve"> sigurnosti hrane, postavlja nove izazove.</w:t>
      </w:r>
    </w:p>
    <w:p w:rsidR="00A131AD" w:rsidRPr="00155F80" w:rsidRDefault="00A131AD" w:rsidP="000C0138">
      <w:pPr>
        <w:spacing w:line="276" w:lineRule="auto"/>
        <w:rPr>
          <w:rFonts w:ascii="Times New Roman" w:hAnsi="Times New Roman"/>
          <w:lang w:val="hr-HR"/>
        </w:rPr>
      </w:pPr>
    </w:p>
    <w:p w:rsidR="00A131AD" w:rsidRPr="00155F80" w:rsidRDefault="00A131AD" w:rsidP="000C0138">
      <w:pPr>
        <w:spacing w:line="276" w:lineRule="auto"/>
        <w:rPr>
          <w:rFonts w:ascii="Times New Roman" w:hAnsi="Times New Roman"/>
        </w:rPr>
      </w:pPr>
      <w:r w:rsidRPr="00155F80">
        <w:rPr>
          <w:rFonts w:ascii="Times New Roman" w:hAnsi="Times New Roman"/>
          <w:lang w:val="hr-HR"/>
        </w:rPr>
        <w:t>U Federaciji Bosne i Hercegovine,  u  2015</w:t>
      </w:r>
      <w:r w:rsidR="00EC077A">
        <w:rPr>
          <w:rFonts w:ascii="Times New Roman" w:hAnsi="Times New Roman"/>
          <w:lang w:val="hr-HR"/>
        </w:rPr>
        <w:t>.</w:t>
      </w:r>
      <w:r w:rsidRPr="00155F80">
        <w:rPr>
          <w:rFonts w:ascii="Times New Roman" w:hAnsi="Times New Roman"/>
          <w:lang w:val="hr-HR"/>
        </w:rPr>
        <w:t xml:space="preserve"> godini prijavljene su 4 epidemije trovanja  hranom, sa ukupno 451  oboljelim. </w:t>
      </w:r>
      <w:r w:rsidRPr="00155F80">
        <w:rPr>
          <w:rFonts w:ascii="Times New Roman" w:hAnsi="Times New Roman"/>
        </w:rPr>
        <w:t>Salmonela je najčešće izoliran uzročnik infekcija prenesenih hranom, a n</w:t>
      </w:r>
      <w:r w:rsidRPr="00155F80">
        <w:rPr>
          <w:rFonts w:ascii="Times New Roman" w:hAnsi="Times New Roman"/>
          <w:color w:val="000000"/>
        </w:rPr>
        <w:t xml:space="preserve">ajveći </w:t>
      </w:r>
      <w:r w:rsidRPr="00155F80">
        <w:rPr>
          <w:rFonts w:ascii="Times New Roman" w:hAnsi="Times New Roman"/>
        </w:rPr>
        <w:t xml:space="preserve">broj oboljelih je prijavljen u epidemiji salmoneloze s ukupno 249 oboljelih. Epidemija je prijavljena u vrtiću JU Djeca Sarajeva, gdje je kao uzročnik izolirana Salmonella enteritidis, a kao izvor  infekcije navodi se </w:t>
      </w:r>
      <w:r w:rsidR="00C651BA">
        <w:rPr>
          <w:rFonts w:ascii="Times New Roman" w:hAnsi="Times New Roman"/>
        </w:rPr>
        <w:t>kiselo vrhnje</w:t>
      </w:r>
      <w:r w:rsidRPr="00155F80">
        <w:rPr>
          <w:rFonts w:ascii="Times New Roman" w:hAnsi="Times New Roman"/>
        </w:rPr>
        <w:t xml:space="preserve">. </w:t>
      </w:r>
    </w:p>
    <w:p w:rsidR="00A131AD" w:rsidRPr="00155F80" w:rsidRDefault="00A131AD" w:rsidP="000C0138">
      <w:pPr>
        <w:spacing w:line="276" w:lineRule="auto"/>
        <w:rPr>
          <w:rFonts w:ascii="Times New Roman" w:hAnsi="Times New Roman"/>
        </w:rPr>
      </w:pPr>
      <w:r w:rsidRPr="00155F80">
        <w:rPr>
          <w:rFonts w:ascii="Times New Roman" w:hAnsi="Times New Roman"/>
        </w:rPr>
        <w:t xml:space="preserve">Ovaj slučaj podcrtava potrebu nastavka i širenja programa i aktvnosti vezanih za </w:t>
      </w:r>
      <w:r w:rsidR="00550EF6">
        <w:rPr>
          <w:rFonts w:ascii="Times New Roman" w:hAnsi="Times New Roman"/>
        </w:rPr>
        <w:t>pre</w:t>
      </w:r>
      <w:r w:rsidRPr="00155F80">
        <w:rPr>
          <w:rFonts w:ascii="Times New Roman" w:hAnsi="Times New Roman"/>
        </w:rPr>
        <w:t>hranu i prehrambeno okruženje u odgojno obrazovnim ustanovama.</w:t>
      </w:r>
    </w:p>
    <w:p w:rsidR="00A131AD" w:rsidRPr="00155F80" w:rsidRDefault="00A131AD" w:rsidP="000C0138">
      <w:pPr>
        <w:spacing w:line="276" w:lineRule="auto"/>
        <w:rPr>
          <w:rFonts w:ascii="Times New Roman" w:hAnsi="Times New Roman"/>
        </w:rPr>
      </w:pPr>
    </w:p>
    <w:p w:rsidR="00A131AD" w:rsidRDefault="00A131AD" w:rsidP="000C0138">
      <w:pPr>
        <w:spacing w:line="276" w:lineRule="auto"/>
        <w:rPr>
          <w:rFonts w:ascii="Times New Roman" w:hAnsi="Times New Roman"/>
          <w:lang w:val="hr-HR"/>
        </w:rPr>
      </w:pPr>
      <w:r w:rsidRPr="00155F80">
        <w:rPr>
          <w:rFonts w:ascii="Times New Roman" w:hAnsi="Times New Roman"/>
          <w:lang w:val="hr-HR"/>
        </w:rPr>
        <w:t>Stopa morbiditeta od alimentarnih toksikoinfekcija, sa 412 oboljelih, iznosi 17,65%, i  u odnosu na prethodn</w:t>
      </w:r>
      <w:r w:rsidR="00550EF6">
        <w:rPr>
          <w:rFonts w:ascii="Times New Roman" w:hAnsi="Times New Roman"/>
          <w:lang w:val="hr-HR"/>
        </w:rPr>
        <w:t>o</w:t>
      </w:r>
      <w:r w:rsidRPr="00155F80">
        <w:rPr>
          <w:rFonts w:ascii="Times New Roman" w:hAnsi="Times New Roman"/>
          <w:lang w:val="hr-HR"/>
        </w:rPr>
        <w:t xml:space="preserve"> petogodišnj</w:t>
      </w:r>
      <w:r w:rsidR="00550EF6">
        <w:rPr>
          <w:rFonts w:ascii="Times New Roman" w:hAnsi="Times New Roman"/>
          <w:lang w:val="hr-HR"/>
        </w:rPr>
        <w:t xml:space="preserve">e razdoblje </w:t>
      </w:r>
      <w:r w:rsidRPr="00155F80">
        <w:rPr>
          <w:rFonts w:ascii="Times New Roman" w:hAnsi="Times New Roman"/>
          <w:lang w:val="hr-HR"/>
        </w:rPr>
        <w:t xml:space="preserve">je u padu.  U protekloj godini alimentarne toksikoinfekcije se nisu našle na listi deset vodećih zaraznih oboljenja. </w:t>
      </w:r>
    </w:p>
    <w:p w:rsidR="00B37E7E" w:rsidRDefault="00B37E7E" w:rsidP="000C0138">
      <w:pPr>
        <w:spacing w:line="276" w:lineRule="auto"/>
        <w:rPr>
          <w:rFonts w:ascii="Times New Roman" w:hAnsi="Times New Roman"/>
          <w:lang w:val="hr-HR"/>
        </w:rPr>
      </w:pPr>
    </w:p>
    <w:p w:rsidR="00301140" w:rsidRDefault="00B37E7E" w:rsidP="00B37E7E">
      <w:pPr>
        <w:pStyle w:val="refererere"/>
        <w:rPr>
          <w:lang w:val="pl-PL"/>
        </w:rPr>
      </w:pPr>
      <w:r>
        <w:rPr>
          <w:lang w:val="hr-HR"/>
        </w:rPr>
        <w:t>Grafikon 88: Alimentarne toksikoinfekcij</w:t>
      </w:r>
      <w:r w:rsidR="00ED3C83">
        <w:rPr>
          <w:lang w:val="hr-HR"/>
        </w:rPr>
        <w:t xml:space="preserve">e, Federacija BiH </w:t>
      </w:r>
      <w:r w:rsidR="00550EF6">
        <w:rPr>
          <w:lang w:val="hr-HR"/>
        </w:rPr>
        <w:t xml:space="preserve">razdoblje </w:t>
      </w:r>
      <w:r w:rsidR="00ED3C83">
        <w:rPr>
          <w:lang w:val="hr-HR"/>
        </w:rPr>
        <w:t>2010.-2015. god.</w:t>
      </w:r>
      <w:r>
        <w:rPr>
          <w:lang w:val="hr-HR"/>
        </w:rPr>
        <w:t>, stopa morbiteta na 100.000 stanovnika</w:t>
      </w:r>
    </w:p>
    <w:p w:rsidR="00A131AD" w:rsidRPr="00155F80" w:rsidRDefault="00786835" w:rsidP="000C0138">
      <w:pPr>
        <w:spacing w:line="276" w:lineRule="auto"/>
        <w:ind w:left="1260" w:hanging="1260"/>
        <w:jc w:val="center"/>
        <w:rPr>
          <w:rFonts w:ascii="Times New Roman" w:hAnsi="Times New Roman"/>
          <w:b/>
          <w:lang w:val="pl-PL"/>
        </w:rPr>
      </w:pPr>
      <w:r>
        <w:rPr>
          <w:noProof/>
          <w:lang w:val="bs-Latn-BA" w:eastAsia="bs-Latn-BA"/>
        </w:rPr>
        <w:drawing>
          <wp:inline distT="0" distB="0" distL="0" distR="0" wp14:anchorId="27327D00" wp14:editId="56F23BF2">
            <wp:extent cx="5645150" cy="2505693"/>
            <wp:effectExtent l="0" t="0" r="12700" b="9525"/>
            <wp:docPr id="37" name="Chart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rsidR="002C323A" w:rsidRDefault="002C323A" w:rsidP="000C0138">
      <w:pPr>
        <w:pStyle w:val="tabele0"/>
        <w:spacing w:line="276" w:lineRule="auto"/>
        <w:ind w:left="0" w:firstLine="0"/>
        <w:jc w:val="both"/>
        <w:rPr>
          <w:i w:val="0"/>
          <w:lang w:val="hr-HR"/>
        </w:rPr>
      </w:pPr>
    </w:p>
    <w:p w:rsidR="00A131AD" w:rsidRDefault="00A131AD" w:rsidP="000C0138">
      <w:pPr>
        <w:pStyle w:val="tabele0"/>
        <w:spacing w:line="276" w:lineRule="auto"/>
        <w:ind w:left="0" w:firstLine="0"/>
        <w:jc w:val="both"/>
        <w:rPr>
          <w:i w:val="0"/>
          <w:lang w:val="hr-HR"/>
        </w:rPr>
      </w:pPr>
      <w:r w:rsidRPr="00155F80">
        <w:rPr>
          <w:i w:val="0"/>
          <w:lang w:val="hr-HR"/>
        </w:rPr>
        <w:t>Na području Fedracije Bosne i Hercegovine, u 2015</w:t>
      </w:r>
      <w:r w:rsidR="00EC077A">
        <w:rPr>
          <w:i w:val="0"/>
          <w:lang w:val="hr-HR"/>
        </w:rPr>
        <w:t>.</w:t>
      </w:r>
      <w:r w:rsidRPr="00155F80">
        <w:rPr>
          <w:i w:val="0"/>
          <w:lang w:val="hr-HR"/>
        </w:rPr>
        <w:t xml:space="preserve"> godini, kontrola zdrastvene ispravnosti namirnica obavljana je u o</w:t>
      </w:r>
      <w:r w:rsidR="00550EF6">
        <w:rPr>
          <w:i w:val="0"/>
          <w:lang w:val="hr-HR"/>
        </w:rPr>
        <w:t>psegu</w:t>
      </w:r>
      <w:r w:rsidRPr="00155F80">
        <w:rPr>
          <w:i w:val="0"/>
          <w:lang w:val="hr-HR"/>
        </w:rPr>
        <w:t xml:space="preserve"> sličnom prethodnim godinama.  </w:t>
      </w:r>
    </w:p>
    <w:p w:rsidR="002C323A" w:rsidRPr="00155F80" w:rsidRDefault="002C323A" w:rsidP="000C0138">
      <w:pPr>
        <w:pStyle w:val="tabele0"/>
        <w:spacing w:line="276" w:lineRule="auto"/>
        <w:ind w:left="0" w:firstLine="0"/>
        <w:jc w:val="both"/>
        <w:rPr>
          <w:i w:val="0"/>
          <w:lang w:val="hr-HR"/>
        </w:rPr>
      </w:pPr>
    </w:p>
    <w:p w:rsidR="00A131AD" w:rsidRPr="00155F80" w:rsidRDefault="00550EF6" w:rsidP="000C0138">
      <w:pPr>
        <w:pStyle w:val="tabele0"/>
        <w:spacing w:line="276" w:lineRule="auto"/>
        <w:ind w:left="0" w:firstLine="0"/>
        <w:jc w:val="both"/>
        <w:rPr>
          <w:i w:val="0"/>
          <w:lang w:val="hr-HR"/>
        </w:rPr>
      </w:pPr>
      <w:r>
        <w:rPr>
          <w:i w:val="0"/>
          <w:lang w:val="hr-HR"/>
        </w:rPr>
        <w:lastRenderedPageBreak/>
        <w:t>K</w:t>
      </w:r>
      <w:r w:rsidR="00A131AD" w:rsidRPr="00155F80">
        <w:rPr>
          <w:i w:val="0"/>
          <w:lang w:val="hr-HR"/>
        </w:rPr>
        <w:t>emijske analize uzoraka iz proizvodnje su obavljene  na ukupno 5</w:t>
      </w:r>
      <w:r>
        <w:rPr>
          <w:i w:val="0"/>
          <w:lang w:val="hr-HR"/>
        </w:rPr>
        <w:t>.</w:t>
      </w:r>
      <w:r w:rsidR="00A131AD" w:rsidRPr="00155F80">
        <w:rPr>
          <w:i w:val="0"/>
          <w:lang w:val="hr-HR"/>
        </w:rPr>
        <w:t>206 uzoraka, od čega je  215 ili 4,1% bilo neispravno, dok su mikrobiološke analize obavljene na 19</w:t>
      </w:r>
      <w:r>
        <w:rPr>
          <w:i w:val="0"/>
          <w:lang w:val="hr-HR"/>
        </w:rPr>
        <w:t>.</w:t>
      </w:r>
      <w:r w:rsidR="00A131AD" w:rsidRPr="00155F80">
        <w:rPr>
          <w:i w:val="0"/>
          <w:lang w:val="hr-HR"/>
        </w:rPr>
        <w:t>638 uzoraka, od čega je nesipravnih bilo 1</w:t>
      </w:r>
      <w:r>
        <w:rPr>
          <w:i w:val="0"/>
          <w:lang w:val="hr-HR"/>
        </w:rPr>
        <w:t>.</w:t>
      </w:r>
      <w:r w:rsidR="00A131AD" w:rsidRPr="00155F80">
        <w:rPr>
          <w:i w:val="0"/>
          <w:lang w:val="hr-HR"/>
        </w:rPr>
        <w:t>488 uzorka ili 7,6%.</w:t>
      </w:r>
    </w:p>
    <w:p w:rsidR="00A131AD" w:rsidRPr="00155F80" w:rsidRDefault="00A131AD" w:rsidP="000C0138">
      <w:pPr>
        <w:pStyle w:val="tabele0"/>
        <w:spacing w:line="276" w:lineRule="auto"/>
        <w:ind w:left="0" w:firstLine="0"/>
        <w:jc w:val="both"/>
        <w:rPr>
          <w:i w:val="0"/>
          <w:lang w:val="hr-HR"/>
        </w:rPr>
      </w:pPr>
      <w:r w:rsidRPr="00155F80">
        <w:rPr>
          <w:i w:val="0"/>
          <w:lang w:val="hr-HR"/>
        </w:rPr>
        <w:t xml:space="preserve">Kada je u pitanju promet, </w:t>
      </w:r>
      <w:r w:rsidR="00550EF6">
        <w:rPr>
          <w:i w:val="0"/>
          <w:lang w:val="hr-HR"/>
        </w:rPr>
        <w:t>k</w:t>
      </w:r>
      <w:r w:rsidRPr="00155F80">
        <w:rPr>
          <w:i w:val="0"/>
          <w:lang w:val="hr-HR"/>
        </w:rPr>
        <w:t>emijske analize su obavljene  ukupno  4</w:t>
      </w:r>
      <w:r w:rsidR="00550EF6">
        <w:rPr>
          <w:i w:val="0"/>
          <w:lang w:val="hr-HR"/>
        </w:rPr>
        <w:t>.</w:t>
      </w:r>
      <w:r w:rsidRPr="00155F80">
        <w:rPr>
          <w:i w:val="0"/>
          <w:lang w:val="hr-HR"/>
        </w:rPr>
        <w:t>653 uzorka iz prometa, od čega je 359 uzoraka ili 7,7% bilo neispravno, dok su mikrobiološke analize obavljene na 22</w:t>
      </w:r>
      <w:r w:rsidR="00550EF6">
        <w:rPr>
          <w:i w:val="0"/>
          <w:lang w:val="hr-HR"/>
        </w:rPr>
        <w:t>.</w:t>
      </w:r>
      <w:r w:rsidRPr="00155F80">
        <w:rPr>
          <w:i w:val="0"/>
          <w:lang w:val="hr-HR"/>
        </w:rPr>
        <w:t>282 uzorka, od čega je neispravnih bilo 1662 ili 7,5%.</w:t>
      </w:r>
    </w:p>
    <w:p w:rsidR="000A5BE0" w:rsidRDefault="00A131AD" w:rsidP="000C0138">
      <w:pPr>
        <w:spacing w:line="276" w:lineRule="auto"/>
        <w:rPr>
          <w:rFonts w:ascii="Times New Roman" w:hAnsi="Times New Roman"/>
        </w:rPr>
      </w:pPr>
      <w:r w:rsidRPr="00155F80">
        <w:rPr>
          <w:rFonts w:ascii="Times New Roman" w:hAnsi="Times New Roman"/>
        </w:rPr>
        <w:t>Kako je vidljivo iz donje tabl</w:t>
      </w:r>
      <w:r w:rsidR="00550EF6">
        <w:rPr>
          <w:rFonts w:ascii="Times New Roman" w:hAnsi="Times New Roman"/>
        </w:rPr>
        <w:t>ic</w:t>
      </w:r>
      <w:r w:rsidRPr="00155F80">
        <w:rPr>
          <w:rFonts w:ascii="Times New Roman" w:hAnsi="Times New Roman"/>
        </w:rPr>
        <w:t>e bilježe se nešto niži procenti neodgovarajućih uzoraka namirnica u odnosu na prethodnu godinu, ali odstupanja nisu značajna, a za stanje se može zakl</w:t>
      </w:r>
      <w:r w:rsidR="000A5BE0" w:rsidRPr="00155F80">
        <w:rPr>
          <w:rFonts w:ascii="Times New Roman" w:hAnsi="Times New Roman"/>
        </w:rPr>
        <w:t xml:space="preserve">jučiti da je  zadovoljavajuće. </w:t>
      </w:r>
    </w:p>
    <w:p w:rsidR="002C323A" w:rsidRDefault="002C323A" w:rsidP="000C0138">
      <w:pPr>
        <w:spacing w:line="276" w:lineRule="auto"/>
        <w:rPr>
          <w:rFonts w:ascii="Times New Roman" w:hAnsi="Times New Roman"/>
        </w:rPr>
      </w:pPr>
    </w:p>
    <w:p w:rsidR="002C323A" w:rsidRDefault="002C323A" w:rsidP="000C0138">
      <w:pPr>
        <w:spacing w:line="276" w:lineRule="auto"/>
        <w:rPr>
          <w:rFonts w:ascii="Times New Roman" w:hAnsi="Times New Roman"/>
        </w:rPr>
      </w:pPr>
    </w:p>
    <w:p w:rsidR="002C323A" w:rsidRDefault="002C323A" w:rsidP="000C0138">
      <w:pPr>
        <w:spacing w:line="276" w:lineRule="auto"/>
        <w:rPr>
          <w:rFonts w:ascii="Times New Roman" w:hAnsi="Times New Roman"/>
        </w:rPr>
      </w:pPr>
    </w:p>
    <w:p w:rsidR="002C323A" w:rsidRDefault="002C323A" w:rsidP="000C0138">
      <w:pPr>
        <w:spacing w:line="276" w:lineRule="auto"/>
        <w:rPr>
          <w:rFonts w:ascii="Times New Roman" w:hAnsi="Times New Roman"/>
        </w:rPr>
      </w:pPr>
    </w:p>
    <w:p w:rsidR="002C323A" w:rsidRDefault="002C323A" w:rsidP="000C0138">
      <w:pPr>
        <w:spacing w:line="276" w:lineRule="auto"/>
        <w:rPr>
          <w:rFonts w:ascii="Times New Roman" w:hAnsi="Times New Roman"/>
        </w:rPr>
      </w:pPr>
    </w:p>
    <w:p w:rsidR="002C323A" w:rsidRDefault="002C323A" w:rsidP="000C0138">
      <w:pPr>
        <w:spacing w:line="276" w:lineRule="auto"/>
        <w:rPr>
          <w:rFonts w:ascii="Times New Roman" w:hAnsi="Times New Roman"/>
        </w:rPr>
      </w:pPr>
    </w:p>
    <w:p w:rsidR="002C323A" w:rsidRDefault="002C323A" w:rsidP="000C0138">
      <w:pPr>
        <w:spacing w:line="276" w:lineRule="auto"/>
        <w:rPr>
          <w:rFonts w:ascii="Times New Roman" w:hAnsi="Times New Roman"/>
        </w:rPr>
      </w:pPr>
    </w:p>
    <w:p w:rsidR="002C323A" w:rsidRDefault="002C323A" w:rsidP="000C0138">
      <w:pPr>
        <w:spacing w:line="276" w:lineRule="auto"/>
        <w:rPr>
          <w:rFonts w:ascii="Times New Roman" w:hAnsi="Times New Roman"/>
        </w:rPr>
      </w:pPr>
    </w:p>
    <w:p w:rsidR="002C323A" w:rsidRDefault="002C323A" w:rsidP="000C0138">
      <w:pPr>
        <w:spacing w:line="276" w:lineRule="auto"/>
        <w:rPr>
          <w:rFonts w:ascii="Times New Roman" w:hAnsi="Times New Roman"/>
        </w:rPr>
      </w:pPr>
    </w:p>
    <w:p w:rsidR="002C323A" w:rsidRDefault="002C323A" w:rsidP="000C0138">
      <w:pPr>
        <w:spacing w:line="276" w:lineRule="auto"/>
        <w:rPr>
          <w:rFonts w:ascii="Times New Roman" w:hAnsi="Times New Roman"/>
        </w:rPr>
      </w:pPr>
    </w:p>
    <w:p w:rsidR="002C323A" w:rsidRDefault="002C323A" w:rsidP="000C0138">
      <w:pPr>
        <w:spacing w:line="276" w:lineRule="auto"/>
        <w:rPr>
          <w:rFonts w:ascii="Times New Roman" w:hAnsi="Times New Roman"/>
        </w:rPr>
      </w:pPr>
    </w:p>
    <w:p w:rsidR="002C323A" w:rsidRDefault="002C323A" w:rsidP="000C0138">
      <w:pPr>
        <w:spacing w:line="276" w:lineRule="auto"/>
        <w:rPr>
          <w:rFonts w:ascii="Times New Roman" w:hAnsi="Times New Roman"/>
        </w:rPr>
      </w:pPr>
    </w:p>
    <w:p w:rsidR="002C323A" w:rsidRDefault="002C323A" w:rsidP="000C0138">
      <w:pPr>
        <w:spacing w:line="276" w:lineRule="auto"/>
        <w:rPr>
          <w:rFonts w:ascii="Times New Roman" w:hAnsi="Times New Roman"/>
        </w:rPr>
      </w:pPr>
    </w:p>
    <w:p w:rsidR="002C323A" w:rsidRDefault="002C323A" w:rsidP="000C0138">
      <w:pPr>
        <w:spacing w:line="276" w:lineRule="auto"/>
        <w:rPr>
          <w:rFonts w:ascii="Times New Roman" w:hAnsi="Times New Roman"/>
        </w:rPr>
      </w:pPr>
    </w:p>
    <w:p w:rsidR="002C323A" w:rsidRDefault="002C323A" w:rsidP="000C0138">
      <w:pPr>
        <w:spacing w:line="276" w:lineRule="auto"/>
        <w:rPr>
          <w:rFonts w:ascii="Times New Roman" w:hAnsi="Times New Roman"/>
        </w:rPr>
      </w:pPr>
    </w:p>
    <w:p w:rsidR="00A131AD" w:rsidRPr="00155F80" w:rsidRDefault="00A131AD" w:rsidP="00B37E7E">
      <w:pPr>
        <w:pStyle w:val="refererere"/>
      </w:pPr>
      <w:r w:rsidRPr="00155F80">
        <w:t>Tabl</w:t>
      </w:r>
      <w:r w:rsidR="00550EF6">
        <w:t>ic</w:t>
      </w:r>
      <w:r w:rsidRPr="00155F80">
        <w:t>a</w:t>
      </w:r>
      <w:r w:rsidR="009A5B2B" w:rsidRPr="00155F80">
        <w:t xml:space="preserve"> </w:t>
      </w:r>
      <w:r w:rsidRPr="00155F80">
        <w:t xml:space="preserve">21 : Prikaz kontrole zdravstvene ispravnosti namirnica na području Federacije BiH, </w:t>
      </w:r>
      <w:r w:rsidR="00550EF6">
        <w:t>razdoblje</w:t>
      </w:r>
      <w:r w:rsidRPr="00155F80">
        <w:t xml:space="preserve"> 2010.-2015. godina</w:t>
      </w:r>
    </w:p>
    <w:tbl>
      <w:tblPr>
        <w:tblStyle w:val="LightList-Accent5"/>
        <w:tblW w:w="8465" w:type="dxa"/>
        <w:tblLook w:val="01E0" w:firstRow="1" w:lastRow="1" w:firstColumn="1" w:lastColumn="1" w:noHBand="0" w:noVBand="0"/>
      </w:tblPr>
      <w:tblGrid>
        <w:gridCol w:w="1046"/>
        <w:gridCol w:w="6"/>
        <w:gridCol w:w="1052"/>
        <w:gridCol w:w="59"/>
        <w:gridCol w:w="1389"/>
        <w:gridCol w:w="52"/>
        <w:gridCol w:w="868"/>
        <w:gridCol w:w="22"/>
        <w:gridCol w:w="1425"/>
        <w:gridCol w:w="30"/>
        <w:gridCol w:w="890"/>
        <w:gridCol w:w="35"/>
        <w:gridCol w:w="1541"/>
        <w:gridCol w:w="50"/>
      </w:tblGrid>
      <w:tr w:rsidR="00A131AD" w:rsidRPr="00155F80" w:rsidTr="003066C2">
        <w:trPr>
          <w:gridAfter w:val="1"/>
          <w:cnfStyle w:val="100000000000" w:firstRow="1" w:lastRow="0" w:firstColumn="0" w:lastColumn="0" w:oddVBand="0" w:evenVBand="0" w:oddHBand="0" w:evenHBand="0" w:firstRowFirstColumn="0" w:firstRowLastColumn="0" w:lastRowFirstColumn="0" w:lastRowLastColumn="0"/>
          <w:wAfter w:w="47" w:type="dxa"/>
          <w:trHeight w:val="116"/>
        </w:trPr>
        <w:tc>
          <w:tcPr>
            <w:cnfStyle w:val="001000000000" w:firstRow="0" w:lastRow="0" w:firstColumn="1" w:lastColumn="0" w:oddVBand="0" w:evenVBand="0" w:oddHBand="0" w:evenHBand="0" w:firstRowFirstColumn="0" w:firstRowLastColumn="0" w:lastRowFirstColumn="0" w:lastRowLastColumn="0"/>
            <w:tcW w:w="8418" w:type="dxa"/>
            <w:gridSpan w:val="13"/>
            <w:shd w:val="clear" w:color="auto" w:fill="E7E6E6" w:themeFill="background2"/>
          </w:tcPr>
          <w:p w:rsidR="00A131AD" w:rsidRPr="003066C2" w:rsidRDefault="00A131AD" w:rsidP="000C0138">
            <w:pPr>
              <w:spacing w:line="276" w:lineRule="auto"/>
              <w:jc w:val="center"/>
              <w:rPr>
                <w:rFonts w:ascii="Times New Roman" w:hAnsi="Times New Roman"/>
                <w:b w:val="0"/>
                <w:color w:val="auto"/>
              </w:rPr>
            </w:pPr>
            <w:r w:rsidRPr="003066C2">
              <w:rPr>
                <w:rFonts w:ascii="Times New Roman" w:hAnsi="Times New Roman"/>
                <w:color w:val="auto"/>
              </w:rPr>
              <w:t xml:space="preserve">Namirnice  </w:t>
            </w:r>
          </w:p>
        </w:tc>
      </w:tr>
      <w:tr w:rsidR="00A131AD" w:rsidRPr="00155F80" w:rsidTr="003066C2">
        <w:trPr>
          <w:gridAfter w:val="1"/>
          <w:cnfStyle w:val="000000100000" w:firstRow="0" w:lastRow="0" w:firstColumn="0" w:lastColumn="0" w:oddVBand="0" w:evenVBand="0" w:oddHBand="1" w:evenHBand="0" w:firstRowFirstColumn="0" w:firstRowLastColumn="0" w:lastRowFirstColumn="0" w:lastRowLastColumn="0"/>
          <w:wAfter w:w="47" w:type="dxa"/>
          <w:trHeight w:val="116"/>
        </w:trPr>
        <w:tc>
          <w:tcPr>
            <w:cnfStyle w:val="001000000000" w:firstRow="0" w:lastRow="0" w:firstColumn="1" w:lastColumn="0" w:oddVBand="0" w:evenVBand="0" w:oddHBand="0" w:evenHBand="0" w:firstRowFirstColumn="0" w:firstRowLastColumn="0" w:lastRowFirstColumn="0" w:lastRowLastColumn="0"/>
            <w:tcW w:w="8418" w:type="dxa"/>
            <w:gridSpan w:val="13"/>
            <w:shd w:val="clear" w:color="auto" w:fill="E7E6E6" w:themeFill="background2"/>
          </w:tcPr>
          <w:p w:rsidR="00A131AD" w:rsidRPr="003066C2" w:rsidRDefault="00A131AD" w:rsidP="000C0138">
            <w:pPr>
              <w:spacing w:line="276" w:lineRule="auto"/>
              <w:jc w:val="center"/>
              <w:rPr>
                <w:rFonts w:ascii="Times New Roman" w:hAnsi="Times New Roman"/>
                <w:b w:val="0"/>
              </w:rPr>
            </w:pPr>
            <w:r w:rsidRPr="003066C2">
              <w:rPr>
                <w:rFonts w:ascii="Times New Roman" w:hAnsi="Times New Roman"/>
              </w:rPr>
              <w:t>Proizvodnja</w:t>
            </w:r>
          </w:p>
        </w:tc>
      </w:tr>
      <w:tr w:rsidR="00A131AD" w:rsidRPr="00F83CAD" w:rsidTr="000A5BE0">
        <w:trPr>
          <w:gridAfter w:val="1"/>
          <w:wAfter w:w="48" w:type="dxa"/>
          <w:trHeight w:val="241"/>
        </w:trPr>
        <w:tc>
          <w:tcPr>
            <w:cnfStyle w:val="001000000000" w:firstRow="0" w:lastRow="0" w:firstColumn="1" w:lastColumn="0" w:oddVBand="0" w:evenVBand="0" w:oddHBand="0" w:evenHBand="0" w:firstRowFirstColumn="0" w:firstRowLastColumn="0" w:lastRowFirstColumn="0" w:lastRowLastColumn="0"/>
            <w:tcW w:w="1046" w:type="dxa"/>
            <w:vMerge w:val="restart"/>
          </w:tcPr>
          <w:p w:rsidR="00A131AD" w:rsidRPr="0059128D" w:rsidRDefault="00A131AD" w:rsidP="000C0138">
            <w:pPr>
              <w:spacing w:line="276" w:lineRule="auto"/>
              <w:jc w:val="center"/>
              <w:rPr>
                <w:rFonts w:ascii="Times New Roman" w:hAnsi="Times New Roman"/>
                <w:b w:val="0"/>
              </w:rPr>
            </w:pPr>
            <w:r w:rsidRPr="0059128D">
              <w:rPr>
                <w:rFonts w:ascii="Times New Roman" w:hAnsi="Times New Roman"/>
                <w:b w:val="0"/>
              </w:rPr>
              <w:t>Godina</w:t>
            </w:r>
          </w:p>
        </w:tc>
        <w:tc>
          <w:tcPr>
            <w:cnfStyle w:val="000010000000" w:firstRow="0" w:lastRow="0" w:firstColumn="0" w:lastColumn="0" w:oddVBand="1" w:evenVBand="0" w:oddHBand="0" w:evenHBand="0" w:firstRowFirstColumn="0" w:firstRowLastColumn="0" w:lastRowFirstColumn="0" w:lastRowLastColumn="0"/>
            <w:tcW w:w="2559" w:type="dxa"/>
            <w:gridSpan w:val="5"/>
          </w:tcPr>
          <w:p w:rsidR="00A131AD" w:rsidRPr="00155F80" w:rsidRDefault="00A131AD" w:rsidP="000C0138">
            <w:pPr>
              <w:spacing w:line="276" w:lineRule="auto"/>
              <w:jc w:val="center"/>
              <w:rPr>
                <w:rFonts w:ascii="Times New Roman" w:hAnsi="Times New Roman"/>
              </w:rPr>
            </w:pPr>
            <w:r w:rsidRPr="00155F80">
              <w:rPr>
                <w:rFonts w:ascii="Times New Roman" w:hAnsi="Times New Roman"/>
              </w:rPr>
              <w:t>Organoleptički pregled  uzoraka</w:t>
            </w:r>
          </w:p>
        </w:tc>
        <w:tc>
          <w:tcPr>
            <w:tcW w:w="2316" w:type="dxa"/>
            <w:gridSpan w:val="3"/>
          </w:tcPr>
          <w:p w:rsidR="00A131AD" w:rsidRPr="00F83CAD" w:rsidRDefault="00550EF6" w:rsidP="000C013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K</w:t>
            </w:r>
            <w:r w:rsidR="00A131AD" w:rsidRPr="00F83CAD">
              <w:rPr>
                <w:rFonts w:ascii="Times New Roman" w:hAnsi="Times New Roman"/>
              </w:rPr>
              <w:t>emijski pregled uzoraka</w:t>
            </w:r>
          </w:p>
        </w:tc>
        <w:tc>
          <w:tcPr>
            <w:cnfStyle w:val="000100000000" w:firstRow="0" w:lastRow="0" w:firstColumn="0" w:lastColumn="1" w:oddVBand="0" w:evenVBand="0" w:oddHBand="0" w:evenHBand="0" w:firstRowFirstColumn="0" w:firstRowLastColumn="0" w:lastRowFirstColumn="0" w:lastRowLastColumn="0"/>
            <w:tcW w:w="2496" w:type="dxa"/>
            <w:gridSpan w:val="4"/>
          </w:tcPr>
          <w:p w:rsidR="00A131AD" w:rsidRPr="00F83CAD" w:rsidRDefault="00A131AD" w:rsidP="000C0138">
            <w:pPr>
              <w:spacing w:line="276" w:lineRule="auto"/>
              <w:jc w:val="center"/>
              <w:rPr>
                <w:rFonts w:ascii="Times New Roman" w:hAnsi="Times New Roman"/>
                <w:b w:val="0"/>
              </w:rPr>
            </w:pPr>
            <w:r w:rsidRPr="00F83CAD">
              <w:rPr>
                <w:rFonts w:ascii="Times New Roman" w:hAnsi="Times New Roman"/>
                <w:b w:val="0"/>
              </w:rPr>
              <w:t>Mikrobiološki pregled uzoraka</w:t>
            </w:r>
          </w:p>
        </w:tc>
      </w:tr>
      <w:tr w:rsidR="00A131AD" w:rsidRPr="00F83CAD" w:rsidTr="000A5BE0">
        <w:trPr>
          <w:gridAfter w:val="1"/>
          <w:cnfStyle w:val="000000100000" w:firstRow="0" w:lastRow="0" w:firstColumn="0" w:lastColumn="0" w:oddVBand="0" w:evenVBand="0" w:oddHBand="1" w:evenHBand="0" w:firstRowFirstColumn="0" w:firstRowLastColumn="0" w:lastRowFirstColumn="0" w:lastRowLastColumn="0"/>
          <w:wAfter w:w="50" w:type="dxa"/>
          <w:trHeight w:val="454"/>
        </w:trPr>
        <w:tc>
          <w:tcPr>
            <w:cnfStyle w:val="001000000000" w:firstRow="0" w:lastRow="0" w:firstColumn="1" w:lastColumn="0" w:oddVBand="0" w:evenVBand="0" w:oddHBand="0" w:evenHBand="0" w:firstRowFirstColumn="0" w:firstRowLastColumn="0" w:lastRowFirstColumn="0" w:lastRowLastColumn="0"/>
            <w:tcW w:w="1046" w:type="dxa"/>
            <w:vMerge/>
          </w:tcPr>
          <w:p w:rsidR="00A131AD" w:rsidRPr="00155F80" w:rsidRDefault="00A131AD" w:rsidP="000C0138">
            <w:pPr>
              <w:spacing w:line="276" w:lineRule="auto"/>
              <w:rPr>
                <w:rFonts w:ascii="Times New Roman" w:hAnsi="Times New Roman"/>
              </w:rPr>
            </w:pPr>
          </w:p>
        </w:tc>
        <w:tc>
          <w:tcPr>
            <w:cnfStyle w:val="000010000000" w:firstRow="0" w:lastRow="0" w:firstColumn="0" w:lastColumn="0" w:oddVBand="1" w:evenVBand="0" w:oddHBand="0" w:evenHBand="0" w:firstRowFirstColumn="0" w:firstRowLastColumn="0" w:lastRowFirstColumn="0" w:lastRowLastColumn="0"/>
            <w:tcW w:w="1117" w:type="dxa"/>
            <w:gridSpan w:val="3"/>
          </w:tcPr>
          <w:p w:rsidR="00A131AD" w:rsidRPr="00155F80" w:rsidRDefault="00A131AD" w:rsidP="000C0138">
            <w:pPr>
              <w:spacing w:line="276" w:lineRule="auto"/>
              <w:jc w:val="center"/>
              <w:rPr>
                <w:rFonts w:ascii="Times New Roman" w:hAnsi="Times New Roman"/>
              </w:rPr>
            </w:pPr>
            <w:r w:rsidRPr="00155F80">
              <w:rPr>
                <w:rFonts w:ascii="Times New Roman" w:hAnsi="Times New Roman"/>
              </w:rPr>
              <w:t>Svega</w:t>
            </w:r>
          </w:p>
        </w:tc>
        <w:tc>
          <w:tcPr>
            <w:tcW w:w="1441" w:type="dxa"/>
            <w:gridSpan w:val="2"/>
          </w:tcPr>
          <w:p w:rsidR="00A131AD" w:rsidRPr="00155F80" w:rsidRDefault="00A131AD" w:rsidP="000C013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155F80">
              <w:rPr>
                <w:rFonts w:ascii="Times New Roman" w:hAnsi="Times New Roman"/>
              </w:rPr>
              <w:t>Od toga ne odgovara br /(%)</w:t>
            </w:r>
          </w:p>
        </w:tc>
        <w:tc>
          <w:tcPr>
            <w:cnfStyle w:val="000010000000" w:firstRow="0" w:lastRow="0" w:firstColumn="0" w:lastColumn="0" w:oddVBand="1" w:evenVBand="0" w:oddHBand="0" w:evenHBand="0" w:firstRowFirstColumn="0" w:firstRowLastColumn="0" w:lastRowFirstColumn="0" w:lastRowLastColumn="0"/>
            <w:tcW w:w="868" w:type="dxa"/>
          </w:tcPr>
          <w:p w:rsidR="00A131AD" w:rsidRPr="00F83CAD" w:rsidRDefault="00A131AD" w:rsidP="000C0138">
            <w:pPr>
              <w:spacing w:line="276" w:lineRule="auto"/>
              <w:jc w:val="center"/>
              <w:rPr>
                <w:rFonts w:ascii="Times New Roman" w:hAnsi="Times New Roman"/>
              </w:rPr>
            </w:pPr>
            <w:r w:rsidRPr="00F83CAD">
              <w:rPr>
                <w:rFonts w:ascii="Times New Roman" w:hAnsi="Times New Roman"/>
              </w:rPr>
              <w:t>Svega</w:t>
            </w:r>
          </w:p>
        </w:tc>
        <w:tc>
          <w:tcPr>
            <w:tcW w:w="1447" w:type="dxa"/>
            <w:gridSpan w:val="2"/>
          </w:tcPr>
          <w:p w:rsidR="00A131AD" w:rsidRPr="00F83CAD" w:rsidRDefault="00A131AD" w:rsidP="000C013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F83CAD">
              <w:rPr>
                <w:rFonts w:ascii="Times New Roman" w:hAnsi="Times New Roman"/>
              </w:rPr>
              <w:t>Od toga ne odgovara br/(%)</w:t>
            </w:r>
          </w:p>
        </w:tc>
        <w:tc>
          <w:tcPr>
            <w:cnfStyle w:val="000010000000" w:firstRow="0" w:lastRow="0" w:firstColumn="0" w:lastColumn="0" w:oddVBand="1" w:evenVBand="0" w:oddHBand="0" w:evenHBand="0" w:firstRowFirstColumn="0" w:firstRowLastColumn="0" w:lastRowFirstColumn="0" w:lastRowLastColumn="0"/>
            <w:tcW w:w="920" w:type="dxa"/>
            <w:gridSpan w:val="2"/>
          </w:tcPr>
          <w:p w:rsidR="00A131AD" w:rsidRPr="00F83CAD" w:rsidRDefault="00A131AD" w:rsidP="000C0138">
            <w:pPr>
              <w:spacing w:line="276" w:lineRule="auto"/>
              <w:jc w:val="center"/>
              <w:rPr>
                <w:rFonts w:ascii="Times New Roman" w:hAnsi="Times New Roman"/>
              </w:rPr>
            </w:pPr>
            <w:r w:rsidRPr="00F83CAD">
              <w:rPr>
                <w:rFonts w:ascii="Times New Roman" w:hAnsi="Times New Roman"/>
              </w:rPr>
              <w:t>Svega</w:t>
            </w:r>
          </w:p>
        </w:tc>
        <w:tc>
          <w:tcPr>
            <w:cnfStyle w:val="000100000000" w:firstRow="0" w:lastRow="0" w:firstColumn="0" w:lastColumn="1" w:oddVBand="0" w:evenVBand="0" w:oddHBand="0" w:evenHBand="0" w:firstRowFirstColumn="0" w:firstRowLastColumn="0" w:lastRowFirstColumn="0" w:lastRowLastColumn="0"/>
            <w:tcW w:w="1576" w:type="dxa"/>
            <w:gridSpan w:val="2"/>
          </w:tcPr>
          <w:p w:rsidR="00A131AD" w:rsidRPr="00F83CAD" w:rsidRDefault="00A131AD" w:rsidP="000C0138">
            <w:pPr>
              <w:spacing w:line="276" w:lineRule="auto"/>
              <w:jc w:val="center"/>
              <w:rPr>
                <w:rFonts w:ascii="Times New Roman" w:hAnsi="Times New Roman"/>
                <w:b w:val="0"/>
              </w:rPr>
            </w:pPr>
            <w:r w:rsidRPr="00F83CAD">
              <w:rPr>
                <w:rFonts w:ascii="Times New Roman" w:hAnsi="Times New Roman"/>
                <w:b w:val="0"/>
              </w:rPr>
              <w:t>Od toga ne odgovara br/(%)</w:t>
            </w:r>
          </w:p>
        </w:tc>
      </w:tr>
      <w:tr w:rsidR="00A131AD" w:rsidRPr="00F83CAD" w:rsidTr="000A5BE0">
        <w:trPr>
          <w:gridAfter w:val="1"/>
          <w:wAfter w:w="50" w:type="dxa"/>
          <w:trHeight w:val="241"/>
        </w:trPr>
        <w:tc>
          <w:tcPr>
            <w:cnfStyle w:val="001000000000" w:firstRow="0" w:lastRow="0" w:firstColumn="1" w:lastColumn="0" w:oddVBand="0" w:evenVBand="0" w:oddHBand="0" w:evenHBand="0" w:firstRowFirstColumn="0" w:firstRowLastColumn="0" w:lastRowFirstColumn="0" w:lastRowLastColumn="0"/>
            <w:tcW w:w="1046" w:type="dxa"/>
          </w:tcPr>
          <w:p w:rsidR="00A131AD" w:rsidRPr="00B71990" w:rsidRDefault="00A131AD" w:rsidP="000C0138">
            <w:pPr>
              <w:spacing w:line="276" w:lineRule="auto"/>
              <w:jc w:val="center"/>
              <w:rPr>
                <w:rFonts w:ascii="Times New Roman" w:hAnsi="Times New Roman"/>
                <w:b w:val="0"/>
              </w:rPr>
            </w:pPr>
            <w:r w:rsidRPr="00B71990">
              <w:rPr>
                <w:rFonts w:ascii="Times New Roman" w:hAnsi="Times New Roman"/>
                <w:b w:val="0"/>
              </w:rPr>
              <w:t>2010.</w:t>
            </w:r>
          </w:p>
        </w:tc>
        <w:tc>
          <w:tcPr>
            <w:cnfStyle w:val="000010000000" w:firstRow="0" w:lastRow="0" w:firstColumn="0" w:lastColumn="0" w:oddVBand="1" w:evenVBand="0" w:oddHBand="0" w:evenHBand="0" w:firstRowFirstColumn="0" w:firstRowLastColumn="0" w:lastRowFirstColumn="0" w:lastRowLastColumn="0"/>
            <w:tcW w:w="1117" w:type="dxa"/>
            <w:gridSpan w:val="3"/>
          </w:tcPr>
          <w:p w:rsidR="00A131AD" w:rsidRPr="00155F80" w:rsidRDefault="00A131AD" w:rsidP="000C0138">
            <w:pPr>
              <w:spacing w:line="276" w:lineRule="auto"/>
              <w:jc w:val="right"/>
              <w:rPr>
                <w:rFonts w:ascii="Times New Roman" w:hAnsi="Times New Roman"/>
              </w:rPr>
            </w:pPr>
            <w:r w:rsidRPr="00155F80">
              <w:rPr>
                <w:rFonts w:ascii="Times New Roman" w:hAnsi="Times New Roman"/>
              </w:rPr>
              <w:t>14476</w:t>
            </w:r>
          </w:p>
        </w:tc>
        <w:tc>
          <w:tcPr>
            <w:tcW w:w="1441" w:type="dxa"/>
            <w:gridSpan w:val="2"/>
          </w:tcPr>
          <w:p w:rsidR="00A131AD" w:rsidRPr="00155F80" w:rsidRDefault="00A131AD" w:rsidP="000C0138">
            <w:pPr>
              <w:spacing w:line="276"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155F80">
              <w:rPr>
                <w:rFonts w:ascii="Times New Roman" w:hAnsi="Times New Roman"/>
              </w:rPr>
              <w:t>549 (3,8%)</w:t>
            </w:r>
          </w:p>
        </w:tc>
        <w:tc>
          <w:tcPr>
            <w:cnfStyle w:val="000010000000" w:firstRow="0" w:lastRow="0" w:firstColumn="0" w:lastColumn="0" w:oddVBand="1" w:evenVBand="0" w:oddHBand="0" w:evenHBand="0" w:firstRowFirstColumn="0" w:firstRowLastColumn="0" w:lastRowFirstColumn="0" w:lastRowLastColumn="0"/>
            <w:tcW w:w="868" w:type="dxa"/>
          </w:tcPr>
          <w:p w:rsidR="00A131AD" w:rsidRPr="00F83CAD" w:rsidRDefault="00A131AD" w:rsidP="000C0138">
            <w:pPr>
              <w:spacing w:line="276" w:lineRule="auto"/>
              <w:jc w:val="right"/>
              <w:rPr>
                <w:rFonts w:ascii="Times New Roman" w:hAnsi="Times New Roman"/>
              </w:rPr>
            </w:pPr>
            <w:r w:rsidRPr="00F83CAD">
              <w:rPr>
                <w:rFonts w:ascii="Times New Roman" w:hAnsi="Times New Roman"/>
              </w:rPr>
              <w:t>6970</w:t>
            </w:r>
          </w:p>
        </w:tc>
        <w:tc>
          <w:tcPr>
            <w:tcW w:w="1447" w:type="dxa"/>
            <w:gridSpan w:val="2"/>
          </w:tcPr>
          <w:p w:rsidR="00A131AD" w:rsidRPr="00F83CAD" w:rsidRDefault="00A131AD" w:rsidP="000C0138">
            <w:pPr>
              <w:spacing w:line="276"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F83CAD">
              <w:rPr>
                <w:rFonts w:ascii="Times New Roman" w:hAnsi="Times New Roman"/>
              </w:rPr>
              <w:t>421 (6%)</w:t>
            </w:r>
          </w:p>
        </w:tc>
        <w:tc>
          <w:tcPr>
            <w:cnfStyle w:val="000010000000" w:firstRow="0" w:lastRow="0" w:firstColumn="0" w:lastColumn="0" w:oddVBand="1" w:evenVBand="0" w:oddHBand="0" w:evenHBand="0" w:firstRowFirstColumn="0" w:firstRowLastColumn="0" w:lastRowFirstColumn="0" w:lastRowLastColumn="0"/>
            <w:tcW w:w="920" w:type="dxa"/>
            <w:gridSpan w:val="2"/>
          </w:tcPr>
          <w:p w:rsidR="00A131AD" w:rsidRPr="00F83CAD" w:rsidRDefault="00A131AD" w:rsidP="000C0138">
            <w:pPr>
              <w:spacing w:line="276" w:lineRule="auto"/>
              <w:jc w:val="right"/>
              <w:rPr>
                <w:rFonts w:ascii="Times New Roman" w:hAnsi="Times New Roman"/>
              </w:rPr>
            </w:pPr>
            <w:r w:rsidRPr="00F83CAD">
              <w:rPr>
                <w:rFonts w:ascii="Times New Roman" w:hAnsi="Times New Roman"/>
              </w:rPr>
              <w:t>22806</w:t>
            </w:r>
          </w:p>
        </w:tc>
        <w:tc>
          <w:tcPr>
            <w:cnfStyle w:val="000100000000" w:firstRow="0" w:lastRow="0" w:firstColumn="0" w:lastColumn="1" w:oddVBand="0" w:evenVBand="0" w:oddHBand="0" w:evenHBand="0" w:firstRowFirstColumn="0" w:firstRowLastColumn="0" w:lastRowFirstColumn="0" w:lastRowLastColumn="0"/>
            <w:tcW w:w="1576" w:type="dxa"/>
            <w:gridSpan w:val="2"/>
          </w:tcPr>
          <w:p w:rsidR="00A131AD" w:rsidRPr="00F83CAD" w:rsidRDefault="00A131AD" w:rsidP="000C0138">
            <w:pPr>
              <w:spacing w:line="276" w:lineRule="auto"/>
              <w:jc w:val="right"/>
              <w:rPr>
                <w:rFonts w:ascii="Times New Roman" w:hAnsi="Times New Roman"/>
                <w:b w:val="0"/>
              </w:rPr>
            </w:pPr>
            <w:r w:rsidRPr="00F83CAD">
              <w:rPr>
                <w:rFonts w:ascii="Times New Roman" w:hAnsi="Times New Roman"/>
                <w:b w:val="0"/>
              </w:rPr>
              <w:t>1691 (7,4%)</w:t>
            </w:r>
          </w:p>
        </w:tc>
      </w:tr>
      <w:tr w:rsidR="00A131AD" w:rsidRPr="00F83CAD" w:rsidTr="000A5BE0">
        <w:trPr>
          <w:gridAfter w:val="1"/>
          <w:cnfStyle w:val="000000100000" w:firstRow="0" w:lastRow="0" w:firstColumn="0" w:lastColumn="0" w:oddVBand="0" w:evenVBand="0" w:oddHBand="1" w:evenHBand="0" w:firstRowFirstColumn="0" w:firstRowLastColumn="0" w:lastRowFirstColumn="0" w:lastRowLastColumn="0"/>
          <w:wAfter w:w="50" w:type="dxa"/>
          <w:trHeight w:val="241"/>
        </w:trPr>
        <w:tc>
          <w:tcPr>
            <w:cnfStyle w:val="001000000000" w:firstRow="0" w:lastRow="0" w:firstColumn="1" w:lastColumn="0" w:oddVBand="0" w:evenVBand="0" w:oddHBand="0" w:evenHBand="0" w:firstRowFirstColumn="0" w:firstRowLastColumn="0" w:lastRowFirstColumn="0" w:lastRowLastColumn="0"/>
            <w:tcW w:w="1046" w:type="dxa"/>
          </w:tcPr>
          <w:p w:rsidR="00A131AD" w:rsidRPr="00B71990" w:rsidRDefault="00A131AD" w:rsidP="000C0138">
            <w:pPr>
              <w:spacing w:line="276" w:lineRule="auto"/>
              <w:jc w:val="center"/>
              <w:rPr>
                <w:rFonts w:ascii="Times New Roman" w:hAnsi="Times New Roman"/>
                <w:b w:val="0"/>
              </w:rPr>
            </w:pPr>
            <w:r w:rsidRPr="00B71990">
              <w:rPr>
                <w:rFonts w:ascii="Times New Roman" w:hAnsi="Times New Roman"/>
                <w:b w:val="0"/>
              </w:rPr>
              <w:t>2011.</w:t>
            </w:r>
          </w:p>
        </w:tc>
        <w:tc>
          <w:tcPr>
            <w:cnfStyle w:val="000010000000" w:firstRow="0" w:lastRow="0" w:firstColumn="0" w:lastColumn="0" w:oddVBand="1" w:evenVBand="0" w:oddHBand="0" w:evenHBand="0" w:firstRowFirstColumn="0" w:firstRowLastColumn="0" w:lastRowFirstColumn="0" w:lastRowLastColumn="0"/>
            <w:tcW w:w="1117" w:type="dxa"/>
            <w:gridSpan w:val="3"/>
          </w:tcPr>
          <w:p w:rsidR="00A131AD" w:rsidRPr="00155F80" w:rsidRDefault="00A131AD" w:rsidP="000C0138">
            <w:pPr>
              <w:spacing w:line="276" w:lineRule="auto"/>
              <w:jc w:val="right"/>
              <w:rPr>
                <w:rFonts w:ascii="Times New Roman" w:hAnsi="Times New Roman"/>
              </w:rPr>
            </w:pPr>
            <w:r w:rsidRPr="00155F80">
              <w:rPr>
                <w:rFonts w:ascii="Times New Roman" w:hAnsi="Times New Roman"/>
              </w:rPr>
              <w:t>16862</w:t>
            </w:r>
          </w:p>
        </w:tc>
        <w:tc>
          <w:tcPr>
            <w:tcW w:w="1441" w:type="dxa"/>
            <w:gridSpan w:val="2"/>
          </w:tcPr>
          <w:p w:rsidR="00A131AD" w:rsidRPr="00155F80" w:rsidRDefault="00A131AD" w:rsidP="000C0138">
            <w:pPr>
              <w:spacing w:line="276"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155F80">
              <w:rPr>
                <w:rFonts w:ascii="Times New Roman" w:hAnsi="Times New Roman"/>
              </w:rPr>
              <w:t>283 (1,7%)</w:t>
            </w:r>
          </w:p>
        </w:tc>
        <w:tc>
          <w:tcPr>
            <w:cnfStyle w:val="000010000000" w:firstRow="0" w:lastRow="0" w:firstColumn="0" w:lastColumn="0" w:oddVBand="1" w:evenVBand="0" w:oddHBand="0" w:evenHBand="0" w:firstRowFirstColumn="0" w:firstRowLastColumn="0" w:lastRowFirstColumn="0" w:lastRowLastColumn="0"/>
            <w:tcW w:w="868" w:type="dxa"/>
          </w:tcPr>
          <w:p w:rsidR="00A131AD" w:rsidRPr="00F83CAD" w:rsidRDefault="00A131AD" w:rsidP="000C0138">
            <w:pPr>
              <w:spacing w:line="276" w:lineRule="auto"/>
              <w:jc w:val="right"/>
              <w:rPr>
                <w:rFonts w:ascii="Times New Roman" w:hAnsi="Times New Roman"/>
              </w:rPr>
            </w:pPr>
            <w:r w:rsidRPr="00F83CAD">
              <w:rPr>
                <w:rFonts w:ascii="Times New Roman" w:hAnsi="Times New Roman"/>
              </w:rPr>
              <w:t>6031</w:t>
            </w:r>
          </w:p>
        </w:tc>
        <w:tc>
          <w:tcPr>
            <w:tcW w:w="1447" w:type="dxa"/>
            <w:gridSpan w:val="2"/>
          </w:tcPr>
          <w:p w:rsidR="00A131AD" w:rsidRPr="00F83CAD" w:rsidRDefault="00A131AD" w:rsidP="000C0138">
            <w:pPr>
              <w:spacing w:line="276"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F83CAD">
              <w:rPr>
                <w:rFonts w:ascii="Times New Roman" w:hAnsi="Times New Roman"/>
              </w:rPr>
              <w:t>356 (5,9%)</w:t>
            </w:r>
          </w:p>
        </w:tc>
        <w:tc>
          <w:tcPr>
            <w:cnfStyle w:val="000010000000" w:firstRow="0" w:lastRow="0" w:firstColumn="0" w:lastColumn="0" w:oddVBand="1" w:evenVBand="0" w:oddHBand="0" w:evenHBand="0" w:firstRowFirstColumn="0" w:firstRowLastColumn="0" w:lastRowFirstColumn="0" w:lastRowLastColumn="0"/>
            <w:tcW w:w="920" w:type="dxa"/>
            <w:gridSpan w:val="2"/>
          </w:tcPr>
          <w:p w:rsidR="00A131AD" w:rsidRPr="00F83CAD" w:rsidRDefault="00A131AD" w:rsidP="000C0138">
            <w:pPr>
              <w:spacing w:line="276" w:lineRule="auto"/>
              <w:jc w:val="right"/>
              <w:rPr>
                <w:rFonts w:ascii="Times New Roman" w:hAnsi="Times New Roman"/>
              </w:rPr>
            </w:pPr>
            <w:r w:rsidRPr="00F83CAD">
              <w:rPr>
                <w:rFonts w:ascii="Times New Roman" w:hAnsi="Times New Roman"/>
              </w:rPr>
              <w:t>25427</w:t>
            </w:r>
          </w:p>
        </w:tc>
        <w:tc>
          <w:tcPr>
            <w:cnfStyle w:val="000100000000" w:firstRow="0" w:lastRow="0" w:firstColumn="0" w:lastColumn="1" w:oddVBand="0" w:evenVBand="0" w:oddHBand="0" w:evenHBand="0" w:firstRowFirstColumn="0" w:firstRowLastColumn="0" w:lastRowFirstColumn="0" w:lastRowLastColumn="0"/>
            <w:tcW w:w="1576" w:type="dxa"/>
            <w:gridSpan w:val="2"/>
          </w:tcPr>
          <w:p w:rsidR="00A131AD" w:rsidRPr="00F83CAD" w:rsidRDefault="00A131AD" w:rsidP="000C0138">
            <w:pPr>
              <w:spacing w:line="276" w:lineRule="auto"/>
              <w:jc w:val="right"/>
              <w:rPr>
                <w:rFonts w:ascii="Times New Roman" w:hAnsi="Times New Roman"/>
                <w:b w:val="0"/>
              </w:rPr>
            </w:pPr>
            <w:r w:rsidRPr="00F83CAD">
              <w:rPr>
                <w:rFonts w:ascii="Times New Roman" w:hAnsi="Times New Roman"/>
                <w:b w:val="0"/>
              </w:rPr>
              <w:t>1192 (4,7%)</w:t>
            </w:r>
          </w:p>
        </w:tc>
      </w:tr>
      <w:tr w:rsidR="00A131AD" w:rsidRPr="00F83CAD" w:rsidTr="000A5BE0">
        <w:trPr>
          <w:gridAfter w:val="1"/>
          <w:wAfter w:w="50" w:type="dxa"/>
          <w:trHeight w:val="241"/>
        </w:trPr>
        <w:tc>
          <w:tcPr>
            <w:cnfStyle w:val="001000000000" w:firstRow="0" w:lastRow="0" w:firstColumn="1" w:lastColumn="0" w:oddVBand="0" w:evenVBand="0" w:oddHBand="0" w:evenHBand="0" w:firstRowFirstColumn="0" w:firstRowLastColumn="0" w:lastRowFirstColumn="0" w:lastRowLastColumn="0"/>
            <w:tcW w:w="1046" w:type="dxa"/>
          </w:tcPr>
          <w:p w:rsidR="00A131AD" w:rsidRPr="00B71990" w:rsidRDefault="00A131AD" w:rsidP="000C0138">
            <w:pPr>
              <w:spacing w:line="276" w:lineRule="auto"/>
              <w:jc w:val="center"/>
              <w:rPr>
                <w:rFonts w:ascii="Times New Roman" w:hAnsi="Times New Roman"/>
                <w:b w:val="0"/>
              </w:rPr>
            </w:pPr>
            <w:r w:rsidRPr="00B71990">
              <w:rPr>
                <w:rFonts w:ascii="Times New Roman" w:hAnsi="Times New Roman"/>
                <w:b w:val="0"/>
              </w:rPr>
              <w:t>2012.</w:t>
            </w:r>
          </w:p>
        </w:tc>
        <w:tc>
          <w:tcPr>
            <w:cnfStyle w:val="000010000000" w:firstRow="0" w:lastRow="0" w:firstColumn="0" w:lastColumn="0" w:oddVBand="1" w:evenVBand="0" w:oddHBand="0" w:evenHBand="0" w:firstRowFirstColumn="0" w:firstRowLastColumn="0" w:lastRowFirstColumn="0" w:lastRowLastColumn="0"/>
            <w:tcW w:w="1117" w:type="dxa"/>
            <w:gridSpan w:val="3"/>
          </w:tcPr>
          <w:p w:rsidR="00A131AD" w:rsidRPr="00155F80" w:rsidRDefault="00A131AD" w:rsidP="000C0138">
            <w:pPr>
              <w:spacing w:line="276" w:lineRule="auto"/>
              <w:jc w:val="right"/>
              <w:rPr>
                <w:rFonts w:ascii="Times New Roman" w:hAnsi="Times New Roman"/>
              </w:rPr>
            </w:pPr>
            <w:r w:rsidRPr="00155F80">
              <w:rPr>
                <w:rFonts w:ascii="Times New Roman" w:hAnsi="Times New Roman"/>
              </w:rPr>
              <w:t>19536</w:t>
            </w:r>
          </w:p>
        </w:tc>
        <w:tc>
          <w:tcPr>
            <w:tcW w:w="1441" w:type="dxa"/>
            <w:gridSpan w:val="2"/>
          </w:tcPr>
          <w:p w:rsidR="00A131AD" w:rsidRPr="00155F80" w:rsidRDefault="00A131AD" w:rsidP="000C0138">
            <w:pPr>
              <w:spacing w:line="276"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155F80">
              <w:rPr>
                <w:rFonts w:ascii="Times New Roman" w:hAnsi="Times New Roman"/>
              </w:rPr>
              <w:t>348 (1,8%)</w:t>
            </w:r>
          </w:p>
        </w:tc>
        <w:tc>
          <w:tcPr>
            <w:cnfStyle w:val="000010000000" w:firstRow="0" w:lastRow="0" w:firstColumn="0" w:lastColumn="0" w:oddVBand="1" w:evenVBand="0" w:oddHBand="0" w:evenHBand="0" w:firstRowFirstColumn="0" w:firstRowLastColumn="0" w:lastRowFirstColumn="0" w:lastRowLastColumn="0"/>
            <w:tcW w:w="868" w:type="dxa"/>
          </w:tcPr>
          <w:p w:rsidR="00A131AD" w:rsidRPr="00F83CAD" w:rsidRDefault="00A131AD" w:rsidP="000C0138">
            <w:pPr>
              <w:spacing w:line="276" w:lineRule="auto"/>
              <w:jc w:val="right"/>
              <w:rPr>
                <w:rFonts w:ascii="Times New Roman" w:hAnsi="Times New Roman"/>
              </w:rPr>
            </w:pPr>
            <w:r w:rsidRPr="00F83CAD">
              <w:rPr>
                <w:rFonts w:ascii="Times New Roman" w:hAnsi="Times New Roman"/>
              </w:rPr>
              <w:t>6161</w:t>
            </w:r>
          </w:p>
        </w:tc>
        <w:tc>
          <w:tcPr>
            <w:tcW w:w="1447" w:type="dxa"/>
            <w:gridSpan w:val="2"/>
          </w:tcPr>
          <w:p w:rsidR="00A131AD" w:rsidRPr="00F83CAD" w:rsidRDefault="00A131AD" w:rsidP="000C0138">
            <w:pPr>
              <w:spacing w:line="276"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F83CAD">
              <w:rPr>
                <w:rFonts w:ascii="Times New Roman" w:hAnsi="Times New Roman"/>
              </w:rPr>
              <w:t>493 (8%)</w:t>
            </w:r>
          </w:p>
        </w:tc>
        <w:tc>
          <w:tcPr>
            <w:cnfStyle w:val="000010000000" w:firstRow="0" w:lastRow="0" w:firstColumn="0" w:lastColumn="0" w:oddVBand="1" w:evenVBand="0" w:oddHBand="0" w:evenHBand="0" w:firstRowFirstColumn="0" w:firstRowLastColumn="0" w:lastRowFirstColumn="0" w:lastRowLastColumn="0"/>
            <w:tcW w:w="920" w:type="dxa"/>
            <w:gridSpan w:val="2"/>
          </w:tcPr>
          <w:p w:rsidR="00A131AD" w:rsidRPr="00F83CAD" w:rsidRDefault="00A131AD" w:rsidP="000C0138">
            <w:pPr>
              <w:spacing w:line="276" w:lineRule="auto"/>
              <w:jc w:val="right"/>
              <w:rPr>
                <w:rFonts w:ascii="Times New Roman" w:hAnsi="Times New Roman"/>
              </w:rPr>
            </w:pPr>
            <w:r w:rsidRPr="00F83CAD">
              <w:rPr>
                <w:rFonts w:ascii="Times New Roman" w:hAnsi="Times New Roman"/>
              </w:rPr>
              <w:t>27783</w:t>
            </w:r>
          </w:p>
        </w:tc>
        <w:tc>
          <w:tcPr>
            <w:cnfStyle w:val="000100000000" w:firstRow="0" w:lastRow="0" w:firstColumn="0" w:lastColumn="1" w:oddVBand="0" w:evenVBand="0" w:oddHBand="0" w:evenHBand="0" w:firstRowFirstColumn="0" w:firstRowLastColumn="0" w:lastRowFirstColumn="0" w:lastRowLastColumn="0"/>
            <w:tcW w:w="1576" w:type="dxa"/>
            <w:gridSpan w:val="2"/>
          </w:tcPr>
          <w:p w:rsidR="00A131AD" w:rsidRPr="00F83CAD" w:rsidRDefault="00A131AD" w:rsidP="000C0138">
            <w:pPr>
              <w:spacing w:line="276" w:lineRule="auto"/>
              <w:jc w:val="right"/>
              <w:rPr>
                <w:rFonts w:ascii="Times New Roman" w:hAnsi="Times New Roman"/>
                <w:b w:val="0"/>
              </w:rPr>
            </w:pPr>
            <w:r w:rsidRPr="00F83CAD">
              <w:rPr>
                <w:rFonts w:ascii="Times New Roman" w:hAnsi="Times New Roman"/>
                <w:b w:val="0"/>
              </w:rPr>
              <w:t>1266 (4,6%)</w:t>
            </w:r>
          </w:p>
        </w:tc>
      </w:tr>
      <w:tr w:rsidR="00A131AD" w:rsidRPr="00F83CAD" w:rsidTr="000A5BE0">
        <w:trPr>
          <w:gridAfter w:val="1"/>
          <w:cnfStyle w:val="000000100000" w:firstRow="0" w:lastRow="0" w:firstColumn="0" w:lastColumn="0" w:oddVBand="0" w:evenVBand="0" w:oddHBand="1" w:evenHBand="0" w:firstRowFirstColumn="0" w:firstRowLastColumn="0" w:lastRowFirstColumn="0" w:lastRowLastColumn="0"/>
          <w:wAfter w:w="50" w:type="dxa"/>
          <w:trHeight w:val="241"/>
        </w:trPr>
        <w:tc>
          <w:tcPr>
            <w:cnfStyle w:val="001000000000" w:firstRow="0" w:lastRow="0" w:firstColumn="1" w:lastColumn="0" w:oddVBand="0" w:evenVBand="0" w:oddHBand="0" w:evenHBand="0" w:firstRowFirstColumn="0" w:firstRowLastColumn="0" w:lastRowFirstColumn="0" w:lastRowLastColumn="0"/>
            <w:tcW w:w="1046" w:type="dxa"/>
          </w:tcPr>
          <w:p w:rsidR="00A131AD" w:rsidRPr="00B71990" w:rsidRDefault="00A131AD" w:rsidP="000C0138">
            <w:pPr>
              <w:pStyle w:val="tabele0"/>
              <w:spacing w:line="276" w:lineRule="auto"/>
              <w:ind w:left="0" w:firstLine="0"/>
              <w:jc w:val="center"/>
              <w:rPr>
                <w:b w:val="0"/>
                <w:i w:val="0"/>
                <w:lang w:val="hr-HR"/>
              </w:rPr>
            </w:pPr>
            <w:r w:rsidRPr="00B71990">
              <w:rPr>
                <w:b w:val="0"/>
                <w:i w:val="0"/>
                <w:lang w:val="hr-HR"/>
              </w:rPr>
              <w:t>2013</w:t>
            </w:r>
            <w:r w:rsidR="00B71990">
              <w:rPr>
                <w:b w:val="0"/>
                <w:i w:val="0"/>
                <w:lang w:val="hr-HR"/>
              </w:rPr>
              <w:t>.</w:t>
            </w:r>
          </w:p>
        </w:tc>
        <w:tc>
          <w:tcPr>
            <w:cnfStyle w:val="000010000000" w:firstRow="0" w:lastRow="0" w:firstColumn="0" w:lastColumn="0" w:oddVBand="1" w:evenVBand="0" w:oddHBand="0" w:evenHBand="0" w:firstRowFirstColumn="0" w:firstRowLastColumn="0" w:lastRowFirstColumn="0" w:lastRowLastColumn="0"/>
            <w:tcW w:w="1117" w:type="dxa"/>
            <w:gridSpan w:val="3"/>
          </w:tcPr>
          <w:p w:rsidR="00A131AD" w:rsidRPr="00155F80" w:rsidRDefault="00A131AD" w:rsidP="000C0138">
            <w:pPr>
              <w:pStyle w:val="tabele0"/>
              <w:spacing w:line="276" w:lineRule="auto"/>
              <w:ind w:left="0" w:firstLine="0"/>
              <w:jc w:val="right"/>
              <w:rPr>
                <w:i w:val="0"/>
                <w:lang w:val="hr-HR"/>
              </w:rPr>
            </w:pPr>
            <w:r w:rsidRPr="00155F80">
              <w:rPr>
                <w:i w:val="0"/>
                <w:lang w:val="hr-HR"/>
              </w:rPr>
              <w:t>11659</w:t>
            </w:r>
          </w:p>
        </w:tc>
        <w:tc>
          <w:tcPr>
            <w:tcW w:w="1441" w:type="dxa"/>
            <w:gridSpan w:val="2"/>
          </w:tcPr>
          <w:p w:rsidR="00A131AD" w:rsidRPr="00155F80" w:rsidRDefault="00A131AD" w:rsidP="000C0138">
            <w:pPr>
              <w:pStyle w:val="tabele0"/>
              <w:spacing w:line="276" w:lineRule="auto"/>
              <w:ind w:left="0" w:firstLine="0"/>
              <w:jc w:val="right"/>
              <w:cnfStyle w:val="000000100000" w:firstRow="0" w:lastRow="0" w:firstColumn="0" w:lastColumn="0" w:oddVBand="0" w:evenVBand="0" w:oddHBand="1" w:evenHBand="0" w:firstRowFirstColumn="0" w:firstRowLastColumn="0" w:lastRowFirstColumn="0" w:lastRowLastColumn="0"/>
              <w:rPr>
                <w:i w:val="0"/>
                <w:lang w:val="hr-HR"/>
              </w:rPr>
            </w:pPr>
            <w:r w:rsidRPr="00155F80">
              <w:rPr>
                <w:i w:val="0"/>
                <w:lang w:val="hr-HR"/>
              </w:rPr>
              <w:t>399 (3,4%)</w:t>
            </w:r>
          </w:p>
        </w:tc>
        <w:tc>
          <w:tcPr>
            <w:cnfStyle w:val="000010000000" w:firstRow="0" w:lastRow="0" w:firstColumn="0" w:lastColumn="0" w:oddVBand="1" w:evenVBand="0" w:oddHBand="0" w:evenHBand="0" w:firstRowFirstColumn="0" w:firstRowLastColumn="0" w:lastRowFirstColumn="0" w:lastRowLastColumn="0"/>
            <w:tcW w:w="868" w:type="dxa"/>
          </w:tcPr>
          <w:p w:rsidR="00A131AD" w:rsidRPr="00F83CAD" w:rsidRDefault="00A131AD" w:rsidP="000C0138">
            <w:pPr>
              <w:pStyle w:val="tabele0"/>
              <w:spacing w:line="276" w:lineRule="auto"/>
              <w:ind w:left="0" w:firstLine="0"/>
              <w:jc w:val="right"/>
              <w:rPr>
                <w:i w:val="0"/>
                <w:lang w:val="hr-HR"/>
              </w:rPr>
            </w:pPr>
            <w:r w:rsidRPr="00F83CAD">
              <w:rPr>
                <w:i w:val="0"/>
                <w:lang w:val="hr-HR"/>
              </w:rPr>
              <w:t>5239</w:t>
            </w:r>
          </w:p>
        </w:tc>
        <w:tc>
          <w:tcPr>
            <w:tcW w:w="1447" w:type="dxa"/>
            <w:gridSpan w:val="2"/>
          </w:tcPr>
          <w:p w:rsidR="00A131AD" w:rsidRPr="00F83CAD" w:rsidRDefault="00A131AD" w:rsidP="000C0138">
            <w:pPr>
              <w:pStyle w:val="tabele0"/>
              <w:spacing w:line="276" w:lineRule="auto"/>
              <w:ind w:left="0" w:firstLine="0"/>
              <w:jc w:val="right"/>
              <w:cnfStyle w:val="000000100000" w:firstRow="0" w:lastRow="0" w:firstColumn="0" w:lastColumn="0" w:oddVBand="0" w:evenVBand="0" w:oddHBand="1" w:evenHBand="0" w:firstRowFirstColumn="0" w:firstRowLastColumn="0" w:lastRowFirstColumn="0" w:lastRowLastColumn="0"/>
              <w:rPr>
                <w:i w:val="0"/>
                <w:lang w:val="hr-HR"/>
              </w:rPr>
            </w:pPr>
            <w:r w:rsidRPr="00F83CAD">
              <w:rPr>
                <w:i w:val="0"/>
                <w:lang w:val="hr-HR"/>
              </w:rPr>
              <w:t>267 (5,1%)</w:t>
            </w:r>
          </w:p>
        </w:tc>
        <w:tc>
          <w:tcPr>
            <w:cnfStyle w:val="000010000000" w:firstRow="0" w:lastRow="0" w:firstColumn="0" w:lastColumn="0" w:oddVBand="1" w:evenVBand="0" w:oddHBand="0" w:evenHBand="0" w:firstRowFirstColumn="0" w:firstRowLastColumn="0" w:lastRowFirstColumn="0" w:lastRowLastColumn="0"/>
            <w:tcW w:w="920" w:type="dxa"/>
            <w:gridSpan w:val="2"/>
          </w:tcPr>
          <w:p w:rsidR="00A131AD" w:rsidRPr="00F83CAD" w:rsidRDefault="00A131AD" w:rsidP="000C0138">
            <w:pPr>
              <w:pStyle w:val="tabele0"/>
              <w:spacing w:line="276" w:lineRule="auto"/>
              <w:ind w:left="0" w:firstLine="0"/>
              <w:jc w:val="right"/>
              <w:rPr>
                <w:i w:val="0"/>
                <w:lang w:val="hr-HR"/>
              </w:rPr>
            </w:pPr>
            <w:r w:rsidRPr="00F83CAD">
              <w:rPr>
                <w:i w:val="0"/>
                <w:lang w:val="hr-HR"/>
              </w:rPr>
              <w:t>25966</w:t>
            </w:r>
          </w:p>
        </w:tc>
        <w:tc>
          <w:tcPr>
            <w:cnfStyle w:val="000100000000" w:firstRow="0" w:lastRow="0" w:firstColumn="0" w:lastColumn="1" w:oddVBand="0" w:evenVBand="0" w:oddHBand="0" w:evenHBand="0" w:firstRowFirstColumn="0" w:firstRowLastColumn="0" w:lastRowFirstColumn="0" w:lastRowLastColumn="0"/>
            <w:tcW w:w="1576" w:type="dxa"/>
            <w:gridSpan w:val="2"/>
          </w:tcPr>
          <w:p w:rsidR="00A131AD" w:rsidRPr="00F83CAD" w:rsidRDefault="00A131AD" w:rsidP="000C0138">
            <w:pPr>
              <w:pStyle w:val="tabele0"/>
              <w:spacing w:line="276" w:lineRule="auto"/>
              <w:ind w:left="0" w:firstLine="0"/>
              <w:jc w:val="right"/>
              <w:rPr>
                <w:b w:val="0"/>
                <w:i w:val="0"/>
                <w:lang w:val="hr-HR"/>
              </w:rPr>
            </w:pPr>
            <w:r w:rsidRPr="00F83CAD">
              <w:rPr>
                <w:b w:val="0"/>
                <w:i w:val="0"/>
                <w:lang w:val="hr-HR"/>
              </w:rPr>
              <w:t>2051 (7,9%)</w:t>
            </w:r>
          </w:p>
        </w:tc>
      </w:tr>
      <w:tr w:rsidR="00A131AD" w:rsidRPr="00F83CAD" w:rsidTr="000A5BE0">
        <w:trPr>
          <w:gridAfter w:val="1"/>
          <w:wAfter w:w="50" w:type="dxa"/>
          <w:trHeight w:val="241"/>
        </w:trPr>
        <w:tc>
          <w:tcPr>
            <w:cnfStyle w:val="001000000000" w:firstRow="0" w:lastRow="0" w:firstColumn="1" w:lastColumn="0" w:oddVBand="0" w:evenVBand="0" w:oddHBand="0" w:evenHBand="0" w:firstRowFirstColumn="0" w:firstRowLastColumn="0" w:lastRowFirstColumn="0" w:lastRowLastColumn="0"/>
            <w:tcW w:w="1046" w:type="dxa"/>
          </w:tcPr>
          <w:p w:rsidR="00A131AD" w:rsidRPr="00B71990" w:rsidRDefault="00A131AD" w:rsidP="000C0138">
            <w:pPr>
              <w:pStyle w:val="tabele0"/>
              <w:spacing w:line="276" w:lineRule="auto"/>
              <w:ind w:left="0" w:firstLine="0"/>
              <w:jc w:val="center"/>
              <w:rPr>
                <w:b w:val="0"/>
                <w:i w:val="0"/>
                <w:lang w:val="hr-HR"/>
              </w:rPr>
            </w:pPr>
            <w:r w:rsidRPr="00B71990">
              <w:rPr>
                <w:b w:val="0"/>
                <w:i w:val="0"/>
                <w:lang w:val="hr-HR"/>
              </w:rPr>
              <w:t>2014</w:t>
            </w:r>
            <w:r w:rsidR="00B71990">
              <w:rPr>
                <w:b w:val="0"/>
                <w:i w:val="0"/>
                <w:lang w:val="hr-HR"/>
              </w:rPr>
              <w:t>.</w:t>
            </w:r>
          </w:p>
        </w:tc>
        <w:tc>
          <w:tcPr>
            <w:cnfStyle w:val="000010000000" w:firstRow="0" w:lastRow="0" w:firstColumn="0" w:lastColumn="0" w:oddVBand="1" w:evenVBand="0" w:oddHBand="0" w:evenHBand="0" w:firstRowFirstColumn="0" w:firstRowLastColumn="0" w:lastRowFirstColumn="0" w:lastRowLastColumn="0"/>
            <w:tcW w:w="1117" w:type="dxa"/>
            <w:gridSpan w:val="3"/>
          </w:tcPr>
          <w:p w:rsidR="00A131AD" w:rsidRPr="00155F80" w:rsidRDefault="00A131AD" w:rsidP="000C0138">
            <w:pPr>
              <w:pStyle w:val="tabele0"/>
              <w:spacing w:line="276" w:lineRule="auto"/>
              <w:ind w:left="0" w:firstLine="0"/>
              <w:jc w:val="right"/>
              <w:rPr>
                <w:i w:val="0"/>
                <w:lang w:val="hr-HR"/>
              </w:rPr>
            </w:pPr>
            <w:r w:rsidRPr="00155F80">
              <w:rPr>
                <w:i w:val="0"/>
                <w:lang w:val="hr-HR"/>
              </w:rPr>
              <w:t>14123</w:t>
            </w:r>
          </w:p>
        </w:tc>
        <w:tc>
          <w:tcPr>
            <w:tcW w:w="1441" w:type="dxa"/>
            <w:gridSpan w:val="2"/>
          </w:tcPr>
          <w:p w:rsidR="00A131AD" w:rsidRPr="00155F80" w:rsidRDefault="00A131AD" w:rsidP="000C0138">
            <w:pPr>
              <w:pStyle w:val="tabele0"/>
              <w:spacing w:line="276" w:lineRule="auto"/>
              <w:ind w:left="0" w:firstLine="0"/>
              <w:jc w:val="right"/>
              <w:cnfStyle w:val="000000000000" w:firstRow="0" w:lastRow="0" w:firstColumn="0" w:lastColumn="0" w:oddVBand="0" w:evenVBand="0" w:oddHBand="0" w:evenHBand="0" w:firstRowFirstColumn="0" w:firstRowLastColumn="0" w:lastRowFirstColumn="0" w:lastRowLastColumn="0"/>
              <w:rPr>
                <w:i w:val="0"/>
                <w:lang w:val="hr-HR"/>
              </w:rPr>
            </w:pPr>
            <w:r w:rsidRPr="00155F80">
              <w:rPr>
                <w:i w:val="0"/>
                <w:lang w:val="hr-HR"/>
              </w:rPr>
              <w:t>597(4,2%)</w:t>
            </w:r>
          </w:p>
        </w:tc>
        <w:tc>
          <w:tcPr>
            <w:cnfStyle w:val="000010000000" w:firstRow="0" w:lastRow="0" w:firstColumn="0" w:lastColumn="0" w:oddVBand="1" w:evenVBand="0" w:oddHBand="0" w:evenHBand="0" w:firstRowFirstColumn="0" w:firstRowLastColumn="0" w:lastRowFirstColumn="0" w:lastRowLastColumn="0"/>
            <w:tcW w:w="868" w:type="dxa"/>
          </w:tcPr>
          <w:p w:rsidR="00A131AD" w:rsidRPr="00F83CAD" w:rsidRDefault="00A131AD" w:rsidP="000C0138">
            <w:pPr>
              <w:pStyle w:val="tabele0"/>
              <w:spacing w:line="276" w:lineRule="auto"/>
              <w:ind w:left="0" w:firstLine="0"/>
              <w:jc w:val="right"/>
              <w:rPr>
                <w:i w:val="0"/>
                <w:lang w:val="hr-HR"/>
              </w:rPr>
            </w:pPr>
            <w:r w:rsidRPr="00F83CAD">
              <w:rPr>
                <w:i w:val="0"/>
                <w:lang w:val="hr-HR"/>
              </w:rPr>
              <w:t>5256</w:t>
            </w:r>
          </w:p>
        </w:tc>
        <w:tc>
          <w:tcPr>
            <w:tcW w:w="1447" w:type="dxa"/>
            <w:gridSpan w:val="2"/>
          </w:tcPr>
          <w:p w:rsidR="00A131AD" w:rsidRPr="00F83CAD" w:rsidRDefault="00A131AD" w:rsidP="000C0138">
            <w:pPr>
              <w:pStyle w:val="tabele0"/>
              <w:spacing w:line="276" w:lineRule="auto"/>
              <w:ind w:left="0" w:firstLine="0"/>
              <w:jc w:val="right"/>
              <w:cnfStyle w:val="000000000000" w:firstRow="0" w:lastRow="0" w:firstColumn="0" w:lastColumn="0" w:oddVBand="0" w:evenVBand="0" w:oddHBand="0" w:evenHBand="0" w:firstRowFirstColumn="0" w:firstRowLastColumn="0" w:lastRowFirstColumn="0" w:lastRowLastColumn="0"/>
              <w:rPr>
                <w:i w:val="0"/>
                <w:lang w:val="hr-HR"/>
              </w:rPr>
            </w:pPr>
            <w:r w:rsidRPr="00F83CAD">
              <w:rPr>
                <w:i w:val="0"/>
                <w:lang w:val="hr-HR"/>
              </w:rPr>
              <w:t>315 (5,9%)</w:t>
            </w:r>
          </w:p>
        </w:tc>
        <w:tc>
          <w:tcPr>
            <w:cnfStyle w:val="000010000000" w:firstRow="0" w:lastRow="0" w:firstColumn="0" w:lastColumn="0" w:oddVBand="1" w:evenVBand="0" w:oddHBand="0" w:evenHBand="0" w:firstRowFirstColumn="0" w:firstRowLastColumn="0" w:lastRowFirstColumn="0" w:lastRowLastColumn="0"/>
            <w:tcW w:w="920" w:type="dxa"/>
            <w:gridSpan w:val="2"/>
          </w:tcPr>
          <w:p w:rsidR="00A131AD" w:rsidRPr="00F83CAD" w:rsidRDefault="00A131AD" w:rsidP="000C0138">
            <w:pPr>
              <w:pStyle w:val="tabele0"/>
              <w:spacing w:line="276" w:lineRule="auto"/>
              <w:ind w:left="0" w:firstLine="0"/>
              <w:jc w:val="right"/>
              <w:rPr>
                <w:i w:val="0"/>
                <w:lang w:val="hr-HR"/>
              </w:rPr>
            </w:pPr>
            <w:r w:rsidRPr="00F83CAD">
              <w:rPr>
                <w:i w:val="0"/>
                <w:lang w:val="hr-HR"/>
              </w:rPr>
              <w:t>20913</w:t>
            </w:r>
          </w:p>
        </w:tc>
        <w:tc>
          <w:tcPr>
            <w:cnfStyle w:val="000100000000" w:firstRow="0" w:lastRow="0" w:firstColumn="0" w:lastColumn="1" w:oddVBand="0" w:evenVBand="0" w:oddHBand="0" w:evenHBand="0" w:firstRowFirstColumn="0" w:firstRowLastColumn="0" w:lastRowFirstColumn="0" w:lastRowLastColumn="0"/>
            <w:tcW w:w="1576" w:type="dxa"/>
            <w:gridSpan w:val="2"/>
          </w:tcPr>
          <w:p w:rsidR="00A131AD" w:rsidRPr="00F83CAD" w:rsidRDefault="00A131AD" w:rsidP="000C0138">
            <w:pPr>
              <w:pStyle w:val="tabele0"/>
              <w:spacing w:line="276" w:lineRule="auto"/>
              <w:ind w:left="0" w:firstLine="0"/>
              <w:jc w:val="right"/>
              <w:rPr>
                <w:b w:val="0"/>
                <w:i w:val="0"/>
                <w:lang w:val="hr-HR"/>
              </w:rPr>
            </w:pPr>
            <w:r w:rsidRPr="00F83CAD">
              <w:rPr>
                <w:b w:val="0"/>
                <w:i w:val="0"/>
                <w:lang w:val="hr-HR"/>
              </w:rPr>
              <w:t>1903 (9%)</w:t>
            </w:r>
          </w:p>
        </w:tc>
      </w:tr>
      <w:tr w:rsidR="00A131AD" w:rsidRPr="00F83CAD" w:rsidTr="000A5BE0">
        <w:trPr>
          <w:gridAfter w:val="1"/>
          <w:cnfStyle w:val="000000100000" w:firstRow="0" w:lastRow="0" w:firstColumn="0" w:lastColumn="0" w:oddVBand="0" w:evenVBand="0" w:oddHBand="1" w:evenHBand="0" w:firstRowFirstColumn="0" w:firstRowLastColumn="0" w:lastRowFirstColumn="0" w:lastRowLastColumn="0"/>
          <w:wAfter w:w="50" w:type="dxa"/>
          <w:trHeight w:val="241"/>
        </w:trPr>
        <w:tc>
          <w:tcPr>
            <w:cnfStyle w:val="001000000000" w:firstRow="0" w:lastRow="0" w:firstColumn="1" w:lastColumn="0" w:oddVBand="0" w:evenVBand="0" w:oddHBand="0" w:evenHBand="0" w:firstRowFirstColumn="0" w:firstRowLastColumn="0" w:lastRowFirstColumn="0" w:lastRowLastColumn="0"/>
            <w:tcW w:w="1046" w:type="dxa"/>
          </w:tcPr>
          <w:p w:rsidR="00A131AD" w:rsidRPr="00B71990" w:rsidRDefault="00A131AD" w:rsidP="000C0138">
            <w:pPr>
              <w:spacing w:line="276" w:lineRule="auto"/>
              <w:jc w:val="center"/>
              <w:rPr>
                <w:rFonts w:ascii="Times New Roman" w:hAnsi="Times New Roman"/>
                <w:b w:val="0"/>
              </w:rPr>
            </w:pPr>
            <w:r w:rsidRPr="00B71990">
              <w:rPr>
                <w:rFonts w:ascii="Times New Roman" w:hAnsi="Times New Roman"/>
                <w:b w:val="0"/>
              </w:rPr>
              <w:t>2015</w:t>
            </w:r>
            <w:r w:rsidR="00B71990">
              <w:rPr>
                <w:rFonts w:ascii="Times New Roman" w:hAnsi="Times New Roman"/>
                <w:b w:val="0"/>
              </w:rPr>
              <w:t>.</w:t>
            </w:r>
          </w:p>
        </w:tc>
        <w:tc>
          <w:tcPr>
            <w:cnfStyle w:val="000010000000" w:firstRow="0" w:lastRow="0" w:firstColumn="0" w:lastColumn="0" w:oddVBand="1" w:evenVBand="0" w:oddHBand="0" w:evenHBand="0" w:firstRowFirstColumn="0" w:firstRowLastColumn="0" w:lastRowFirstColumn="0" w:lastRowLastColumn="0"/>
            <w:tcW w:w="1117" w:type="dxa"/>
            <w:gridSpan w:val="3"/>
          </w:tcPr>
          <w:p w:rsidR="00A131AD" w:rsidRPr="00155F80" w:rsidRDefault="00A131AD" w:rsidP="000C0138">
            <w:pPr>
              <w:spacing w:line="276" w:lineRule="auto"/>
              <w:jc w:val="right"/>
              <w:rPr>
                <w:rFonts w:ascii="Times New Roman" w:hAnsi="Times New Roman"/>
              </w:rPr>
            </w:pPr>
            <w:r w:rsidRPr="00155F80">
              <w:rPr>
                <w:rFonts w:ascii="Times New Roman" w:hAnsi="Times New Roman"/>
              </w:rPr>
              <w:t>13659</w:t>
            </w:r>
          </w:p>
        </w:tc>
        <w:tc>
          <w:tcPr>
            <w:tcW w:w="1441" w:type="dxa"/>
            <w:gridSpan w:val="2"/>
          </w:tcPr>
          <w:p w:rsidR="00A131AD" w:rsidRPr="00155F80" w:rsidRDefault="00A131AD" w:rsidP="000C0138">
            <w:pPr>
              <w:spacing w:line="276"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155F80">
              <w:rPr>
                <w:rFonts w:ascii="Times New Roman" w:hAnsi="Times New Roman"/>
              </w:rPr>
              <w:t xml:space="preserve">446 </w:t>
            </w:r>
            <w:r w:rsidRPr="00155F80">
              <w:rPr>
                <w:rFonts w:ascii="Times New Roman" w:hAnsi="Times New Roman"/>
                <w:lang w:val="hr-HR"/>
              </w:rPr>
              <w:t>(3,3%)</w:t>
            </w:r>
          </w:p>
        </w:tc>
        <w:tc>
          <w:tcPr>
            <w:cnfStyle w:val="000010000000" w:firstRow="0" w:lastRow="0" w:firstColumn="0" w:lastColumn="0" w:oddVBand="1" w:evenVBand="0" w:oddHBand="0" w:evenHBand="0" w:firstRowFirstColumn="0" w:firstRowLastColumn="0" w:lastRowFirstColumn="0" w:lastRowLastColumn="0"/>
            <w:tcW w:w="868" w:type="dxa"/>
          </w:tcPr>
          <w:p w:rsidR="00A131AD" w:rsidRPr="00F83CAD" w:rsidRDefault="00A131AD" w:rsidP="000C0138">
            <w:pPr>
              <w:spacing w:line="276" w:lineRule="auto"/>
              <w:jc w:val="right"/>
              <w:rPr>
                <w:rFonts w:ascii="Times New Roman" w:hAnsi="Times New Roman"/>
              </w:rPr>
            </w:pPr>
            <w:r w:rsidRPr="00F83CAD">
              <w:rPr>
                <w:rFonts w:ascii="Times New Roman" w:hAnsi="Times New Roman"/>
              </w:rPr>
              <w:t>5206</w:t>
            </w:r>
          </w:p>
        </w:tc>
        <w:tc>
          <w:tcPr>
            <w:tcW w:w="1447" w:type="dxa"/>
            <w:gridSpan w:val="2"/>
          </w:tcPr>
          <w:p w:rsidR="00A131AD" w:rsidRPr="00F83CAD" w:rsidRDefault="00A131AD" w:rsidP="000C0138">
            <w:pPr>
              <w:spacing w:line="276"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F83CAD">
              <w:rPr>
                <w:rFonts w:ascii="Times New Roman" w:hAnsi="Times New Roman"/>
              </w:rPr>
              <w:t>215</w:t>
            </w:r>
            <w:r w:rsidRPr="00F83CAD">
              <w:rPr>
                <w:rFonts w:ascii="Times New Roman" w:hAnsi="Times New Roman"/>
                <w:lang w:val="hr-HR"/>
              </w:rPr>
              <w:t>(4,1%)</w:t>
            </w:r>
          </w:p>
        </w:tc>
        <w:tc>
          <w:tcPr>
            <w:cnfStyle w:val="000010000000" w:firstRow="0" w:lastRow="0" w:firstColumn="0" w:lastColumn="0" w:oddVBand="1" w:evenVBand="0" w:oddHBand="0" w:evenHBand="0" w:firstRowFirstColumn="0" w:firstRowLastColumn="0" w:lastRowFirstColumn="0" w:lastRowLastColumn="0"/>
            <w:tcW w:w="920" w:type="dxa"/>
            <w:gridSpan w:val="2"/>
          </w:tcPr>
          <w:p w:rsidR="00A131AD" w:rsidRPr="00F83CAD" w:rsidRDefault="00A131AD" w:rsidP="000C0138">
            <w:pPr>
              <w:spacing w:line="276" w:lineRule="auto"/>
              <w:jc w:val="right"/>
              <w:rPr>
                <w:rFonts w:ascii="Times New Roman" w:hAnsi="Times New Roman"/>
              </w:rPr>
            </w:pPr>
            <w:r w:rsidRPr="00F83CAD">
              <w:rPr>
                <w:rFonts w:ascii="Times New Roman" w:hAnsi="Times New Roman"/>
              </w:rPr>
              <w:t>19638</w:t>
            </w:r>
          </w:p>
        </w:tc>
        <w:tc>
          <w:tcPr>
            <w:cnfStyle w:val="000100000000" w:firstRow="0" w:lastRow="0" w:firstColumn="0" w:lastColumn="1" w:oddVBand="0" w:evenVBand="0" w:oddHBand="0" w:evenHBand="0" w:firstRowFirstColumn="0" w:firstRowLastColumn="0" w:lastRowFirstColumn="0" w:lastRowLastColumn="0"/>
            <w:tcW w:w="1576" w:type="dxa"/>
            <w:gridSpan w:val="2"/>
          </w:tcPr>
          <w:p w:rsidR="00A131AD" w:rsidRPr="00F83CAD" w:rsidRDefault="00A131AD" w:rsidP="000C0138">
            <w:pPr>
              <w:spacing w:line="276" w:lineRule="auto"/>
              <w:jc w:val="right"/>
              <w:rPr>
                <w:rFonts w:ascii="Times New Roman" w:hAnsi="Times New Roman"/>
                <w:b w:val="0"/>
              </w:rPr>
            </w:pPr>
            <w:r w:rsidRPr="00F83CAD">
              <w:rPr>
                <w:rFonts w:ascii="Times New Roman" w:hAnsi="Times New Roman"/>
                <w:b w:val="0"/>
              </w:rPr>
              <w:t>1488</w:t>
            </w:r>
            <w:r w:rsidR="00F83CAD">
              <w:rPr>
                <w:rFonts w:ascii="Times New Roman" w:hAnsi="Times New Roman"/>
                <w:b w:val="0"/>
              </w:rPr>
              <w:t xml:space="preserve"> </w:t>
            </w:r>
            <w:r w:rsidRPr="00F83CAD">
              <w:rPr>
                <w:rFonts w:ascii="Times New Roman" w:hAnsi="Times New Roman"/>
                <w:b w:val="0"/>
                <w:lang w:val="hr-HR"/>
              </w:rPr>
              <w:t>(7,6%)</w:t>
            </w:r>
          </w:p>
        </w:tc>
      </w:tr>
      <w:tr w:rsidR="00A131AD" w:rsidRPr="00155F80" w:rsidTr="003066C2">
        <w:trPr>
          <w:trHeight w:val="114"/>
        </w:trPr>
        <w:tc>
          <w:tcPr>
            <w:cnfStyle w:val="001000000000" w:firstRow="0" w:lastRow="0" w:firstColumn="1" w:lastColumn="0" w:oddVBand="0" w:evenVBand="0" w:oddHBand="0" w:evenHBand="0" w:firstRowFirstColumn="0" w:firstRowLastColumn="0" w:lastRowFirstColumn="0" w:lastRowLastColumn="0"/>
            <w:tcW w:w="8465" w:type="dxa"/>
            <w:gridSpan w:val="14"/>
            <w:shd w:val="clear" w:color="auto" w:fill="E7E6E6" w:themeFill="background2"/>
          </w:tcPr>
          <w:p w:rsidR="00A131AD" w:rsidRPr="003066C2" w:rsidRDefault="00A131AD" w:rsidP="000C0138">
            <w:pPr>
              <w:spacing w:line="276" w:lineRule="auto"/>
              <w:jc w:val="center"/>
              <w:rPr>
                <w:rFonts w:ascii="Times New Roman" w:hAnsi="Times New Roman"/>
                <w:color w:val="000000" w:themeColor="text1"/>
              </w:rPr>
            </w:pPr>
            <w:r w:rsidRPr="003066C2">
              <w:rPr>
                <w:rFonts w:ascii="Times New Roman" w:hAnsi="Times New Roman"/>
                <w:color w:val="000000" w:themeColor="text1"/>
              </w:rPr>
              <w:t>Namirnice</w:t>
            </w:r>
          </w:p>
        </w:tc>
      </w:tr>
      <w:tr w:rsidR="00A131AD" w:rsidRPr="00155F80" w:rsidTr="003066C2">
        <w:trPr>
          <w:cnfStyle w:val="000000100000" w:firstRow="0" w:lastRow="0" w:firstColumn="0" w:lastColumn="0" w:oddVBand="0" w:evenVBand="0" w:oddHBand="1" w:evenHBand="0" w:firstRowFirstColumn="0" w:firstRowLastColumn="0" w:lastRowFirstColumn="0" w:lastRowLastColumn="0"/>
          <w:trHeight w:val="107"/>
        </w:trPr>
        <w:tc>
          <w:tcPr>
            <w:cnfStyle w:val="001000000000" w:firstRow="0" w:lastRow="0" w:firstColumn="1" w:lastColumn="0" w:oddVBand="0" w:evenVBand="0" w:oddHBand="0" w:evenHBand="0" w:firstRowFirstColumn="0" w:firstRowLastColumn="0" w:lastRowFirstColumn="0" w:lastRowLastColumn="0"/>
            <w:tcW w:w="8465" w:type="dxa"/>
            <w:gridSpan w:val="14"/>
            <w:shd w:val="clear" w:color="auto" w:fill="E7E6E6" w:themeFill="background2"/>
          </w:tcPr>
          <w:p w:rsidR="00A131AD" w:rsidRPr="003066C2" w:rsidRDefault="00A131AD" w:rsidP="000C0138">
            <w:pPr>
              <w:spacing w:line="276" w:lineRule="auto"/>
              <w:jc w:val="center"/>
              <w:rPr>
                <w:rFonts w:ascii="Times New Roman" w:hAnsi="Times New Roman"/>
                <w:color w:val="000000" w:themeColor="text1"/>
              </w:rPr>
            </w:pPr>
            <w:r w:rsidRPr="003066C2">
              <w:rPr>
                <w:rFonts w:ascii="Times New Roman" w:hAnsi="Times New Roman"/>
                <w:color w:val="000000" w:themeColor="text1"/>
              </w:rPr>
              <w:t>Promet</w:t>
            </w:r>
          </w:p>
        </w:tc>
      </w:tr>
      <w:tr w:rsidR="00A131AD" w:rsidRPr="00155F80" w:rsidTr="000A5BE0">
        <w:trPr>
          <w:trHeight w:val="114"/>
        </w:trPr>
        <w:tc>
          <w:tcPr>
            <w:cnfStyle w:val="001000000000" w:firstRow="0" w:lastRow="0" w:firstColumn="1" w:lastColumn="0" w:oddVBand="0" w:evenVBand="0" w:oddHBand="0" w:evenHBand="0" w:firstRowFirstColumn="0" w:firstRowLastColumn="0" w:lastRowFirstColumn="0" w:lastRowLastColumn="0"/>
            <w:tcW w:w="1052" w:type="dxa"/>
            <w:gridSpan w:val="2"/>
            <w:vMerge w:val="restart"/>
          </w:tcPr>
          <w:p w:rsidR="00A131AD" w:rsidRPr="00155F80" w:rsidRDefault="00A131AD" w:rsidP="000C0138">
            <w:pPr>
              <w:spacing w:line="276" w:lineRule="auto"/>
              <w:jc w:val="center"/>
              <w:rPr>
                <w:rFonts w:ascii="Times New Roman" w:hAnsi="Times New Roman"/>
              </w:rPr>
            </w:pPr>
            <w:r w:rsidRPr="00155F80">
              <w:rPr>
                <w:rFonts w:ascii="Times New Roman" w:hAnsi="Times New Roman"/>
              </w:rPr>
              <w:t>Godina</w:t>
            </w:r>
          </w:p>
        </w:tc>
        <w:tc>
          <w:tcPr>
            <w:cnfStyle w:val="000010000000" w:firstRow="0" w:lastRow="0" w:firstColumn="0" w:lastColumn="0" w:oddVBand="1" w:evenVBand="0" w:oddHBand="0" w:evenHBand="0" w:firstRowFirstColumn="0" w:firstRowLastColumn="0" w:lastRowFirstColumn="0" w:lastRowLastColumn="0"/>
            <w:tcW w:w="2501" w:type="dxa"/>
            <w:gridSpan w:val="3"/>
          </w:tcPr>
          <w:p w:rsidR="00A131AD" w:rsidRPr="00155F80" w:rsidRDefault="00A131AD" w:rsidP="000C0138">
            <w:pPr>
              <w:spacing w:line="276" w:lineRule="auto"/>
              <w:rPr>
                <w:rFonts w:ascii="Times New Roman" w:hAnsi="Times New Roman"/>
              </w:rPr>
            </w:pPr>
            <w:r w:rsidRPr="00155F80">
              <w:rPr>
                <w:rFonts w:ascii="Times New Roman" w:hAnsi="Times New Roman"/>
              </w:rPr>
              <w:t>Organoleptički pregled  uzoraka</w:t>
            </w:r>
          </w:p>
        </w:tc>
        <w:tc>
          <w:tcPr>
            <w:tcW w:w="2398" w:type="dxa"/>
            <w:gridSpan w:val="5"/>
          </w:tcPr>
          <w:p w:rsidR="00A131AD" w:rsidRPr="00F83CAD" w:rsidRDefault="00550EF6" w:rsidP="0059128D">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K</w:t>
            </w:r>
            <w:r w:rsidR="00A131AD" w:rsidRPr="00F83CAD">
              <w:rPr>
                <w:rFonts w:ascii="Times New Roman" w:hAnsi="Times New Roman"/>
              </w:rPr>
              <w:t>emijski pregled uzoraka</w:t>
            </w:r>
          </w:p>
        </w:tc>
        <w:tc>
          <w:tcPr>
            <w:cnfStyle w:val="000100000000" w:firstRow="0" w:lastRow="0" w:firstColumn="0" w:lastColumn="1" w:oddVBand="0" w:evenVBand="0" w:oddHBand="0" w:evenHBand="0" w:firstRowFirstColumn="0" w:firstRowLastColumn="0" w:lastRowFirstColumn="0" w:lastRowLastColumn="0"/>
            <w:tcW w:w="2512" w:type="dxa"/>
            <w:gridSpan w:val="4"/>
          </w:tcPr>
          <w:p w:rsidR="00A131AD" w:rsidRPr="00F83CAD" w:rsidRDefault="00A131AD" w:rsidP="000C0138">
            <w:pPr>
              <w:spacing w:line="276" w:lineRule="auto"/>
              <w:rPr>
                <w:rFonts w:ascii="Times New Roman" w:hAnsi="Times New Roman"/>
                <w:b w:val="0"/>
              </w:rPr>
            </w:pPr>
            <w:r w:rsidRPr="00F83CAD">
              <w:rPr>
                <w:rFonts w:ascii="Times New Roman" w:hAnsi="Times New Roman"/>
                <w:b w:val="0"/>
              </w:rPr>
              <w:t xml:space="preserve">Mikrobiološki pregled uzoraka </w:t>
            </w:r>
          </w:p>
        </w:tc>
      </w:tr>
      <w:tr w:rsidR="00A131AD" w:rsidRPr="00E05270" w:rsidTr="000A5BE0">
        <w:trPr>
          <w:cnfStyle w:val="000000100000" w:firstRow="0" w:lastRow="0" w:firstColumn="0" w:lastColumn="0" w:oddVBand="0" w:evenVBand="0" w:oddHBand="1" w:evenHBand="0" w:firstRowFirstColumn="0" w:firstRowLastColumn="0" w:lastRowFirstColumn="0" w:lastRowLastColumn="0"/>
          <w:trHeight w:val="220"/>
        </w:trPr>
        <w:tc>
          <w:tcPr>
            <w:cnfStyle w:val="001000000000" w:firstRow="0" w:lastRow="0" w:firstColumn="1" w:lastColumn="0" w:oddVBand="0" w:evenVBand="0" w:oddHBand="0" w:evenHBand="0" w:firstRowFirstColumn="0" w:firstRowLastColumn="0" w:lastRowFirstColumn="0" w:lastRowLastColumn="0"/>
            <w:tcW w:w="1052" w:type="dxa"/>
            <w:gridSpan w:val="2"/>
            <w:vMerge/>
          </w:tcPr>
          <w:p w:rsidR="00A131AD" w:rsidRPr="00E05270" w:rsidRDefault="00A131AD" w:rsidP="000C0138">
            <w:pPr>
              <w:spacing w:line="276" w:lineRule="auto"/>
              <w:rPr>
                <w:rFonts w:ascii="Times New Roman" w:hAnsi="Times New Roman"/>
                <w:b w:val="0"/>
              </w:rPr>
            </w:pPr>
          </w:p>
        </w:tc>
        <w:tc>
          <w:tcPr>
            <w:cnfStyle w:val="000010000000" w:firstRow="0" w:lastRow="0" w:firstColumn="0" w:lastColumn="0" w:oddVBand="1" w:evenVBand="0" w:oddHBand="0" w:evenHBand="0" w:firstRowFirstColumn="0" w:firstRowLastColumn="0" w:lastRowFirstColumn="0" w:lastRowLastColumn="0"/>
            <w:tcW w:w="1052" w:type="dxa"/>
          </w:tcPr>
          <w:p w:rsidR="00A131AD" w:rsidRPr="00E05270" w:rsidRDefault="00A131AD" w:rsidP="000C0138">
            <w:pPr>
              <w:spacing w:line="276" w:lineRule="auto"/>
              <w:jc w:val="center"/>
              <w:rPr>
                <w:rFonts w:ascii="Times New Roman" w:hAnsi="Times New Roman"/>
              </w:rPr>
            </w:pPr>
            <w:r w:rsidRPr="00E05270">
              <w:rPr>
                <w:rFonts w:ascii="Times New Roman" w:hAnsi="Times New Roman"/>
              </w:rPr>
              <w:t>Svega</w:t>
            </w:r>
          </w:p>
        </w:tc>
        <w:tc>
          <w:tcPr>
            <w:tcW w:w="1448" w:type="dxa"/>
            <w:gridSpan w:val="2"/>
          </w:tcPr>
          <w:p w:rsidR="00A131AD" w:rsidRPr="00E05270" w:rsidRDefault="00A131AD" w:rsidP="000C013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E05270">
              <w:rPr>
                <w:rFonts w:ascii="Times New Roman" w:hAnsi="Times New Roman"/>
              </w:rPr>
              <w:t>Od toga ne odgovara br/(%)</w:t>
            </w:r>
          </w:p>
        </w:tc>
        <w:tc>
          <w:tcPr>
            <w:cnfStyle w:val="000010000000" w:firstRow="0" w:lastRow="0" w:firstColumn="0" w:lastColumn="0" w:oddVBand="1" w:evenVBand="0" w:oddHBand="0" w:evenHBand="0" w:firstRowFirstColumn="0" w:firstRowLastColumn="0" w:lastRowFirstColumn="0" w:lastRowLastColumn="0"/>
            <w:tcW w:w="942" w:type="dxa"/>
            <w:gridSpan w:val="3"/>
          </w:tcPr>
          <w:p w:rsidR="00A131AD" w:rsidRPr="00E05270" w:rsidRDefault="00A131AD" w:rsidP="000C0138">
            <w:pPr>
              <w:spacing w:line="276" w:lineRule="auto"/>
              <w:jc w:val="center"/>
              <w:rPr>
                <w:rFonts w:ascii="Times New Roman" w:hAnsi="Times New Roman"/>
              </w:rPr>
            </w:pPr>
            <w:r w:rsidRPr="00E05270">
              <w:rPr>
                <w:rFonts w:ascii="Times New Roman" w:hAnsi="Times New Roman"/>
              </w:rPr>
              <w:t>Svega</w:t>
            </w:r>
          </w:p>
        </w:tc>
        <w:tc>
          <w:tcPr>
            <w:tcW w:w="1455" w:type="dxa"/>
            <w:gridSpan w:val="2"/>
          </w:tcPr>
          <w:p w:rsidR="00A131AD" w:rsidRPr="00E05270" w:rsidRDefault="00A131AD" w:rsidP="000C013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E05270">
              <w:rPr>
                <w:rFonts w:ascii="Times New Roman" w:hAnsi="Times New Roman"/>
              </w:rPr>
              <w:t>Od toga ne odgovara br/(%)</w:t>
            </w:r>
          </w:p>
        </w:tc>
        <w:tc>
          <w:tcPr>
            <w:cnfStyle w:val="000010000000" w:firstRow="0" w:lastRow="0" w:firstColumn="0" w:lastColumn="0" w:oddVBand="1" w:evenVBand="0" w:oddHBand="0" w:evenHBand="0" w:firstRowFirstColumn="0" w:firstRowLastColumn="0" w:lastRowFirstColumn="0" w:lastRowLastColumn="0"/>
            <w:tcW w:w="925" w:type="dxa"/>
            <w:gridSpan w:val="2"/>
          </w:tcPr>
          <w:p w:rsidR="00A131AD" w:rsidRPr="00E05270" w:rsidRDefault="00A131AD" w:rsidP="000C0138">
            <w:pPr>
              <w:spacing w:line="276" w:lineRule="auto"/>
              <w:jc w:val="center"/>
              <w:rPr>
                <w:rFonts w:ascii="Times New Roman" w:hAnsi="Times New Roman"/>
              </w:rPr>
            </w:pPr>
            <w:r w:rsidRPr="00E05270">
              <w:rPr>
                <w:rFonts w:ascii="Times New Roman" w:hAnsi="Times New Roman"/>
              </w:rPr>
              <w:t>Svega</w:t>
            </w:r>
          </w:p>
        </w:tc>
        <w:tc>
          <w:tcPr>
            <w:cnfStyle w:val="000100000000" w:firstRow="0" w:lastRow="0" w:firstColumn="0" w:lastColumn="1" w:oddVBand="0" w:evenVBand="0" w:oddHBand="0" w:evenHBand="0" w:firstRowFirstColumn="0" w:firstRowLastColumn="0" w:lastRowFirstColumn="0" w:lastRowLastColumn="0"/>
            <w:tcW w:w="1587" w:type="dxa"/>
            <w:gridSpan w:val="2"/>
          </w:tcPr>
          <w:p w:rsidR="00A131AD" w:rsidRPr="00E05270" w:rsidRDefault="00A131AD" w:rsidP="000C0138">
            <w:pPr>
              <w:spacing w:line="276" w:lineRule="auto"/>
              <w:jc w:val="center"/>
              <w:rPr>
                <w:rFonts w:ascii="Times New Roman" w:hAnsi="Times New Roman"/>
                <w:b w:val="0"/>
              </w:rPr>
            </w:pPr>
            <w:r w:rsidRPr="00E05270">
              <w:rPr>
                <w:rFonts w:ascii="Times New Roman" w:hAnsi="Times New Roman"/>
                <w:b w:val="0"/>
              </w:rPr>
              <w:t>Od toga ne odgovara br/(%)</w:t>
            </w:r>
          </w:p>
        </w:tc>
      </w:tr>
      <w:tr w:rsidR="00A131AD" w:rsidRPr="00E05270" w:rsidTr="000A5BE0">
        <w:trPr>
          <w:trHeight w:val="220"/>
        </w:trPr>
        <w:tc>
          <w:tcPr>
            <w:cnfStyle w:val="001000000000" w:firstRow="0" w:lastRow="0" w:firstColumn="1" w:lastColumn="0" w:oddVBand="0" w:evenVBand="0" w:oddHBand="0" w:evenHBand="0" w:firstRowFirstColumn="0" w:firstRowLastColumn="0" w:lastRowFirstColumn="0" w:lastRowLastColumn="0"/>
            <w:tcW w:w="1052" w:type="dxa"/>
            <w:gridSpan w:val="2"/>
          </w:tcPr>
          <w:p w:rsidR="00A131AD" w:rsidRPr="00E05270" w:rsidRDefault="00A131AD" w:rsidP="000C0138">
            <w:pPr>
              <w:spacing w:line="276" w:lineRule="auto"/>
              <w:jc w:val="center"/>
              <w:rPr>
                <w:rFonts w:ascii="Times New Roman" w:hAnsi="Times New Roman"/>
                <w:b w:val="0"/>
              </w:rPr>
            </w:pPr>
            <w:r w:rsidRPr="00E05270">
              <w:rPr>
                <w:rFonts w:ascii="Times New Roman" w:hAnsi="Times New Roman"/>
                <w:b w:val="0"/>
              </w:rPr>
              <w:t>2010.</w:t>
            </w:r>
          </w:p>
        </w:tc>
        <w:tc>
          <w:tcPr>
            <w:cnfStyle w:val="000010000000" w:firstRow="0" w:lastRow="0" w:firstColumn="0" w:lastColumn="0" w:oddVBand="1" w:evenVBand="0" w:oddHBand="0" w:evenHBand="0" w:firstRowFirstColumn="0" w:firstRowLastColumn="0" w:lastRowFirstColumn="0" w:lastRowLastColumn="0"/>
            <w:tcW w:w="1052" w:type="dxa"/>
          </w:tcPr>
          <w:p w:rsidR="00A131AD" w:rsidRPr="00E05270" w:rsidRDefault="00A131AD" w:rsidP="000C0138">
            <w:pPr>
              <w:spacing w:line="276" w:lineRule="auto"/>
              <w:jc w:val="right"/>
              <w:rPr>
                <w:rFonts w:ascii="Times New Roman" w:hAnsi="Times New Roman"/>
              </w:rPr>
            </w:pPr>
            <w:r w:rsidRPr="00E05270">
              <w:rPr>
                <w:rFonts w:ascii="Times New Roman" w:hAnsi="Times New Roman"/>
              </w:rPr>
              <w:t>7732</w:t>
            </w:r>
          </w:p>
        </w:tc>
        <w:tc>
          <w:tcPr>
            <w:tcW w:w="1448" w:type="dxa"/>
            <w:gridSpan w:val="2"/>
          </w:tcPr>
          <w:p w:rsidR="00A131AD" w:rsidRPr="00E05270" w:rsidRDefault="00A131AD" w:rsidP="000C0138">
            <w:pPr>
              <w:spacing w:line="276"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E05270">
              <w:rPr>
                <w:rFonts w:ascii="Times New Roman" w:hAnsi="Times New Roman"/>
              </w:rPr>
              <w:t>539 (6,9%)</w:t>
            </w:r>
          </w:p>
        </w:tc>
        <w:tc>
          <w:tcPr>
            <w:cnfStyle w:val="000010000000" w:firstRow="0" w:lastRow="0" w:firstColumn="0" w:lastColumn="0" w:oddVBand="1" w:evenVBand="0" w:oddHBand="0" w:evenHBand="0" w:firstRowFirstColumn="0" w:firstRowLastColumn="0" w:lastRowFirstColumn="0" w:lastRowLastColumn="0"/>
            <w:tcW w:w="942" w:type="dxa"/>
            <w:gridSpan w:val="3"/>
          </w:tcPr>
          <w:p w:rsidR="00A131AD" w:rsidRPr="00E05270" w:rsidRDefault="00A131AD" w:rsidP="000C0138">
            <w:pPr>
              <w:spacing w:line="276" w:lineRule="auto"/>
              <w:jc w:val="right"/>
              <w:rPr>
                <w:rFonts w:ascii="Times New Roman" w:hAnsi="Times New Roman"/>
              </w:rPr>
            </w:pPr>
            <w:r w:rsidRPr="00E05270">
              <w:rPr>
                <w:rFonts w:ascii="Times New Roman" w:hAnsi="Times New Roman"/>
              </w:rPr>
              <w:t>5620</w:t>
            </w:r>
          </w:p>
        </w:tc>
        <w:tc>
          <w:tcPr>
            <w:tcW w:w="1455" w:type="dxa"/>
            <w:gridSpan w:val="2"/>
          </w:tcPr>
          <w:p w:rsidR="00A131AD" w:rsidRPr="00E05270" w:rsidRDefault="00A131AD" w:rsidP="000C0138">
            <w:pPr>
              <w:spacing w:line="276"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E05270">
              <w:rPr>
                <w:rFonts w:ascii="Times New Roman" w:hAnsi="Times New Roman"/>
              </w:rPr>
              <w:t>758 (13,5%)</w:t>
            </w:r>
          </w:p>
        </w:tc>
        <w:tc>
          <w:tcPr>
            <w:cnfStyle w:val="000010000000" w:firstRow="0" w:lastRow="0" w:firstColumn="0" w:lastColumn="0" w:oddVBand="1" w:evenVBand="0" w:oddHBand="0" w:evenHBand="0" w:firstRowFirstColumn="0" w:firstRowLastColumn="0" w:lastRowFirstColumn="0" w:lastRowLastColumn="0"/>
            <w:tcW w:w="925" w:type="dxa"/>
            <w:gridSpan w:val="2"/>
          </w:tcPr>
          <w:p w:rsidR="00A131AD" w:rsidRPr="00E05270" w:rsidRDefault="00A131AD" w:rsidP="000C0138">
            <w:pPr>
              <w:spacing w:line="276" w:lineRule="auto"/>
              <w:jc w:val="right"/>
              <w:rPr>
                <w:rFonts w:ascii="Times New Roman" w:hAnsi="Times New Roman"/>
              </w:rPr>
            </w:pPr>
            <w:r w:rsidRPr="00E05270">
              <w:rPr>
                <w:rFonts w:ascii="Times New Roman" w:hAnsi="Times New Roman"/>
              </w:rPr>
              <w:t>22135</w:t>
            </w:r>
          </w:p>
        </w:tc>
        <w:tc>
          <w:tcPr>
            <w:cnfStyle w:val="000100000000" w:firstRow="0" w:lastRow="0" w:firstColumn="0" w:lastColumn="1" w:oddVBand="0" w:evenVBand="0" w:oddHBand="0" w:evenHBand="0" w:firstRowFirstColumn="0" w:firstRowLastColumn="0" w:lastRowFirstColumn="0" w:lastRowLastColumn="0"/>
            <w:tcW w:w="1587" w:type="dxa"/>
            <w:gridSpan w:val="2"/>
          </w:tcPr>
          <w:p w:rsidR="00A131AD" w:rsidRPr="00E05270" w:rsidRDefault="00A131AD" w:rsidP="000C0138">
            <w:pPr>
              <w:spacing w:line="276" w:lineRule="auto"/>
              <w:jc w:val="right"/>
              <w:rPr>
                <w:rFonts w:ascii="Times New Roman" w:hAnsi="Times New Roman"/>
                <w:b w:val="0"/>
              </w:rPr>
            </w:pPr>
            <w:r w:rsidRPr="00E05270">
              <w:rPr>
                <w:rFonts w:ascii="Times New Roman" w:hAnsi="Times New Roman"/>
                <w:b w:val="0"/>
              </w:rPr>
              <w:t>1372 (6,2%)</w:t>
            </w:r>
          </w:p>
        </w:tc>
      </w:tr>
      <w:tr w:rsidR="00A131AD" w:rsidRPr="00E05270" w:rsidTr="000A5BE0">
        <w:trPr>
          <w:cnfStyle w:val="000000100000" w:firstRow="0" w:lastRow="0" w:firstColumn="0" w:lastColumn="0" w:oddVBand="0" w:evenVBand="0" w:oddHBand="1" w:evenHBand="0" w:firstRowFirstColumn="0" w:firstRowLastColumn="0" w:lastRowFirstColumn="0" w:lastRowLastColumn="0"/>
          <w:trHeight w:val="220"/>
        </w:trPr>
        <w:tc>
          <w:tcPr>
            <w:cnfStyle w:val="001000000000" w:firstRow="0" w:lastRow="0" w:firstColumn="1" w:lastColumn="0" w:oddVBand="0" w:evenVBand="0" w:oddHBand="0" w:evenHBand="0" w:firstRowFirstColumn="0" w:firstRowLastColumn="0" w:lastRowFirstColumn="0" w:lastRowLastColumn="0"/>
            <w:tcW w:w="1052" w:type="dxa"/>
            <w:gridSpan w:val="2"/>
          </w:tcPr>
          <w:p w:rsidR="00A131AD" w:rsidRPr="00E05270" w:rsidRDefault="00A131AD" w:rsidP="000C0138">
            <w:pPr>
              <w:spacing w:line="276" w:lineRule="auto"/>
              <w:jc w:val="center"/>
              <w:rPr>
                <w:rFonts w:ascii="Times New Roman" w:hAnsi="Times New Roman"/>
                <w:b w:val="0"/>
              </w:rPr>
            </w:pPr>
            <w:r w:rsidRPr="00E05270">
              <w:rPr>
                <w:rFonts w:ascii="Times New Roman" w:hAnsi="Times New Roman"/>
                <w:b w:val="0"/>
              </w:rPr>
              <w:lastRenderedPageBreak/>
              <w:t>2011.</w:t>
            </w:r>
          </w:p>
        </w:tc>
        <w:tc>
          <w:tcPr>
            <w:cnfStyle w:val="000010000000" w:firstRow="0" w:lastRow="0" w:firstColumn="0" w:lastColumn="0" w:oddVBand="1" w:evenVBand="0" w:oddHBand="0" w:evenHBand="0" w:firstRowFirstColumn="0" w:firstRowLastColumn="0" w:lastRowFirstColumn="0" w:lastRowLastColumn="0"/>
            <w:tcW w:w="1052" w:type="dxa"/>
          </w:tcPr>
          <w:p w:rsidR="00A131AD" w:rsidRPr="00E05270" w:rsidRDefault="00A131AD" w:rsidP="000C0138">
            <w:pPr>
              <w:spacing w:line="276" w:lineRule="auto"/>
              <w:jc w:val="right"/>
              <w:rPr>
                <w:rFonts w:ascii="Times New Roman" w:hAnsi="Times New Roman"/>
              </w:rPr>
            </w:pPr>
            <w:r w:rsidRPr="00E05270">
              <w:rPr>
                <w:rFonts w:ascii="Times New Roman" w:hAnsi="Times New Roman"/>
              </w:rPr>
              <w:t>7627</w:t>
            </w:r>
          </w:p>
        </w:tc>
        <w:tc>
          <w:tcPr>
            <w:tcW w:w="1448" w:type="dxa"/>
            <w:gridSpan w:val="2"/>
          </w:tcPr>
          <w:p w:rsidR="00A131AD" w:rsidRPr="00E05270" w:rsidRDefault="00A131AD" w:rsidP="000C0138">
            <w:pPr>
              <w:spacing w:line="276"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E05270">
              <w:rPr>
                <w:rFonts w:ascii="Times New Roman" w:hAnsi="Times New Roman"/>
              </w:rPr>
              <w:t>200 (2,6%)</w:t>
            </w:r>
          </w:p>
        </w:tc>
        <w:tc>
          <w:tcPr>
            <w:cnfStyle w:val="000010000000" w:firstRow="0" w:lastRow="0" w:firstColumn="0" w:lastColumn="0" w:oddVBand="1" w:evenVBand="0" w:oddHBand="0" w:evenHBand="0" w:firstRowFirstColumn="0" w:firstRowLastColumn="0" w:lastRowFirstColumn="0" w:lastRowLastColumn="0"/>
            <w:tcW w:w="942" w:type="dxa"/>
            <w:gridSpan w:val="3"/>
          </w:tcPr>
          <w:p w:rsidR="00A131AD" w:rsidRPr="00E05270" w:rsidRDefault="00A131AD" w:rsidP="000C0138">
            <w:pPr>
              <w:spacing w:line="276" w:lineRule="auto"/>
              <w:jc w:val="right"/>
              <w:rPr>
                <w:rFonts w:ascii="Times New Roman" w:hAnsi="Times New Roman"/>
              </w:rPr>
            </w:pPr>
            <w:r w:rsidRPr="00E05270">
              <w:rPr>
                <w:rFonts w:ascii="Times New Roman" w:hAnsi="Times New Roman"/>
              </w:rPr>
              <w:t>5158</w:t>
            </w:r>
          </w:p>
        </w:tc>
        <w:tc>
          <w:tcPr>
            <w:tcW w:w="1455" w:type="dxa"/>
            <w:gridSpan w:val="2"/>
          </w:tcPr>
          <w:p w:rsidR="00A131AD" w:rsidRPr="00E05270" w:rsidRDefault="00A131AD" w:rsidP="000C0138">
            <w:pPr>
              <w:spacing w:line="276"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E05270">
              <w:rPr>
                <w:rFonts w:ascii="Times New Roman" w:hAnsi="Times New Roman"/>
              </w:rPr>
              <w:t>266 (5,2%)</w:t>
            </w:r>
          </w:p>
        </w:tc>
        <w:tc>
          <w:tcPr>
            <w:cnfStyle w:val="000010000000" w:firstRow="0" w:lastRow="0" w:firstColumn="0" w:lastColumn="0" w:oddVBand="1" w:evenVBand="0" w:oddHBand="0" w:evenHBand="0" w:firstRowFirstColumn="0" w:firstRowLastColumn="0" w:lastRowFirstColumn="0" w:lastRowLastColumn="0"/>
            <w:tcW w:w="925" w:type="dxa"/>
            <w:gridSpan w:val="2"/>
          </w:tcPr>
          <w:p w:rsidR="00A131AD" w:rsidRPr="00E05270" w:rsidRDefault="00A131AD" w:rsidP="000C0138">
            <w:pPr>
              <w:spacing w:line="276" w:lineRule="auto"/>
              <w:jc w:val="right"/>
              <w:rPr>
                <w:rFonts w:ascii="Times New Roman" w:hAnsi="Times New Roman"/>
              </w:rPr>
            </w:pPr>
            <w:r w:rsidRPr="00E05270">
              <w:rPr>
                <w:rFonts w:ascii="Times New Roman" w:hAnsi="Times New Roman"/>
              </w:rPr>
              <w:t>12231</w:t>
            </w:r>
          </w:p>
        </w:tc>
        <w:tc>
          <w:tcPr>
            <w:cnfStyle w:val="000100000000" w:firstRow="0" w:lastRow="0" w:firstColumn="0" w:lastColumn="1" w:oddVBand="0" w:evenVBand="0" w:oddHBand="0" w:evenHBand="0" w:firstRowFirstColumn="0" w:firstRowLastColumn="0" w:lastRowFirstColumn="0" w:lastRowLastColumn="0"/>
            <w:tcW w:w="1587" w:type="dxa"/>
            <w:gridSpan w:val="2"/>
          </w:tcPr>
          <w:p w:rsidR="00A131AD" w:rsidRPr="00E05270" w:rsidRDefault="00A131AD" w:rsidP="000C0138">
            <w:pPr>
              <w:spacing w:line="276" w:lineRule="auto"/>
              <w:jc w:val="right"/>
              <w:rPr>
                <w:rFonts w:ascii="Times New Roman" w:hAnsi="Times New Roman"/>
                <w:b w:val="0"/>
              </w:rPr>
            </w:pPr>
            <w:r w:rsidRPr="00E05270">
              <w:rPr>
                <w:rFonts w:ascii="Times New Roman" w:hAnsi="Times New Roman"/>
                <w:b w:val="0"/>
              </w:rPr>
              <w:t>1388 (11,3%)</w:t>
            </w:r>
          </w:p>
        </w:tc>
      </w:tr>
      <w:tr w:rsidR="00A131AD" w:rsidRPr="00E05270" w:rsidTr="000A5BE0">
        <w:trPr>
          <w:trHeight w:val="220"/>
        </w:trPr>
        <w:tc>
          <w:tcPr>
            <w:cnfStyle w:val="001000000000" w:firstRow="0" w:lastRow="0" w:firstColumn="1" w:lastColumn="0" w:oddVBand="0" w:evenVBand="0" w:oddHBand="0" w:evenHBand="0" w:firstRowFirstColumn="0" w:firstRowLastColumn="0" w:lastRowFirstColumn="0" w:lastRowLastColumn="0"/>
            <w:tcW w:w="1052" w:type="dxa"/>
            <w:gridSpan w:val="2"/>
          </w:tcPr>
          <w:p w:rsidR="00A131AD" w:rsidRPr="00E05270" w:rsidRDefault="00A131AD" w:rsidP="000C0138">
            <w:pPr>
              <w:spacing w:line="276" w:lineRule="auto"/>
              <w:jc w:val="center"/>
              <w:rPr>
                <w:rFonts w:ascii="Times New Roman" w:hAnsi="Times New Roman"/>
                <w:b w:val="0"/>
              </w:rPr>
            </w:pPr>
            <w:r w:rsidRPr="00E05270">
              <w:rPr>
                <w:rFonts w:ascii="Times New Roman" w:hAnsi="Times New Roman"/>
                <w:b w:val="0"/>
              </w:rPr>
              <w:t>2012.</w:t>
            </w:r>
          </w:p>
        </w:tc>
        <w:tc>
          <w:tcPr>
            <w:cnfStyle w:val="000010000000" w:firstRow="0" w:lastRow="0" w:firstColumn="0" w:lastColumn="0" w:oddVBand="1" w:evenVBand="0" w:oddHBand="0" w:evenHBand="0" w:firstRowFirstColumn="0" w:firstRowLastColumn="0" w:lastRowFirstColumn="0" w:lastRowLastColumn="0"/>
            <w:tcW w:w="1052" w:type="dxa"/>
          </w:tcPr>
          <w:p w:rsidR="00A131AD" w:rsidRPr="00E05270" w:rsidRDefault="00A131AD" w:rsidP="000C0138">
            <w:pPr>
              <w:spacing w:line="276" w:lineRule="auto"/>
              <w:jc w:val="right"/>
              <w:rPr>
                <w:rFonts w:ascii="Times New Roman" w:hAnsi="Times New Roman"/>
              </w:rPr>
            </w:pPr>
            <w:r w:rsidRPr="00E05270">
              <w:rPr>
                <w:rFonts w:ascii="Times New Roman" w:hAnsi="Times New Roman"/>
              </w:rPr>
              <w:t>8520</w:t>
            </w:r>
          </w:p>
        </w:tc>
        <w:tc>
          <w:tcPr>
            <w:tcW w:w="1448" w:type="dxa"/>
            <w:gridSpan w:val="2"/>
          </w:tcPr>
          <w:p w:rsidR="00A131AD" w:rsidRPr="00E05270" w:rsidRDefault="00A131AD" w:rsidP="000C0138">
            <w:pPr>
              <w:spacing w:line="276"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E05270">
              <w:rPr>
                <w:rFonts w:ascii="Times New Roman" w:hAnsi="Times New Roman"/>
              </w:rPr>
              <w:t>413 (4,8%)</w:t>
            </w:r>
          </w:p>
        </w:tc>
        <w:tc>
          <w:tcPr>
            <w:cnfStyle w:val="000010000000" w:firstRow="0" w:lastRow="0" w:firstColumn="0" w:lastColumn="0" w:oddVBand="1" w:evenVBand="0" w:oddHBand="0" w:evenHBand="0" w:firstRowFirstColumn="0" w:firstRowLastColumn="0" w:lastRowFirstColumn="0" w:lastRowLastColumn="0"/>
            <w:tcW w:w="942" w:type="dxa"/>
            <w:gridSpan w:val="3"/>
          </w:tcPr>
          <w:p w:rsidR="00A131AD" w:rsidRPr="00E05270" w:rsidRDefault="00A131AD" w:rsidP="000C0138">
            <w:pPr>
              <w:spacing w:line="276" w:lineRule="auto"/>
              <w:jc w:val="right"/>
              <w:rPr>
                <w:rFonts w:ascii="Times New Roman" w:hAnsi="Times New Roman"/>
              </w:rPr>
            </w:pPr>
            <w:r w:rsidRPr="00E05270">
              <w:rPr>
                <w:rFonts w:ascii="Times New Roman" w:hAnsi="Times New Roman"/>
              </w:rPr>
              <w:t>5496</w:t>
            </w:r>
          </w:p>
        </w:tc>
        <w:tc>
          <w:tcPr>
            <w:tcW w:w="1455" w:type="dxa"/>
            <w:gridSpan w:val="2"/>
          </w:tcPr>
          <w:p w:rsidR="00A131AD" w:rsidRPr="00E05270" w:rsidRDefault="00A131AD" w:rsidP="000C0138">
            <w:pPr>
              <w:spacing w:line="276"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E05270">
              <w:rPr>
                <w:rFonts w:ascii="Times New Roman" w:hAnsi="Times New Roman"/>
              </w:rPr>
              <w:t>362 (6,6%)</w:t>
            </w:r>
          </w:p>
        </w:tc>
        <w:tc>
          <w:tcPr>
            <w:cnfStyle w:val="000010000000" w:firstRow="0" w:lastRow="0" w:firstColumn="0" w:lastColumn="0" w:oddVBand="1" w:evenVBand="0" w:oddHBand="0" w:evenHBand="0" w:firstRowFirstColumn="0" w:firstRowLastColumn="0" w:lastRowFirstColumn="0" w:lastRowLastColumn="0"/>
            <w:tcW w:w="925" w:type="dxa"/>
            <w:gridSpan w:val="2"/>
          </w:tcPr>
          <w:p w:rsidR="00A131AD" w:rsidRPr="00E05270" w:rsidRDefault="00A131AD" w:rsidP="000C0138">
            <w:pPr>
              <w:spacing w:line="276" w:lineRule="auto"/>
              <w:jc w:val="right"/>
              <w:rPr>
                <w:rFonts w:ascii="Times New Roman" w:hAnsi="Times New Roman"/>
              </w:rPr>
            </w:pPr>
            <w:r w:rsidRPr="00E05270">
              <w:rPr>
                <w:rFonts w:ascii="Times New Roman" w:hAnsi="Times New Roman"/>
              </w:rPr>
              <w:t>25716</w:t>
            </w:r>
          </w:p>
        </w:tc>
        <w:tc>
          <w:tcPr>
            <w:cnfStyle w:val="000100000000" w:firstRow="0" w:lastRow="0" w:firstColumn="0" w:lastColumn="1" w:oddVBand="0" w:evenVBand="0" w:oddHBand="0" w:evenHBand="0" w:firstRowFirstColumn="0" w:firstRowLastColumn="0" w:lastRowFirstColumn="0" w:lastRowLastColumn="0"/>
            <w:tcW w:w="1587" w:type="dxa"/>
            <w:gridSpan w:val="2"/>
          </w:tcPr>
          <w:p w:rsidR="00A131AD" w:rsidRPr="00E05270" w:rsidRDefault="00A131AD" w:rsidP="000C0138">
            <w:pPr>
              <w:spacing w:line="276" w:lineRule="auto"/>
              <w:jc w:val="right"/>
              <w:rPr>
                <w:rFonts w:ascii="Times New Roman" w:hAnsi="Times New Roman"/>
                <w:b w:val="0"/>
                <w:lang w:val="hr-HR"/>
              </w:rPr>
            </w:pPr>
            <w:r w:rsidRPr="00E05270">
              <w:rPr>
                <w:rFonts w:ascii="Times New Roman" w:hAnsi="Times New Roman"/>
                <w:b w:val="0"/>
                <w:lang w:val="hr-HR"/>
              </w:rPr>
              <w:t>1501 (5,8%)</w:t>
            </w:r>
          </w:p>
        </w:tc>
      </w:tr>
      <w:tr w:rsidR="00A131AD" w:rsidRPr="00E05270" w:rsidTr="000A5BE0">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052" w:type="dxa"/>
            <w:gridSpan w:val="2"/>
          </w:tcPr>
          <w:p w:rsidR="00A131AD" w:rsidRPr="00E05270" w:rsidRDefault="00A131AD" w:rsidP="000C0138">
            <w:pPr>
              <w:spacing w:line="276" w:lineRule="auto"/>
              <w:jc w:val="center"/>
              <w:rPr>
                <w:rFonts w:ascii="Times New Roman" w:hAnsi="Times New Roman"/>
                <w:b w:val="0"/>
              </w:rPr>
            </w:pPr>
            <w:r w:rsidRPr="00E05270">
              <w:rPr>
                <w:rFonts w:ascii="Times New Roman" w:hAnsi="Times New Roman"/>
                <w:b w:val="0"/>
              </w:rPr>
              <w:t>2013</w:t>
            </w:r>
          </w:p>
        </w:tc>
        <w:tc>
          <w:tcPr>
            <w:cnfStyle w:val="000010000000" w:firstRow="0" w:lastRow="0" w:firstColumn="0" w:lastColumn="0" w:oddVBand="1" w:evenVBand="0" w:oddHBand="0" w:evenHBand="0" w:firstRowFirstColumn="0" w:firstRowLastColumn="0" w:lastRowFirstColumn="0" w:lastRowLastColumn="0"/>
            <w:tcW w:w="1052" w:type="dxa"/>
          </w:tcPr>
          <w:p w:rsidR="00A131AD" w:rsidRPr="00E05270" w:rsidRDefault="00A131AD" w:rsidP="000C0138">
            <w:pPr>
              <w:pStyle w:val="tabele0"/>
              <w:spacing w:line="276" w:lineRule="auto"/>
              <w:ind w:left="0" w:firstLine="0"/>
              <w:jc w:val="right"/>
              <w:rPr>
                <w:i w:val="0"/>
                <w:lang w:val="hr-HR"/>
              </w:rPr>
            </w:pPr>
            <w:r w:rsidRPr="00E05270">
              <w:rPr>
                <w:i w:val="0"/>
                <w:lang w:val="hr-HR"/>
              </w:rPr>
              <w:t>6151</w:t>
            </w:r>
          </w:p>
        </w:tc>
        <w:tc>
          <w:tcPr>
            <w:tcW w:w="1448" w:type="dxa"/>
            <w:gridSpan w:val="2"/>
          </w:tcPr>
          <w:p w:rsidR="00A131AD" w:rsidRPr="00E05270" w:rsidRDefault="00A131AD" w:rsidP="000C0138">
            <w:pPr>
              <w:pStyle w:val="tabele0"/>
              <w:spacing w:line="276" w:lineRule="auto"/>
              <w:ind w:left="0" w:firstLine="0"/>
              <w:jc w:val="right"/>
              <w:cnfStyle w:val="000000100000" w:firstRow="0" w:lastRow="0" w:firstColumn="0" w:lastColumn="0" w:oddVBand="0" w:evenVBand="0" w:oddHBand="1" w:evenHBand="0" w:firstRowFirstColumn="0" w:firstRowLastColumn="0" w:lastRowFirstColumn="0" w:lastRowLastColumn="0"/>
              <w:rPr>
                <w:i w:val="0"/>
                <w:lang w:val="hr-HR"/>
              </w:rPr>
            </w:pPr>
            <w:r w:rsidRPr="00E05270">
              <w:rPr>
                <w:i w:val="0"/>
                <w:lang w:val="hr-HR"/>
              </w:rPr>
              <w:t>329 (5,4%)</w:t>
            </w:r>
          </w:p>
        </w:tc>
        <w:tc>
          <w:tcPr>
            <w:cnfStyle w:val="000010000000" w:firstRow="0" w:lastRow="0" w:firstColumn="0" w:lastColumn="0" w:oddVBand="1" w:evenVBand="0" w:oddHBand="0" w:evenHBand="0" w:firstRowFirstColumn="0" w:firstRowLastColumn="0" w:lastRowFirstColumn="0" w:lastRowLastColumn="0"/>
            <w:tcW w:w="942" w:type="dxa"/>
            <w:gridSpan w:val="3"/>
          </w:tcPr>
          <w:p w:rsidR="00A131AD" w:rsidRPr="00E05270" w:rsidRDefault="00A131AD" w:rsidP="000C0138">
            <w:pPr>
              <w:pStyle w:val="tabele0"/>
              <w:spacing w:line="276" w:lineRule="auto"/>
              <w:ind w:left="0" w:firstLine="0"/>
              <w:jc w:val="right"/>
              <w:rPr>
                <w:i w:val="0"/>
                <w:lang w:val="hr-HR"/>
              </w:rPr>
            </w:pPr>
            <w:r w:rsidRPr="00E05270">
              <w:rPr>
                <w:i w:val="0"/>
                <w:lang w:val="hr-HR"/>
              </w:rPr>
              <w:t>5532</w:t>
            </w:r>
          </w:p>
        </w:tc>
        <w:tc>
          <w:tcPr>
            <w:tcW w:w="1455" w:type="dxa"/>
            <w:gridSpan w:val="2"/>
          </w:tcPr>
          <w:p w:rsidR="00A131AD" w:rsidRPr="00E05270" w:rsidRDefault="00A131AD" w:rsidP="000C0138">
            <w:pPr>
              <w:pStyle w:val="tabele0"/>
              <w:spacing w:line="276" w:lineRule="auto"/>
              <w:ind w:left="0" w:firstLine="0"/>
              <w:jc w:val="right"/>
              <w:cnfStyle w:val="000000100000" w:firstRow="0" w:lastRow="0" w:firstColumn="0" w:lastColumn="0" w:oddVBand="0" w:evenVBand="0" w:oddHBand="1" w:evenHBand="0" w:firstRowFirstColumn="0" w:firstRowLastColumn="0" w:lastRowFirstColumn="0" w:lastRowLastColumn="0"/>
              <w:rPr>
                <w:i w:val="0"/>
                <w:lang w:val="hr-HR"/>
              </w:rPr>
            </w:pPr>
            <w:r w:rsidRPr="00E05270">
              <w:rPr>
                <w:i w:val="0"/>
                <w:lang w:val="hr-HR"/>
              </w:rPr>
              <w:t>401 (7,2%)</w:t>
            </w:r>
          </w:p>
        </w:tc>
        <w:tc>
          <w:tcPr>
            <w:cnfStyle w:val="000010000000" w:firstRow="0" w:lastRow="0" w:firstColumn="0" w:lastColumn="0" w:oddVBand="1" w:evenVBand="0" w:oddHBand="0" w:evenHBand="0" w:firstRowFirstColumn="0" w:firstRowLastColumn="0" w:lastRowFirstColumn="0" w:lastRowLastColumn="0"/>
            <w:tcW w:w="925" w:type="dxa"/>
            <w:gridSpan w:val="2"/>
          </w:tcPr>
          <w:p w:rsidR="00A131AD" w:rsidRPr="00E05270" w:rsidRDefault="00A131AD" w:rsidP="000C0138">
            <w:pPr>
              <w:pStyle w:val="tabele0"/>
              <w:spacing w:line="276" w:lineRule="auto"/>
              <w:ind w:left="0" w:firstLine="0"/>
              <w:jc w:val="right"/>
              <w:rPr>
                <w:i w:val="0"/>
                <w:lang w:val="hr-HR"/>
              </w:rPr>
            </w:pPr>
            <w:r w:rsidRPr="00E05270">
              <w:rPr>
                <w:i w:val="0"/>
                <w:lang w:val="hr-HR"/>
              </w:rPr>
              <w:t>23222</w:t>
            </w:r>
          </w:p>
        </w:tc>
        <w:tc>
          <w:tcPr>
            <w:cnfStyle w:val="000100000000" w:firstRow="0" w:lastRow="0" w:firstColumn="0" w:lastColumn="1" w:oddVBand="0" w:evenVBand="0" w:oddHBand="0" w:evenHBand="0" w:firstRowFirstColumn="0" w:firstRowLastColumn="0" w:lastRowFirstColumn="0" w:lastRowLastColumn="0"/>
            <w:tcW w:w="1587" w:type="dxa"/>
            <w:gridSpan w:val="2"/>
          </w:tcPr>
          <w:p w:rsidR="00A131AD" w:rsidRPr="00E05270" w:rsidRDefault="00A131AD" w:rsidP="000C0138">
            <w:pPr>
              <w:spacing w:line="276" w:lineRule="auto"/>
              <w:jc w:val="right"/>
              <w:rPr>
                <w:rFonts w:ascii="Times New Roman" w:hAnsi="Times New Roman"/>
                <w:b w:val="0"/>
                <w:lang w:val="hr-HR"/>
              </w:rPr>
            </w:pPr>
            <w:r w:rsidRPr="00E05270">
              <w:rPr>
                <w:rFonts w:ascii="Times New Roman" w:hAnsi="Times New Roman"/>
                <w:b w:val="0"/>
                <w:lang w:val="hr-HR"/>
              </w:rPr>
              <w:t>1688 (7,3%)</w:t>
            </w:r>
          </w:p>
        </w:tc>
      </w:tr>
      <w:tr w:rsidR="00A131AD" w:rsidRPr="00E05270" w:rsidTr="000A5BE0">
        <w:trPr>
          <w:trHeight w:val="274"/>
        </w:trPr>
        <w:tc>
          <w:tcPr>
            <w:cnfStyle w:val="001000000000" w:firstRow="0" w:lastRow="0" w:firstColumn="1" w:lastColumn="0" w:oddVBand="0" w:evenVBand="0" w:oddHBand="0" w:evenHBand="0" w:firstRowFirstColumn="0" w:firstRowLastColumn="0" w:lastRowFirstColumn="0" w:lastRowLastColumn="0"/>
            <w:tcW w:w="1052" w:type="dxa"/>
            <w:gridSpan w:val="2"/>
          </w:tcPr>
          <w:p w:rsidR="00A131AD" w:rsidRPr="00E05270" w:rsidRDefault="00A131AD" w:rsidP="000C0138">
            <w:pPr>
              <w:spacing w:line="276" w:lineRule="auto"/>
              <w:jc w:val="center"/>
              <w:rPr>
                <w:rFonts w:ascii="Times New Roman" w:hAnsi="Times New Roman"/>
                <w:b w:val="0"/>
              </w:rPr>
            </w:pPr>
            <w:r w:rsidRPr="00E05270">
              <w:rPr>
                <w:rFonts w:ascii="Times New Roman" w:hAnsi="Times New Roman"/>
                <w:b w:val="0"/>
              </w:rPr>
              <w:t>2014</w:t>
            </w:r>
          </w:p>
        </w:tc>
        <w:tc>
          <w:tcPr>
            <w:cnfStyle w:val="000010000000" w:firstRow="0" w:lastRow="0" w:firstColumn="0" w:lastColumn="0" w:oddVBand="1" w:evenVBand="0" w:oddHBand="0" w:evenHBand="0" w:firstRowFirstColumn="0" w:firstRowLastColumn="0" w:lastRowFirstColumn="0" w:lastRowLastColumn="0"/>
            <w:tcW w:w="1052" w:type="dxa"/>
          </w:tcPr>
          <w:p w:rsidR="00A131AD" w:rsidRPr="00E05270" w:rsidRDefault="00A131AD" w:rsidP="000C0138">
            <w:pPr>
              <w:pStyle w:val="tabele0"/>
              <w:spacing w:line="276" w:lineRule="auto"/>
              <w:ind w:left="0" w:firstLine="0"/>
              <w:jc w:val="right"/>
              <w:rPr>
                <w:i w:val="0"/>
                <w:lang w:val="hr-HR"/>
              </w:rPr>
            </w:pPr>
            <w:r w:rsidRPr="00E05270">
              <w:rPr>
                <w:i w:val="0"/>
                <w:lang w:val="hr-HR"/>
              </w:rPr>
              <w:t>8582</w:t>
            </w:r>
          </w:p>
        </w:tc>
        <w:tc>
          <w:tcPr>
            <w:tcW w:w="1448" w:type="dxa"/>
            <w:gridSpan w:val="2"/>
          </w:tcPr>
          <w:p w:rsidR="00A131AD" w:rsidRPr="00E05270" w:rsidRDefault="00A131AD" w:rsidP="000C0138">
            <w:pPr>
              <w:pStyle w:val="tabele0"/>
              <w:spacing w:line="276" w:lineRule="auto"/>
              <w:ind w:left="0" w:firstLine="0"/>
              <w:jc w:val="right"/>
              <w:cnfStyle w:val="000000000000" w:firstRow="0" w:lastRow="0" w:firstColumn="0" w:lastColumn="0" w:oddVBand="0" w:evenVBand="0" w:oddHBand="0" w:evenHBand="0" w:firstRowFirstColumn="0" w:firstRowLastColumn="0" w:lastRowFirstColumn="0" w:lastRowLastColumn="0"/>
              <w:rPr>
                <w:i w:val="0"/>
                <w:lang w:val="hr-HR"/>
              </w:rPr>
            </w:pPr>
            <w:r w:rsidRPr="00E05270">
              <w:rPr>
                <w:i w:val="0"/>
                <w:lang w:val="hr-HR"/>
              </w:rPr>
              <w:t>470 (5,4%)</w:t>
            </w:r>
          </w:p>
        </w:tc>
        <w:tc>
          <w:tcPr>
            <w:cnfStyle w:val="000010000000" w:firstRow="0" w:lastRow="0" w:firstColumn="0" w:lastColumn="0" w:oddVBand="1" w:evenVBand="0" w:oddHBand="0" w:evenHBand="0" w:firstRowFirstColumn="0" w:firstRowLastColumn="0" w:lastRowFirstColumn="0" w:lastRowLastColumn="0"/>
            <w:tcW w:w="942" w:type="dxa"/>
            <w:gridSpan w:val="3"/>
          </w:tcPr>
          <w:p w:rsidR="00A131AD" w:rsidRPr="00E05270" w:rsidRDefault="00A131AD" w:rsidP="000C0138">
            <w:pPr>
              <w:pStyle w:val="tabele0"/>
              <w:spacing w:line="276" w:lineRule="auto"/>
              <w:ind w:left="0" w:firstLine="0"/>
              <w:jc w:val="right"/>
              <w:rPr>
                <w:i w:val="0"/>
                <w:lang w:val="hr-HR"/>
              </w:rPr>
            </w:pPr>
            <w:r w:rsidRPr="00E05270">
              <w:rPr>
                <w:i w:val="0"/>
                <w:lang w:val="hr-HR"/>
              </w:rPr>
              <w:t>6406</w:t>
            </w:r>
          </w:p>
        </w:tc>
        <w:tc>
          <w:tcPr>
            <w:tcW w:w="1455" w:type="dxa"/>
            <w:gridSpan w:val="2"/>
          </w:tcPr>
          <w:p w:rsidR="00A131AD" w:rsidRPr="00E05270" w:rsidRDefault="00A131AD" w:rsidP="000C0138">
            <w:pPr>
              <w:pStyle w:val="tabele0"/>
              <w:spacing w:line="276" w:lineRule="auto"/>
              <w:ind w:left="0" w:firstLine="0"/>
              <w:jc w:val="right"/>
              <w:cnfStyle w:val="000000000000" w:firstRow="0" w:lastRow="0" w:firstColumn="0" w:lastColumn="0" w:oddVBand="0" w:evenVBand="0" w:oddHBand="0" w:evenHBand="0" w:firstRowFirstColumn="0" w:firstRowLastColumn="0" w:lastRowFirstColumn="0" w:lastRowLastColumn="0"/>
              <w:rPr>
                <w:i w:val="0"/>
                <w:lang w:val="hr-HR"/>
              </w:rPr>
            </w:pPr>
            <w:r w:rsidRPr="00E05270">
              <w:rPr>
                <w:i w:val="0"/>
                <w:lang w:val="hr-HR"/>
              </w:rPr>
              <w:t>513 (8%)</w:t>
            </w:r>
          </w:p>
        </w:tc>
        <w:tc>
          <w:tcPr>
            <w:cnfStyle w:val="000010000000" w:firstRow="0" w:lastRow="0" w:firstColumn="0" w:lastColumn="0" w:oddVBand="1" w:evenVBand="0" w:oddHBand="0" w:evenHBand="0" w:firstRowFirstColumn="0" w:firstRowLastColumn="0" w:lastRowFirstColumn="0" w:lastRowLastColumn="0"/>
            <w:tcW w:w="925" w:type="dxa"/>
            <w:gridSpan w:val="2"/>
          </w:tcPr>
          <w:p w:rsidR="00A131AD" w:rsidRPr="00E05270" w:rsidRDefault="00A131AD" w:rsidP="000C0138">
            <w:pPr>
              <w:pStyle w:val="tabele0"/>
              <w:spacing w:line="276" w:lineRule="auto"/>
              <w:ind w:left="0" w:firstLine="0"/>
              <w:jc w:val="right"/>
              <w:rPr>
                <w:i w:val="0"/>
                <w:lang w:val="hr-HR"/>
              </w:rPr>
            </w:pPr>
            <w:r w:rsidRPr="00E05270">
              <w:rPr>
                <w:i w:val="0"/>
                <w:lang w:val="hr-HR"/>
              </w:rPr>
              <w:t>26056</w:t>
            </w:r>
          </w:p>
        </w:tc>
        <w:tc>
          <w:tcPr>
            <w:cnfStyle w:val="000100000000" w:firstRow="0" w:lastRow="0" w:firstColumn="0" w:lastColumn="1" w:oddVBand="0" w:evenVBand="0" w:oddHBand="0" w:evenHBand="0" w:firstRowFirstColumn="0" w:firstRowLastColumn="0" w:lastRowFirstColumn="0" w:lastRowLastColumn="0"/>
            <w:tcW w:w="1587" w:type="dxa"/>
            <w:gridSpan w:val="2"/>
          </w:tcPr>
          <w:p w:rsidR="00A131AD" w:rsidRPr="00E05270" w:rsidRDefault="00A131AD" w:rsidP="000C0138">
            <w:pPr>
              <w:spacing w:line="276" w:lineRule="auto"/>
              <w:jc w:val="right"/>
              <w:rPr>
                <w:rFonts w:ascii="Times New Roman" w:hAnsi="Times New Roman"/>
                <w:b w:val="0"/>
                <w:lang w:val="hr-HR"/>
              </w:rPr>
            </w:pPr>
            <w:r w:rsidRPr="00E05270">
              <w:rPr>
                <w:rFonts w:ascii="Times New Roman" w:hAnsi="Times New Roman"/>
                <w:b w:val="0"/>
                <w:lang w:val="hr-HR"/>
              </w:rPr>
              <w:t>2017 (7,7%)</w:t>
            </w:r>
          </w:p>
        </w:tc>
      </w:tr>
      <w:tr w:rsidR="00A131AD" w:rsidRPr="00E05270" w:rsidTr="000A5BE0">
        <w:trPr>
          <w:cnfStyle w:val="010000000000" w:firstRow="0" w:lastRow="1" w:firstColumn="0" w:lastColumn="0" w:oddVBand="0" w:evenVBand="0" w:oddHBand="0" w:evenHBand="0" w:firstRowFirstColumn="0" w:firstRowLastColumn="0" w:lastRowFirstColumn="0" w:lastRowLastColumn="0"/>
          <w:trHeight w:val="220"/>
        </w:trPr>
        <w:tc>
          <w:tcPr>
            <w:cnfStyle w:val="001000000000" w:firstRow="0" w:lastRow="0" w:firstColumn="1" w:lastColumn="0" w:oddVBand="0" w:evenVBand="0" w:oddHBand="0" w:evenHBand="0" w:firstRowFirstColumn="0" w:firstRowLastColumn="0" w:lastRowFirstColumn="0" w:lastRowLastColumn="0"/>
            <w:tcW w:w="1052" w:type="dxa"/>
            <w:gridSpan w:val="2"/>
          </w:tcPr>
          <w:p w:rsidR="00A131AD" w:rsidRPr="00E05270" w:rsidRDefault="00A131AD" w:rsidP="000C0138">
            <w:pPr>
              <w:spacing w:line="276" w:lineRule="auto"/>
              <w:jc w:val="center"/>
              <w:rPr>
                <w:rFonts w:ascii="Times New Roman" w:hAnsi="Times New Roman"/>
                <w:b w:val="0"/>
              </w:rPr>
            </w:pPr>
            <w:r w:rsidRPr="00E05270">
              <w:rPr>
                <w:rFonts w:ascii="Times New Roman" w:hAnsi="Times New Roman"/>
                <w:b w:val="0"/>
              </w:rPr>
              <w:t>2015</w:t>
            </w:r>
          </w:p>
        </w:tc>
        <w:tc>
          <w:tcPr>
            <w:cnfStyle w:val="000010000000" w:firstRow="0" w:lastRow="0" w:firstColumn="0" w:lastColumn="0" w:oddVBand="1" w:evenVBand="0" w:oddHBand="0" w:evenHBand="0" w:firstRowFirstColumn="0" w:firstRowLastColumn="0" w:lastRowFirstColumn="0" w:lastRowLastColumn="0"/>
            <w:tcW w:w="1052" w:type="dxa"/>
          </w:tcPr>
          <w:p w:rsidR="00A131AD" w:rsidRPr="00E05270" w:rsidRDefault="00A131AD" w:rsidP="000C0138">
            <w:pPr>
              <w:spacing w:line="276" w:lineRule="auto"/>
              <w:jc w:val="right"/>
              <w:rPr>
                <w:rFonts w:ascii="Times New Roman" w:hAnsi="Times New Roman"/>
                <w:b w:val="0"/>
              </w:rPr>
            </w:pPr>
            <w:r w:rsidRPr="00E05270">
              <w:rPr>
                <w:rFonts w:ascii="Times New Roman" w:hAnsi="Times New Roman"/>
                <w:b w:val="0"/>
              </w:rPr>
              <w:t>6955</w:t>
            </w:r>
          </w:p>
        </w:tc>
        <w:tc>
          <w:tcPr>
            <w:tcW w:w="1448" w:type="dxa"/>
            <w:gridSpan w:val="2"/>
          </w:tcPr>
          <w:p w:rsidR="00A131AD" w:rsidRPr="00E05270" w:rsidRDefault="00A131AD" w:rsidP="000C0138">
            <w:pPr>
              <w:spacing w:line="276" w:lineRule="auto"/>
              <w:jc w:val="right"/>
              <w:cnfStyle w:val="010000000000" w:firstRow="0" w:lastRow="1" w:firstColumn="0" w:lastColumn="0" w:oddVBand="0" w:evenVBand="0" w:oddHBand="0" w:evenHBand="0" w:firstRowFirstColumn="0" w:firstRowLastColumn="0" w:lastRowFirstColumn="0" w:lastRowLastColumn="0"/>
              <w:rPr>
                <w:rFonts w:ascii="Times New Roman" w:hAnsi="Times New Roman"/>
                <w:b w:val="0"/>
              </w:rPr>
            </w:pPr>
            <w:r w:rsidRPr="00E05270">
              <w:rPr>
                <w:rFonts w:ascii="Times New Roman" w:hAnsi="Times New Roman"/>
                <w:b w:val="0"/>
              </w:rPr>
              <w:t>307</w:t>
            </w:r>
            <w:r w:rsidRPr="00E05270">
              <w:rPr>
                <w:rFonts w:ascii="Times New Roman" w:hAnsi="Times New Roman"/>
                <w:b w:val="0"/>
                <w:lang w:val="hr-HR"/>
              </w:rPr>
              <w:t>(4,4%)</w:t>
            </w:r>
          </w:p>
        </w:tc>
        <w:tc>
          <w:tcPr>
            <w:cnfStyle w:val="000010000000" w:firstRow="0" w:lastRow="0" w:firstColumn="0" w:lastColumn="0" w:oddVBand="1" w:evenVBand="0" w:oddHBand="0" w:evenHBand="0" w:firstRowFirstColumn="0" w:firstRowLastColumn="0" w:lastRowFirstColumn="0" w:lastRowLastColumn="0"/>
            <w:tcW w:w="942" w:type="dxa"/>
            <w:gridSpan w:val="3"/>
          </w:tcPr>
          <w:p w:rsidR="00A131AD" w:rsidRPr="00E05270" w:rsidRDefault="00A131AD" w:rsidP="000C0138">
            <w:pPr>
              <w:spacing w:line="276" w:lineRule="auto"/>
              <w:jc w:val="right"/>
              <w:rPr>
                <w:rFonts w:ascii="Times New Roman" w:hAnsi="Times New Roman"/>
                <w:b w:val="0"/>
              </w:rPr>
            </w:pPr>
            <w:r w:rsidRPr="00E05270">
              <w:rPr>
                <w:rFonts w:ascii="Times New Roman" w:hAnsi="Times New Roman"/>
                <w:b w:val="0"/>
              </w:rPr>
              <w:t>4653</w:t>
            </w:r>
          </w:p>
        </w:tc>
        <w:tc>
          <w:tcPr>
            <w:tcW w:w="1455" w:type="dxa"/>
            <w:gridSpan w:val="2"/>
          </w:tcPr>
          <w:p w:rsidR="00A131AD" w:rsidRPr="00E05270" w:rsidRDefault="00A131AD" w:rsidP="000C0138">
            <w:pPr>
              <w:spacing w:line="276" w:lineRule="auto"/>
              <w:jc w:val="right"/>
              <w:cnfStyle w:val="010000000000" w:firstRow="0" w:lastRow="1" w:firstColumn="0" w:lastColumn="0" w:oddVBand="0" w:evenVBand="0" w:oddHBand="0" w:evenHBand="0" w:firstRowFirstColumn="0" w:firstRowLastColumn="0" w:lastRowFirstColumn="0" w:lastRowLastColumn="0"/>
              <w:rPr>
                <w:rFonts w:ascii="Times New Roman" w:hAnsi="Times New Roman"/>
                <w:b w:val="0"/>
              </w:rPr>
            </w:pPr>
            <w:r w:rsidRPr="00E05270">
              <w:rPr>
                <w:rFonts w:ascii="Times New Roman" w:hAnsi="Times New Roman"/>
                <w:b w:val="0"/>
              </w:rPr>
              <w:t>359</w:t>
            </w:r>
            <w:r w:rsidRPr="00E05270">
              <w:rPr>
                <w:rFonts w:ascii="Times New Roman" w:hAnsi="Times New Roman"/>
                <w:b w:val="0"/>
                <w:lang w:val="hr-HR"/>
              </w:rPr>
              <w:t>(7,7%)</w:t>
            </w:r>
          </w:p>
        </w:tc>
        <w:tc>
          <w:tcPr>
            <w:cnfStyle w:val="000010000000" w:firstRow="0" w:lastRow="0" w:firstColumn="0" w:lastColumn="0" w:oddVBand="1" w:evenVBand="0" w:oddHBand="0" w:evenHBand="0" w:firstRowFirstColumn="0" w:firstRowLastColumn="0" w:lastRowFirstColumn="0" w:lastRowLastColumn="0"/>
            <w:tcW w:w="925" w:type="dxa"/>
            <w:gridSpan w:val="2"/>
          </w:tcPr>
          <w:p w:rsidR="00A131AD" w:rsidRPr="00E05270" w:rsidRDefault="00A131AD" w:rsidP="000C0138">
            <w:pPr>
              <w:spacing w:line="276" w:lineRule="auto"/>
              <w:jc w:val="right"/>
              <w:rPr>
                <w:rFonts w:ascii="Times New Roman" w:hAnsi="Times New Roman"/>
                <w:b w:val="0"/>
              </w:rPr>
            </w:pPr>
            <w:r w:rsidRPr="00E05270">
              <w:rPr>
                <w:rFonts w:ascii="Times New Roman" w:hAnsi="Times New Roman"/>
                <w:b w:val="0"/>
              </w:rPr>
              <w:t>22282</w:t>
            </w:r>
          </w:p>
        </w:tc>
        <w:tc>
          <w:tcPr>
            <w:cnfStyle w:val="000100000000" w:firstRow="0" w:lastRow="0" w:firstColumn="0" w:lastColumn="1" w:oddVBand="0" w:evenVBand="0" w:oddHBand="0" w:evenHBand="0" w:firstRowFirstColumn="0" w:firstRowLastColumn="0" w:lastRowFirstColumn="0" w:lastRowLastColumn="0"/>
            <w:tcW w:w="1587" w:type="dxa"/>
            <w:gridSpan w:val="2"/>
          </w:tcPr>
          <w:p w:rsidR="00A131AD" w:rsidRPr="00E05270" w:rsidRDefault="00A131AD" w:rsidP="000C0138">
            <w:pPr>
              <w:spacing w:line="276" w:lineRule="auto"/>
              <w:jc w:val="right"/>
              <w:rPr>
                <w:rFonts w:ascii="Times New Roman" w:hAnsi="Times New Roman"/>
                <w:b w:val="0"/>
              </w:rPr>
            </w:pPr>
            <w:r w:rsidRPr="00E05270">
              <w:rPr>
                <w:rFonts w:ascii="Times New Roman" w:hAnsi="Times New Roman"/>
                <w:b w:val="0"/>
              </w:rPr>
              <w:t xml:space="preserve">1662 </w:t>
            </w:r>
            <w:r w:rsidRPr="00E05270">
              <w:rPr>
                <w:rFonts w:ascii="Times New Roman" w:hAnsi="Times New Roman"/>
                <w:b w:val="0"/>
                <w:lang w:val="hr-HR"/>
              </w:rPr>
              <w:t>(7,5%)</w:t>
            </w:r>
          </w:p>
        </w:tc>
      </w:tr>
    </w:tbl>
    <w:p w:rsidR="00B37E7E" w:rsidRDefault="00B37E7E" w:rsidP="000C0138">
      <w:pPr>
        <w:pStyle w:val="tabele0"/>
        <w:spacing w:line="276" w:lineRule="auto"/>
        <w:ind w:left="0" w:firstLine="0"/>
        <w:jc w:val="both"/>
        <w:rPr>
          <w:i w:val="0"/>
          <w:lang w:val="hr-HR"/>
        </w:rPr>
      </w:pPr>
    </w:p>
    <w:p w:rsidR="00A131AD" w:rsidRPr="00155F80" w:rsidRDefault="00A131AD" w:rsidP="000C0138">
      <w:pPr>
        <w:pStyle w:val="tabele0"/>
        <w:spacing w:line="276" w:lineRule="auto"/>
        <w:ind w:left="0" w:firstLine="0"/>
        <w:jc w:val="both"/>
        <w:rPr>
          <w:i w:val="0"/>
          <w:lang w:val="hr-HR"/>
        </w:rPr>
      </w:pPr>
      <w:r w:rsidRPr="00155F80">
        <w:rPr>
          <w:i w:val="0"/>
          <w:lang w:val="hr-HR"/>
        </w:rPr>
        <w:t>Prema zdravstveno statističkim izvješ</w:t>
      </w:r>
      <w:r w:rsidR="00550EF6">
        <w:rPr>
          <w:i w:val="0"/>
          <w:lang w:val="hr-HR"/>
        </w:rPr>
        <w:t>ć</w:t>
      </w:r>
      <w:r w:rsidRPr="00155F80">
        <w:rPr>
          <w:i w:val="0"/>
          <w:lang w:val="hr-HR"/>
        </w:rPr>
        <w:t>ima o kontroli zdrastvene ispravnosti predmeta op</w:t>
      </w:r>
      <w:r w:rsidR="00550EF6">
        <w:rPr>
          <w:i w:val="0"/>
          <w:lang w:val="hr-HR"/>
        </w:rPr>
        <w:t>ć</w:t>
      </w:r>
      <w:r w:rsidRPr="00155F80">
        <w:rPr>
          <w:i w:val="0"/>
          <w:lang w:val="hr-HR"/>
        </w:rPr>
        <w:t>e upor</w:t>
      </w:r>
      <w:r w:rsidR="00550EF6">
        <w:rPr>
          <w:i w:val="0"/>
          <w:lang w:val="hr-HR"/>
        </w:rPr>
        <w:t>a</w:t>
      </w:r>
      <w:r w:rsidRPr="00155F80">
        <w:rPr>
          <w:i w:val="0"/>
          <w:lang w:val="hr-HR"/>
        </w:rPr>
        <w:t xml:space="preserve">be i sredstava za </w:t>
      </w:r>
      <w:r w:rsidR="00550EF6">
        <w:rPr>
          <w:i w:val="0"/>
          <w:lang w:val="hr-HR"/>
        </w:rPr>
        <w:t>osobnu</w:t>
      </w:r>
      <w:r w:rsidRPr="00155F80">
        <w:rPr>
          <w:i w:val="0"/>
          <w:lang w:val="hr-HR"/>
        </w:rPr>
        <w:t xml:space="preserve"> higijenu na području Federacije Bosne i Hercegovine, u 2015</w:t>
      </w:r>
      <w:r w:rsidR="00EC077A">
        <w:rPr>
          <w:i w:val="0"/>
          <w:lang w:val="hr-HR"/>
        </w:rPr>
        <w:t>.</w:t>
      </w:r>
      <w:r w:rsidRPr="00155F80">
        <w:rPr>
          <w:i w:val="0"/>
          <w:lang w:val="hr-HR"/>
        </w:rPr>
        <w:t xml:space="preserve"> </w:t>
      </w:r>
      <w:r w:rsidRPr="00155F80">
        <w:rPr>
          <w:i w:val="0"/>
          <w:lang w:val="es-ES"/>
        </w:rPr>
        <w:t>godini su</w:t>
      </w:r>
      <w:r w:rsidRPr="00155F80">
        <w:rPr>
          <w:i w:val="0"/>
          <w:lang w:val="hr-HR"/>
        </w:rPr>
        <w:t xml:space="preserve"> </w:t>
      </w:r>
      <w:r w:rsidR="00550EF6">
        <w:rPr>
          <w:i w:val="0"/>
          <w:lang w:val="hr-HR"/>
        </w:rPr>
        <w:t>k</w:t>
      </w:r>
      <w:r w:rsidRPr="00155F80">
        <w:rPr>
          <w:i w:val="0"/>
          <w:lang w:val="hr-HR"/>
        </w:rPr>
        <w:t>emijske analize uređene na 101 uzorku iz proizvodnje, od koji</w:t>
      </w:r>
      <w:r w:rsidR="00550EF6">
        <w:rPr>
          <w:i w:val="0"/>
          <w:lang w:val="hr-HR"/>
        </w:rPr>
        <w:t>h</w:t>
      </w:r>
      <w:r w:rsidRPr="00155F80">
        <w:rPr>
          <w:i w:val="0"/>
          <w:lang w:val="hr-HR"/>
        </w:rPr>
        <w:t xml:space="preserve"> je 13 ili 12,9% bilo neispravno, a mikrobiloške analize su urađene na 6</w:t>
      </w:r>
      <w:r w:rsidR="00550EF6">
        <w:rPr>
          <w:i w:val="0"/>
          <w:lang w:val="hr-HR"/>
        </w:rPr>
        <w:t>.</w:t>
      </w:r>
      <w:r w:rsidRPr="00155F80">
        <w:rPr>
          <w:i w:val="0"/>
          <w:lang w:val="hr-HR"/>
        </w:rPr>
        <w:t>380 uzoraka iz proi</w:t>
      </w:r>
      <w:r w:rsidR="00550EF6">
        <w:rPr>
          <w:i w:val="0"/>
          <w:lang w:val="hr-HR"/>
        </w:rPr>
        <w:t>z</w:t>
      </w:r>
      <w:r w:rsidRPr="00155F80">
        <w:rPr>
          <w:i w:val="0"/>
          <w:lang w:val="hr-HR"/>
        </w:rPr>
        <w:t xml:space="preserve">vodnje, od kojih je 103 ili /1,6% bilo neispravno. </w:t>
      </w:r>
    </w:p>
    <w:p w:rsidR="00A131AD" w:rsidRDefault="00A131AD" w:rsidP="000C0138">
      <w:pPr>
        <w:pStyle w:val="tabele0"/>
        <w:spacing w:line="276" w:lineRule="auto"/>
        <w:ind w:left="0" w:firstLine="0"/>
        <w:jc w:val="both"/>
        <w:rPr>
          <w:i w:val="0"/>
          <w:lang w:val="hr-HR"/>
        </w:rPr>
      </w:pPr>
      <w:r w:rsidRPr="00155F80">
        <w:rPr>
          <w:i w:val="0"/>
          <w:lang w:val="hr-HR"/>
        </w:rPr>
        <w:t>Od uzorka predmeta op</w:t>
      </w:r>
      <w:r w:rsidR="00550EF6">
        <w:rPr>
          <w:i w:val="0"/>
          <w:lang w:val="hr-HR"/>
        </w:rPr>
        <w:t>ć</w:t>
      </w:r>
      <w:r w:rsidRPr="00155F80">
        <w:rPr>
          <w:i w:val="0"/>
          <w:lang w:val="hr-HR"/>
        </w:rPr>
        <w:t>e upor</w:t>
      </w:r>
      <w:r w:rsidR="00550EF6">
        <w:rPr>
          <w:i w:val="0"/>
          <w:lang w:val="hr-HR"/>
        </w:rPr>
        <w:t>a</w:t>
      </w:r>
      <w:r w:rsidRPr="00155F80">
        <w:rPr>
          <w:i w:val="0"/>
          <w:lang w:val="hr-HR"/>
        </w:rPr>
        <w:t xml:space="preserve">be  iz prometa, 182 su analizirana na </w:t>
      </w:r>
      <w:r w:rsidR="00550EF6">
        <w:rPr>
          <w:i w:val="0"/>
          <w:lang w:val="hr-HR"/>
        </w:rPr>
        <w:t>k</w:t>
      </w:r>
      <w:r w:rsidRPr="00155F80">
        <w:rPr>
          <w:i w:val="0"/>
          <w:lang w:val="hr-HR"/>
        </w:rPr>
        <w:t>emijsku ispravnost, od čega je 13 ili 7,1% bilo nespravno. Mikrobiološke analize obavljene na 8</w:t>
      </w:r>
      <w:r w:rsidR="00550EF6">
        <w:rPr>
          <w:i w:val="0"/>
          <w:lang w:val="hr-HR"/>
        </w:rPr>
        <w:t>.</w:t>
      </w:r>
      <w:r w:rsidRPr="00155F80">
        <w:rPr>
          <w:i w:val="0"/>
          <w:lang w:val="hr-HR"/>
        </w:rPr>
        <w:t>215 uzoraka predmeta op</w:t>
      </w:r>
      <w:r w:rsidR="00550EF6">
        <w:rPr>
          <w:i w:val="0"/>
          <w:lang w:val="hr-HR"/>
        </w:rPr>
        <w:t>ć</w:t>
      </w:r>
      <w:r w:rsidRPr="00155F80">
        <w:rPr>
          <w:i w:val="0"/>
          <w:lang w:val="hr-HR"/>
        </w:rPr>
        <w:t>e upor</w:t>
      </w:r>
      <w:r w:rsidR="00550EF6">
        <w:rPr>
          <w:i w:val="0"/>
          <w:lang w:val="hr-HR"/>
        </w:rPr>
        <w:t>a</w:t>
      </w:r>
      <w:r w:rsidRPr="00155F80">
        <w:rPr>
          <w:i w:val="0"/>
          <w:lang w:val="hr-HR"/>
        </w:rPr>
        <w:t>be iz prometa, od čega je neispravnih bilo 486 ili 5,9%.</w:t>
      </w:r>
    </w:p>
    <w:p w:rsidR="002C323A" w:rsidRDefault="002C323A" w:rsidP="000C0138">
      <w:pPr>
        <w:pStyle w:val="tabele0"/>
        <w:spacing w:line="276" w:lineRule="auto"/>
        <w:ind w:left="0" w:firstLine="0"/>
        <w:jc w:val="both"/>
        <w:rPr>
          <w:i w:val="0"/>
          <w:lang w:val="hr-HR"/>
        </w:rPr>
      </w:pPr>
    </w:p>
    <w:p w:rsidR="002C323A" w:rsidRDefault="002C323A" w:rsidP="000C0138">
      <w:pPr>
        <w:pStyle w:val="tabele0"/>
        <w:spacing w:line="276" w:lineRule="auto"/>
        <w:ind w:left="0" w:firstLine="0"/>
        <w:jc w:val="both"/>
        <w:rPr>
          <w:i w:val="0"/>
          <w:lang w:val="hr-HR"/>
        </w:rPr>
      </w:pPr>
    </w:p>
    <w:p w:rsidR="002C323A" w:rsidRDefault="002C323A" w:rsidP="000C0138">
      <w:pPr>
        <w:pStyle w:val="tabele0"/>
        <w:spacing w:line="276" w:lineRule="auto"/>
        <w:ind w:left="0" w:firstLine="0"/>
        <w:jc w:val="both"/>
        <w:rPr>
          <w:i w:val="0"/>
          <w:lang w:val="hr-HR"/>
        </w:rPr>
      </w:pPr>
    </w:p>
    <w:p w:rsidR="002C323A" w:rsidRDefault="002C323A" w:rsidP="000C0138">
      <w:pPr>
        <w:pStyle w:val="tabele0"/>
        <w:spacing w:line="276" w:lineRule="auto"/>
        <w:ind w:left="0" w:firstLine="0"/>
        <w:jc w:val="both"/>
        <w:rPr>
          <w:i w:val="0"/>
          <w:lang w:val="hr-HR"/>
        </w:rPr>
      </w:pPr>
    </w:p>
    <w:p w:rsidR="002C323A" w:rsidRDefault="002C323A" w:rsidP="000C0138">
      <w:pPr>
        <w:pStyle w:val="tabele0"/>
        <w:spacing w:line="276" w:lineRule="auto"/>
        <w:ind w:left="0" w:firstLine="0"/>
        <w:jc w:val="both"/>
        <w:rPr>
          <w:i w:val="0"/>
          <w:lang w:val="hr-HR"/>
        </w:rPr>
      </w:pPr>
    </w:p>
    <w:p w:rsidR="002C323A" w:rsidRDefault="002C323A" w:rsidP="000C0138">
      <w:pPr>
        <w:pStyle w:val="tabele0"/>
        <w:spacing w:line="276" w:lineRule="auto"/>
        <w:ind w:left="0" w:firstLine="0"/>
        <w:jc w:val="both"/>
        <w:rPr>
          <w:i w:val="0"/>
          <w:lang w:val="hr-HR"/>
        </w:rPr>
      </w:pPr>
    </w:p>
    <w:p w:rsidR="002C323A" w:rsidRDefault="002C323A" w:rsidP="000C0138">
      <w:pPr>
        <w:pStyle w:val="tabele0"/>
        <w:spacing w:line="276" w:lineRule="auto"/>
        <w:ind w:left="0" w:firstLine="0"/>
        <w:jc w:val="both"/>
        <w:rPr>
          <w:i w:val="0"/>
          <w:lang w:val="hr-HR"/>
        </w:rPr>
      </w:pPr>
    </w:p>
    <w:p w:rsidR="002C323A" w:rsidRDefault="002C323A" w:rsidP="000C0138">
      <w:pPr>
        <w:pStyle w:val="tabele0"/>
        <w:spacing w:line="276" w:lineRule="auto"/>
        <w:ind w:left="0" w:firstLine="0"/>
        <w:jc w:val="both"/>
        <w:rPr>
          <w:i w:val="0"/>
          <w:lang w:val="hr-HR"/>
        </w:rPr>
      </w:pPr>
    </w:p>
    <w:p w:rsidR="002C323A" w:rsidRDefault="002C323A" w:rsidP="000C0138">
      <w:pPr>
        <w:pStyle w:val="tabele0"/>
        <w:spacing w:line="276" w:lineRule="auto"/>
        <w:ind w:left="0" w:firstLine="0"/>
        <w:jc w:val="both"/>
        <w:rPr>
          <w:i w:val="0"/>
          <w:lang w:val="hr-HR"/>
        </w:rPr>
      </w:pPr>
    </w:p>
    <w:p w:rsidR="00B37E7E" w:rsidRPr="00155F80" w:rsidRDefault="00B37E7E" w:rsidP="000C0138">
      <w:pPr>
        <w:pStyle w:val="tabele0"/>
        <w:spacing w:line="276" w:lineRule="auto"/>
        <w:ind w:left="0" w:firstLine="0"/>
        <w:jc w:val="both"/>
        <w:rPr>
          <w:i w:val="0"/>
          <w:lang w:val="hr-HR"/>
        </w:rPr>
      </w:pPr>
    </w:p>
    <w:p w:rsidR="00A131AD" w:rsidRPr="00155F80" w:rsidRDefault="00A131AD" w:rsidP="00B37E7E">
      <w:pPr>
        <w:pStyle w:val="refererere"/>
      </w:pPr>
      <w:r w:rsidRPr="00155F80">
        <w:t>Tabl</w:t>
      </w:r>
      <w:r w:rsidR="00550EF6">
        <w:t>ic</w:t>
      </w:r>
      <w:r w:rsidRPr="00155F80">
        <w:t>a 22: Prikaz kontrole zdravstvene  ispravnosti predmeta op</w:t>
      </w:r>
      <w:r w:rsidR="00550EF6">
        <w:t>ć</w:t>
      </w:r>
      <w:r w:rsidRPr="00155F80">
        <w:t>e upor</w:t>
      </w:r>
      <w:r w:rsidR="00550EF6">
        <w:t>a</w:t>
      </w:r>
      <w:r w:rsidRPr="00155F80">
        <w:t xml:space="preserve">be na području  Federacije BiH, za </w:t>
      </w:r>
      <w:r w:rsidR="00550EF6">
        <w:t>razdoblje</w:t>
      </w:r>
      <w:r w:rsidRPr="00155F80">
        <w:t xml:space="preserve"> 2010.-2015. godina</w:t>
      </w:r>
    </w:p>
    <w:tbl>
      <w:tblPr>
        <w:tblStyle w:val="LightList-Accent5"/>
        <w:tblW w:w="9089" w:type="dxa"/>
        <w:tblLayout w:type="fixed"/>
        <w:tblLook w:val="01E0" w:firstRow="1" w:lastRow="1" w:firstColumn="1" w:lastColumn="1" w:noHBand="0" w:noVBand="0"/>
      </w:tblPr>
      <w:tblGrid>
        <w:gridCol w:w="1128"/>
        <w:gridCol w:w="7"/>
        <w:gridCol w:w="1121"/>
        <w:gridCol w:w="12"/>
        <w:gridCol w:w="1541"/>
        <w:gridCol w:w="1011"/>
        <w:gridCol w:w="1559"/>
        <w:gridCol w:w="32"/>
        <w:gridCol w:w="960"/>
        <w:gridCol w:w="1701"/>
        <w:gridCol w:w="17"/>
      </w:tblGrid>
      <w:tr w:rsidR="00A131AD" w:rsidRPr="00155F80" w:rsidTr="003066C2">
        <w:trPr>
          <w:cnfStyle w:val="100000000000" w:firstRow="1" w:lastRow="0" w:firstColumn="0" w:lastColumn="0" w:oddVBand="0" w:evenVBand="0" w:oddHBand="0"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9089" w:type="dxa"/>
            <w:gridSpan w:val="11"/>
            <w:shd w:val="clear" w:color="auto" w:fill="E7E6E6" w:themeFill="background2"/>
          </w:tcPr>
          <w:p w:rsidR="00A131AD" w:rsidRPr="003066C2" w:rsidRDefault="00A131AD" w:rsidP="00550EF6">
            <w:pPr>
              <w:spacing w:line="276" w:lineRule="auto"/>
              <w:jc w:val="center"/>
              <w:rPr>
                <w:rFonts w:ascii="Times New Roman" w:hAnsi="Times New Roman"/>
                <w:b w:val="0"/>
                <w:color w:val="000000" w:themeColor="text1"/>
              </w:rPr>
            </w:pPr>
            <w:r w:rsidRPr="003066C2">
              <w:rPr>
                <w:rFonts w:ascii="Times New Roman" w:hAnsi="Times New Roman"/>
                <w:b w:val="0"/>
                <w:color w:val="000000" w:themeColor="text1"/>
              </w:rPr>
              <w:t>Predmeti op</w:t>
            </w:r>
            <w:r w:rsidR="00550EF6">
              <w:rPr>
                <w:rFonts w:ascii="Times New Roman" w:hAnsi="Times New Roman"/>
                <w:b w:val="0"/>
                <w:color w:val="000000" w:themeColor="text1"/>
              </w:rPr>
              <w:t>ć</w:t>
            </w:r>
            <w:r w:rsidRPr="003066C2">
              <w:rPr>
                <w:rFonts w:ascii="Times New Roman" w:hAnsi="Times New Roman"/>
                <w:b w:val="0"/>
                <w:color w:val="000000" w:themeColor="text1"/>
              </w:rPr>
              <w:t>e upor</w:t>
            </w:r>
            <w:r w:rsidR="00550EF6">
              <w:rPr>
                <w:rFonts w:ascii="Times New Roman" w:hAnsi="Times New Roman"/>
                <w:b w:val="0"/>
                <w:color w:val="000000" w:themeColor="text1"/>
              </w:rPr>
              <w:t>a</w:t>
            </w:r>
            <w:r w:rsidRPr="003066C2">
              <w:rPr>
                <w:rFonts w:ascii="Times New Roman" w:hAnsi="Times New Roman"/>
                <w:b w:val="0"/>
                <w:color w:val="000000" w:themeColor="text1"/>
              </w:rPr>
              <w:t xml:space="preserve">be </w:t>
            </w:r>
          </w:p>
        </w:tc>
      </w:tr>
      <w:tr w:rsidR="00A131AD" w:rsidRPr="00E05270" w:rsidTr="003066C2">
        <w:trPr>
          <w:cnfStyle w:val="000000100000" w:firstRow="0" w:lastRow="0" w:firstColumn="0" w:lastColumn="0" w:oddVBand="0" w:evenVBand="0" w:oddHBand="1"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9089" w:type="dxa"/>
            <w:gridSpan w:val="11"/>
            <w:shd w:val="clear" w:color="auto" w:fill="E7E6E6" w:themeFill="background2"/>
          </w:tcPr>
          <w:p w:rsidR="00A131AD" w:rsidRPr="003066C2" w:rsidRDefault="00A131AD" w:rsidP="000C0138">
            <w:pPr>
              <w:spacing w:line="276" w:lineRule="auto"/>
              <w:jc w:val="center"/>
              <w:rPr>
                <w:rFonts w:ascii="Times New Roman" w:hAnsi="Times New Roman"/>
                <w:b w:val="0"/>
                <w:color w:val="000000" w:themeColor="text1"/>
              </w:rPr>
            </w:pPr>
            <w:r w:rsidRPr="003066C2">
              <w:rPr>
                <w:rFonts w:ascii="Times New Roman" w:hAnsi="Times New Roman"/>
                <w:b w:val="0"/>
                <w:color w:val="000000" w:themeColor="text1"/>
              </w:rPr>
              <w:t>Proizvodnja</w:t>
            </w:r>
          </w:p>
        </w:tc>
      </w:tr>
      <w:tr w:rsidR="00A131AD" w:rsidRPr="00E05270" w:rsidTr="001911A6">
        <w:trPr>
          <w:trHeight w:val="409"/>
        </w:trPr>
        <w:tc>
          <w:tcPr>
            <w:cnfStyle w:val="001000000000" w:firstRow="0" w:lastRow="0" w:firstColumn="1" w:lastColumn="0" w:oddVBand="0" w:evenVBand="0" w:oddHBand="0" w:evenHBand="0" w:firstRowFirstColumn="0" w:firstRowLastColumn="0" w:lastRowFirstColumn="0" w:lastRowLastColumn="0"/>
            <w:tcW w:w="1135" w:type="dxa"/>
            <w:gridSpan w:val="2"/>
            <w:vMerge w:val="restart"/>
          </w:tcPr>
          <w:p w:rsidR="00A131AD" w:rsidRPr="00E05270" w:rsidRDefault="00A131AD" w:rsidP="000C0138">
            <w:pPr>
              <w:spacing w:line="276" w:lineRule="auto"/>
              <w:ind w:left="-108"/>
              <w:jc w:val="center"/>
              <w:rPr>
                <w:rFonts w:ascii="Times New Roman" w:hAnsi="Times New Roman"/>
                <w:b w:val="0"/>
              </w:rPr>
            </w:pPr>
            <w:r w:rsidRPr="00E05270">
              <w:rPr>
                <w:rFonts w:ascii="Times New Roman" w:hAnsi="Times New Roman"/>
                <w:b w:val="0"/>
              </w:rPr>
              <w:t>Godina</w:t>
            </w:r>
          </w:p>
        </w:tc>
        <w:tc>
          <w:tcPr>
            <w:cnfStyle w:val="000010000000" w:firstRow="0" w:lastRow="0" w:firstColumn="0" w:lastColumn="0" w:oddVBand="1" w:evenVBand="0" w:oddHBand="0" w:evenHBand="0" w:firstRowFirstColumn="0" w:firstRowLastColumn="0" w:lastRowFirstColumn="0" w:lastRowLastColumn="0"/>
            <w:tcW w:w="2674" w:type="dxa"/>
            <w:gridSpan w:val="3"/>
          </w:tcPr>
          <w:p w:rsidR="00A131AD" w:rsidRPr="00E05270" w:rsidRDefault="00A131AD" w:rsidP="000C0138">
            <w:pPr>
              <w:spacing w:line="276" w:lineRule="auto"/>
              <w:jc w:val="center"/>
              <w:rPr>
                <w:rFonts w:ascii="Times New Roman" w:hAnsi="Times New Roman"/>
              </w:rPr>
            </w:pPr>
            <w:r w:rsidRPr="00E05270">
              <w:rPr>
                <w:rFonts w:ascii="Times New Roman" w:hAnsi="Times New Roman"/>
              </w:rPr>
              <w:t>Organoleptički pregled  uzoraka</w:t>
            </w:r>
          </w:p>
        </w:tc>
        <w:tc>
          <w:tcPr>
            <w:tcW w:w="2602" w:type="dxa"/>
            <w:gridSpan w:val="3"/>
          </w:tcPr>
          <w:p w:rsidR="00A131AD" w:rsidRPr="00E05270" w:rsidRDefault="00550EF6" w:rsidP="000C013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K</w:t>
            </w:r>
            <w:r w:rsidR="00A131AD" w:rsidRPr="00E05270">
              <w:rPr>
                <w:rFonts w:ascii="Times New Roman" w:hAnsi="Times New Roman"/>
              </w:rPr>
              <w:t>emijski pregled uzoraka</w:t>
            </w:r>
          </w:p>
        </w:tc>
        <w:tc>
          <w:tcPr>
            <w:cnfStyle w:val="000100000000" w:firstRow="0" w:lastRow="0" w:firstColumn="0" w:lastColumn="1" w:oddVBand="0" w:evenVBand="0" w:oddHBand="0" w:evenHBand="0" w:firstRowFirstColumn="0" w:firstRowLastColumn="0" w:lastRowFirstColumn="0" w:lastRowLastColumn="0"/>
            <w:tcW w:w="2678" w:type="dxa"/>
            <w:gridSpan w:val="3"/>
          </w:tcPr>
          <w:p w:rsidR="00A131AD" w:rsidRPr="00E05270" w:rsidRDefault="00A131AD" w:rsidP="000C0138">
            <w:pPr>
              <w:spacing w:line="276" w:lineRule="auto"/>
              <w:jc w:val="center"/>
              <w:rPr>
                <w:rFonts w:ascii="Times New Roman" w:hAnsi="Times New Roman"/>
                <w:b w:val="0"/>
              </w:rPr>
            </w:pPr>
            <w:r w:rsidRPr="00E05270">
              <w:rPr>
                <w:rFonts w:ascii="Times New Roman" w:hAnsi="Times New Roman"/>
                <w:b w:val="0"/>
              </w:rPr>
              <w:t>Mikrobiološki pregled uzoraka</w:t>
            </w:r>
          </w:p>
        </w:tc>
      </w:tr>
      <w:tr w:rsidR="00A131AD" w:rsidRPr="00E05270" w:rsidTr="001911A6">
        <w:trPr>
          <w:cnfStyle w:val="000000100000" w:firstRow="0" w:lastRow="0" w:firstColumn="0" w:lastColumn="0" w:oddVBand="0" w:evenVBand="0" w:oddHBand="1" w:evenHBand="0" w:firstRowFirstColumn="0" w:firstRowLastColumn="0" w:lastRowFirstColumn="0" w:lastRowLastColumn="0"/>
          <w:trHeight w:val="221"/>
        </w:trPr>
        <w:tc>
          <w:tcPr>
            <w:cnfStyle w:val="001000000000" w:firstRow="0" w:lastRow="0" w:firstColumn="1" w:lastColumn="0" w:oddVBand="0" w:evenVBand="0" w:oddHBand="0" w:evenHBand="0" w:firstRowFirstColumn="0" w:firstRowLastColumn="0" w:lastRowFirstColumn="0" w:lastRowLastColumn="0"/>
            <w:tcW w:w="1135" w:type="dxa"/>
            <w:gridSpan w:val="2"/>
            <w:vMerge/>
          </w:tcPr>
          <w:p w:rsidR="00A131AD" w:rsidRPr="00E05270" w:rsidRDefault="00A131AD" w:rsidP="000C0138">
            <w:pPr>
              <w:spacing w:line="276" w:lineRule="auto"/>
              <w:jc w:val="center"/>
              <w:rPr>
                <w:rFonts w:ascii="Times New Roman" w:hAnsi="Times New Roman"/>
                <w:b w:val="0"/>
              </w:rPr>
            </w:pPr>
          </w:p>
        </w:tc>
        <w:tc>
          <w:tcPr>
            <w:cnfStyle w:val="000010000000" w:firstRow="0" w:lastRow="0" w:firstColumn="0" w:lastColumn="0" w:oddVBand="1" w:evenVBand="0" w:oddHBand="0" w:evenHBand="0" w:firstRowFirstColumn="0" w:firstRowLastColumn="0" w:lastRowFirstColumn="0" w:lastRowLastColumn="0"/>
            <w:tcW w:w="1133" w:type="dxa"/>
            <w:gridSpan w:val="2"/>
          </w:tcPr>
          <w:p w:rsidR="00A131AD" w:rsidRPr="00E05270" w:rsidRDefault="00A131AD" w:rsidP="000C0138">
            <w:pPr>
              <w:spacing w:line="276" w:lineRule="auto"/>
              <w:ind w:left="-108"/>
              <w:jc w:val="center"/>
              <w:rPr>
                <w:rFonts w:ascii="Times New Roman" w:hAnsi="Times New Roman"/>
              </w:rPr>
            </w:pPr>
            <w:r w:rsidRPr="00E05270">
              <w:rPr>
                <w:rFonts w:ascii="Times New Roman" w:hAnsi="Times New Roman"/>
              </w:rPr>
              <w:t>Svega</w:t>
            </w:r>
          </w:p>
        </w:tc>
        <w:tc>
          <w:tcPr>
            <w:tcW w:w="1541" w:type="dxa"/>
          </w:tcPr>
          <w:p w:rsidR="00A131AD" w:rsidRPr="00E05270" w:rsidRDefault="00A131AD" w:rsidP="000C013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E05270">
              <w:rPr>
                <w:rFonts w:ascii="Times New Roman" w:hAnsi="Times New Roman"/>
              </w:rPr>
              <w:t>Od toga ne odgovara br /(%)</w:t>
            </w:r>
          </w:p>
        </w:tc>
        <w:tc>
          <w:tcPr>
            <w:cnfStyle w:val="000010000000" w:firstRow="0" w:lastRow="0" w:firstColumn="0" w:lastColumn="0" w:oddVBand="1" w:evenVBand="0" w:oddHBand="0" w:evenHBand="0" w:firstRowFirstColumn="0" w:firstRowLastColumn="0" w:lastRowFirstColumn="0" w:lastRowLastColumn="0"/>
            <w:tcW w:w="1011" w:type="dxa"/>
          </w:tcPr>
          <w:p w:rsidR="00A131AD" w:rsidRPr="00E05270" w:rsidRDefault="00A131AD" w:rsidP="000C0138">
            <w:pPr>
              <w:spacing w:line="276" w:lineRule="auto"/>
              <w:ind w:left="-74"/>
              <w:jc w:val="center"/>
              <w:rPr>
                <w:rFonts w:ascii="Times New Roman" w:hAnsi="Times New Roman"/>
              </w:rPr>
            </w:pPr>
            <w:r w:rsidRPr="00E05270">
              <w:rPr>
                <w:rFonts w:ascii="Times New Roman" w:hAnsi="Times New Roman"/>
              </w:rPr>
              <w:t>Svega</w:t>
            </w:r>
          </w:p>
        </w:tc>
        <w:tc>
          <w:tcPr>
            <w:tcW w:w="1591" w:type="dxa"/>
            <w:gridSpan w:val="2"/>
          </w:tcPr>
          <w:p w:rsidR="00A131AD" w:rsidRPr="00E05270" w:rsidRDefault="00A131AD" w:rsidP="000C013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E05270">
              <w:rPr>
                <w:rFonts w:ascii="Times New Roman" w:hAnsi="Times New Roman"/>
              </w:rPr>
              <w:t>Od toga ne odgovara br/(%)</w:t>
            </w:r>
          </w:p>
        </w:tc>
        <w:tc>
          <w:tcPr>
            <w:cnfStyle w:val="000010000000" w:firstRow="0" w:lastRow="0" w:firstColumn="0" w:lastColumn="0" w:oddVBand="1" w:evenVBand="0" w:oddHBand="0" w:evenHBand="0" w:firstRowFirstColumn="0" w:firstRowLastColumn="0" w:lastRowFirstColumn="0" w:lastRowLastColumn="0"/>
            <w:tcW w:w="960" w:type="dxa"/>
          </w:tcPr>
          <w:p w:rsidR="00A131AD" w:rsidRPr="00E05270" w:rsidRDefault="00A131AD" w:rsidP="000C0138">
            <w:pPr>
              <w:spacing w:line="276" w:lineRule="auto"/>
              <w:ind w:left="-138"/>
              <w:jc w:val="center"/>
              <w:rPr>
                <w:rFonts w:ascii="Times New Roman" w:hAnsi="Times New Roman"/>
              </w:rPr>
            </w:pPr>
            <w:r w:rsidRPr="00E05270">
              <w:rPr>
                <w:rFonts w:ascii="Times New Roman" w:hAnsi="Times New Roman"/>
              </w:rPr>
              <w:t>Svega</w:t>
            </w:r>
          </w:p>
        </w:tc>
        <w:tc>
          <w:tcPr>
            <w:cnfStyle w:val="000100000000" w:firstRow="0" w:lastRow="0" w:firstColumn="0" w:lastColumn="1" w:oddVBand="0" w:evenVBand="0" w:oddHBand="0" w:evenHBand="0" w:firstRowFirstColumn="0" w:firstRowLastColumn="0" w:lastRowFirstColumn="0" w:lastRowLastColumn="0"/>
            <w:tcW w:w="1718" w:type="dxa"/>
            <w:gridSpan w:val="2"/>
          </w:tcPr>
          <w:p w:rsidR="00A131AD" w:rsidRPr="00E05270" w:rsidRDefault="00A131AD" w:rsidP="000C0138">
            <w:pPr>
              <w:spacing w:line="276" w:lineRule="auto"/>
              <w:jc w:val="center"/>
              <w:rPr>
                <w:rFonts w:ascii="Times New Roman" w:hAnsi="Times New Roman"/>
                <w:b w:val="0"/>
              </w:rPr>
            </w:pPr>
            <w:r w:rsidRPr="00E05270">
              <w:rPr>
                <w:rFonts w:ascii="Times New Roman" w:hAnsi="Times New Roman"/>
                <w:b w:val="0"/>
              </w:rPr>
              <w:t>Od toga ne odgovara br/(%)</w:t>
            </w:r>
          </w:p>
        </w:tc>
      </w:tr>
      <w:tr w:rsidR="00A131AD" w:rsidRPr="00E05270" w:rsidTr="001911A6">
        <w:trPr>
          <w:trHeight w:val="321"/>
        </w:trPr>
        <w:tc>
          <w:tcPr>
            <w:cnfStyle w:val="001000000000" w:firstRow="0" w:lastRow="0" w:firstColumn="1" w:lastColumn="0" w:oddVBand="0" w:evenVBand="0" w:oddHBand="0" w:evenHBand="0" w:firstRowFirstColumn="0" w:firstRowLastColumn="0" w:lastRowFirstColumn="0" w:lastRowLastColumn="0"/>
            <w:tcW w:w="1135" w:type="dxa"/>
            <w:gridSpan w:val="2"/>
          </w:tcPr>
          <w:p w:rsidR="00A131AD" w:rsidRPr="00E05270" w:rsidRDefault="00A131AD" w:rsidP="000C0138">
            <w:pPr>
              <w:spacing w:line="276" w:lineRule="auto"/>
              <w:jc w:val="center"/>
              <w:rPr>
                <w:rFonts w:ascii="Times New Roman" w:hAnsi="Times New Roman"/>
                <w:b w:val="0"/>
              </w:rPr>
            </w:pPr>
            <w:r w:rsidRPr="00E05270">
              <w:rPr>
                <w:rFonts w:ascii="Times New Roman" w:hAnsi="Times New Roman"/>
                <w:b w:val="0"/>
              </w:rPr>
              <w:t>2010.</w:t>
            </w:r>
          </w:p>
        </w:tc>
        <w:tc>
          <w:tcPr>
            <w:cnfStyle w:val="000010000000" w:firstRow="0" w:lastRow="0" w:firstColumn="0" w:lastColumn="0" w:oddVBand="1" w:evenVBand="0" w:oddHBand="0" w:evenHBand="0" w:firstRowFirstColumn="0" w:firstRowLastColumn="0" w:lastRowFirstColumn="0" w:lastRowLastColumn="0"/>
            <w:tcW w:w="1133" w:type="dxa"/>
            <w:gridSpan w:val="2"/>
          </w:tcPr>
          <w:p w:rsidR="00A131AD" w:rsidRPr="00E05270" w:rsidRDefault="00A131AD" w:rsidP="000C0138">
            <w:pPr>
              <w:spacing w:line="276" w:lineRule="auto"/>
              <w:jc w:val="right"/>
              <w:rPr>
                <w:rFonts w:ascii="Times New Roman" w:hAnsi="Times New Roman"/>
              </w:rPr>
            </w:pPr>
            <w:r w:rsidRPr="00E05270">
              <w:rPr>
                <w:rFonts w:ascii="Times New Roman" w:hAnsi="Times New Roman"/>
              </w:rPr>
              <w:t>165</w:t>
            </w:r>
          </w:p>
        </w:tc>
        <w:tc>
          <w:tcPr>
            <w:tcW w:w="1541" w:type="dxa"/>
          </w:tcPr>
          <w:p w:rsidR="00A131AD" w:rsidRPr="00E05270" w:rsidRDefault="00A131AD" w:rsidP="000C0138">
            <w:pPr>
              <w:spacing w:line="276"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E05270">
              <w:rPr>
                <w:rFonts w:ascii="Times New Roman" w:hAnsi="Times New Roman"/>
              </w:rPr>
              <w:t>0</w:t>
            </w:r>
          </w:p>
        </w:tc>
        <w:tc>
          <w:tcPr>
            <w:cnfStyle w:val="000010000000" w:firstRow="0" w:lastRow="0" w:firstColumn="0" w:lastColumn="0" w:oddVBand="1" w:evenVBand="0" w:oddHBand="0" w:evenHBand="0" w:firstRowFirstColumn="0" w:firstRowLastColumn="0" w:lastRowFirstColumn="0" w:lastRowLastColumn="0"/>
            <w:tcW w:w="1011" w:type="dxa"/>
          </w:tcPr>
          <w:p w:rsidR="00A131AD" w:rsidRPr="00E05270" w:rsidRDefault="00A131AD" w:rsidP="000C0138">
            <w:pPr>
              <w:spacing w:line="276" w:lineRule="auto"/>
              <w:jc w:val="right"/>
              <w:rPr>
                <w:rFonts w:ascii="Times New Roman" w:hAnsi="Times New Roman"/>
              </w:rPr>
            </w:pPr>
            <w:r w:rsidRPr="00E05270">
              <w:rPr>
                <w:rFonts w:ascii="Times New Roman" w:hAnsi="Times New Roman"/>
              </w:rPr>
              <w:t>165</w:t>
            </w:r>
          </w:p>
        </w:tc>
        <w:tc>
          <w:tcPr>
            <w:tcW w:w="1591" w:type="dxa"/>
            <w:gridSpan w:val="2"/>
          </w:tcPr>
          <w:p w:rsidR="00A131AD" w:rsidRPr="00E05270" w:rsidRDefault="00A131AD" w:rsidP="000C0138">
            <w:pPr>
              <w:spacing w:line="276"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E05270">
              <w:rPr>
                <w:rFonts w:ascii="Times New Roman" w:hAnsi="Times New Roman"/>
              </w:rPr>
              <w:t>0</w:t>
            </w:r>
          </w:p>
        </w:tc>
        <w:tc>
          <w:tcPr>
            <w:cnfStyle w:val="000010000000" w:firstRow="0" w:lastRow="0" w:firstColumn="0" w:lastColumn="0" w:oddVBand="1" w:evenVBand="0" w:oddHBand="0" w:evenHBand="0" w:firstRowFirstColumn="0" w:firstRowLastColumn="0" w:lastRowFirstColumn="0" w:lastRowLastColumn="0"/>
            <w:tcW w:w="960" w:type="dxa"/>
          </w:tcPr>
          <w:p w:rsidR="00A131AD" w:rsidRPr="00E05270" w:rsidRDefault="00A131AD" w:rsidP="000C0138">
            <w:pPr>
              <w:spacing w:line="276" w:lineRule="auto"/>
              <w:jc w:val="right"/>
              <w:rPr>
                <w:rFonts w:ascii="Times New Roman" w:hAnsi="Times New Roman"/>
              </w:rPr>
            </w:pPr>
            <w:r w:rsidRPr="00E05270">
              <w:rPr>
                <w:rFonts w:ascii="Times New Roman" w:hAnsi="Times New Roman"/>
              </w:rPr>
              <w:t>1399</w:t>
            </w:r>
          </w:p>
        </w:tc>
        <w:tc>
          <w:tcPr>
            <w:cnfStyle w:val="000100000000" w:firstRow="0" w:lastRow="0" w:firstColumn="0" w:lastColumn="1" w:oddVBand="0" w:evenVBand="0" w:oddHBand="0" w:evenHBand="0" w:firstRowFirstColumn="0" w:firstRowLastColumn="0" w:lastRowFirstColumn="0" w:lastRowLastColumn="0"/>
            <w:tcW w:w="1718" w:type="dxa"/>
            <w:gridSpan w:val="2"/>
          </w:tcPr>
          <w:p w:rsidR="00A131AD" w:rsidRPr="00E05270" w:rsidRDefault="00A131AD" w:rsidP="000C0138">
            <w:pPr>
              <w:spacing w:line="276" w:lineRule="auto"/>
              <w:jc w:val="right"/>
              <w:rPr>
                <w:rFonts w:ascii="Times New Roman" w:hAnsi="Times New Roman"/>
                <w:b w:val="0"/>
              </w:rPr>
            </w:pPr>
            <w:r w:rsidRPr="00E05270">
              <w:rPr>
                <w:rFonts w:ascii="Times New Roman" w:hAnsi="Times New Roman"/>
                <w:b w:val="0"/>
              </w:rPr>
              <w:t>81 (5,8%)</w:t>
            </w:r>
          </w:p>
        </w:tc>
      </w:tr>
      <w:tr w:rsidR="00A131AD" w:rsidRPr="00E05270" w:rsidTr="001911A6">
        <w:trPr>
          <w:cnfStyle w:val="000000100000" w:firstRow="0" w:lastRow="0" w:firstColumn="0" w:lastColumn="0" w:oddVBand="0" w:evenVBand="0" w:oddHBand="1" w:evenHBand="0" w:firstRowFirstColumn="0" w:firstRowLastColumn="0" w:lastRowFirstColumn="0" w:lastRowLastColumn="0"/>
          <w:trHeight w:val="417"/>
        </w:trPr>
        <w:tc>
          <w:tcPr>
            <w:cnfStyle w:val="001000000000" w:firstRow="0" w:lastRow="0" w:firstColumn="1" w:lastColumn="0" w:oddVBand="0" w:evenVBand="0" w:oddHBand="0" w:evenHBand="0" w:firstRowFirstColumn="0" w:firstRowLastColumn="0" w:lastRowFirstColumn="0" w:lastRowLastColumn="0"/>
            <w:tcW w:w="1135" w:type="dxa"/>
            <w:gridSpan w:val="2"/>
          </w:tcPr>
          <w:p w:rsidR="00A131AD" w:rsidRPr="00E05270" w:rsidRDefault="00A131AD" w:rsidP="000C0138">
            <w:pPr>
              <w:spacing w:line="276" w:lineRule="auto"/>
              <w:jc w:val="center"/>
              <w:rPr>
                <w:rFonts w:ascii="Times New Roman" w:hAnsi="Times New Roman"/>
                <w:b w:val="0"/>
              </w:rPr>
            </w:pPr>
            <w:r w:rsidRPr="00E05270">
              <w:rPr>
                <w:rFonts w:ascii="Times New Roman" w:hAnsi="Times New Roman"/>
                <w:b w:val="0"/>
              </w:rPr>
              <w:t>2011.</w:t>
            </w:r>
          </w:p>
        </w:tc>
        <w:tc>
          <w:tcPr>
            <w:cnfStyle w:val="000010000000" w:firstRow="0" w:lastRow="0" w:firstColumn="0" w:lastColumn="0" w:oddVBand="1" w:evenVBand="0" w:oddHBand="0" w:evenHBand="0" w:firstRowFirstColumn="0" w:firstRowLastColumn="0" w:lastRowFirstColumn="0" w:lastRowLastColumn="0"/>
            <w:tcW w:w="1133" w:type="dxa"/>
            <w:gridSpan w:val="2"/>
          </w:tcPr>
          <w:p w:rsidR="00A131AD" w:rsidRPr="00E05270" w:rsidRDefault="00A131AD" w:rsidP="000C0138">
            <w:pPr>
              <w:spacing w:line="276" w:lineRule="auto"/>
              <w:jc w:val="right"/>
              <w:rPr>
                <w:rFonts w:ascii="Times New Roman" w:hAnsi="Times New Roman"/>
              </w:rPr>
            </w:pPr>
            <w:r w:rsidRPr="00E05270">
              <w:rPr>
                <w:rFonts w:ascii="Times New Roman" w:hAnsi="Times New Roman"/>
              </w:rPr>
              <w:t>21</w:t>
            </w:r>
          </w:p>
        </w:tc>
        <w:tc>
          <w:tcPr>
            <w:tcW w:w="1541" w:type="dxa"/>
          </w:tcPr>
          <w:p w:rsidR="00A131AD" w:rsidRPr="00E05270" w:rsidRDefault="00A131AD" w:rsidP="000C0138">
            <w:pPr>
              <w:spacing w:line="276"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E05270">
              <w:rPr>
                <w:rFonts w:ascii="Times New Roman" w:hAnsi="Times New Roman"/>
              </w:rPr>
              <w:t>0</w:t>
            </w:r>
          </w:p>
        </w:tc>
        <w:tc>
          <w:tcPr>
            <w:cnfStyle w:val="000010000000" w:firstRow="0" w:lastRow="0" w:firstColumn="0" w:lastColumn="0" w:oddVBand="1" w:evenVBand="0" w:oddHBand="0" w:evenHBand="0" w:firstRowFirstColumn="0" w:firstRowLastColumn="0" w:lastRowFirstColumn="0" w:lastRowLastColumn="0"/>
            <w:tcW w:w="1011" w:type="dxa"/>
          </w:tcPr>
          <w:p w:rsidR="00A131AD" w:rsidRPr="00E05270" w:rsidRDefault="00A131AD" w:rsidP="000C0138">
            <w:pPr>
              <w:spacing w:line="276" w:lineRule="auto"/>
              <w:jc w:val="right"/>
              <w:rPr>
                <w:rFonts w:ascii="Times New Roman" w:hAnsi="Times New Roman"/>
              </w:rPr>
            </w:pPr>
            <w:r w:rsidRPr="00E05270">
              <w:rPr>
                <w:rFonts w:ascii="Times New Roman" w:hAnsi="Times New Roman"/>
              </w:rPr>
              <w:t>41</w:t>
            </w:r>
          </w:p>
        </w:tc>
        <w:tc>
          <w:tcPr>
            <w:tcW w:w="1591" w:type="dxa"/>
            <w:gridSpan w:val="2"/>
          </w:tcPr>
          <w:p w:rsidR="00A131AD" w:rsidRPr="00E05270" w:rsidRDefault="00A131AD" w:rsidP="000C0138">
            <w:pPr>
              <w:spacing w:line="276"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E05270">
              <w:rPr>
                <w:rFonts w:ascii="Times New Roman" w:hAnsi="Times New Roman"/>
              </w:rPr>
              <w:t>8(19%)</w:t>
            </w:r>
          </w:p>
        </w:tc>
        <w:tc>
          <w:tcPr>
            <w:cnfStyle w:val="000010000000" w:firstRow="0" w:lastRow="0" w:firstColumn="0" w:lastColumn="0" w:oddVBand="1" w:evenVBand="0" w:oddHBand="0" w:evenHBand="0" w:firstRowFirstColumn="0" w:firstRowLastColumn="0" w:lastRowFirstColumn="0" w:lastRowLastColumn="0"/>
            <w:tcW w:w="960" w:type="dxa"/>
          </w:tcPr>
          <w:p w:rsidR="00A131AD" w:rsidRPr="00E05270" w:rsidRDefault="00A131AD" w:rsidP="000C0138">
            <w:pPr>
              <w:spacing w:line="276" w:lineRule="auto"/>
              <w:jc w:val="right"/>
              <w:rPr>
                <w:rFonts w:ascii="Times New Roman" w:hAnsi="Times New Roman"/>
              </w:rPr>
            </w:pPr>
            <w:r w:rsidRPr="00E05270">
              <w:rPr>
                <w:rFonts w:ascii="Times New Roman" w:hAnsi="Times New Roman"/>
              </w:rPr>
              <w:t>8191</w:t>
            </w:r>
          </w:p>
        </w:tc>
        <w:tc>
          <w:tcPr>
            <w:cnfStyle w:val="000100000000" w:firstRow="0" w:lastRow="0" w:firstColumn="0" w:lastColumn="1" w:oddVBand="0" w:evenVBand="0" w:oddHBand="0" w:evenHBand="0" w:firstRowFirstColumn="0" w:firstRowLastColumn="0" w:lastRowFirstColumn="0" w:lastRowLastColumn="0"/>
            <w:tcW w:w="1718" w:type="dxa"/>
            <w:gridSpan w:val="2"/>
          </w:tcPr>
          <w:p w:rsidR="00A131AD" w:rsidRPr="00E05270" w:rsidRDefault="00A131AD" w:rsidP="000C0138">
            <w:pPr>
              <w:spacing w:line="276" w:lineRule="auto"/>
              <w:jc w:val="right"/>
              <w:rPr>
                <w:rFonts w:ascii="Times New Roman" w:hAnsi="Times New Roman"/>
                <w:b w:val="0"/>
              </w:rPr>
            </w:pPr>
            <w:r w:rsidRPr="00E05270">
              <w:rPr>
                <w:rFonts w:ascii="Times New Roman" w:hAnsi="Times New Roman"/>
                <w:b w:val="0"/>
              </w:rPr>
              <w:t>193 (2,3%)</w:t>
            </w:r>
          </w:p>
        </w:tc>
      </w:tr>
      <w:tr w:rsidR="00A131AD" w:rsidRPr="00E05270" w:rsidTr="001911A6">
        <w:trPr>
          <w:trHeight w:val="344"/>
        </w:trPr>
        <w:tc>
          <w:tcPr>
            <w:cnfStyle w:val="001000000000" w:firstRow="0" w:lastRow="0" w:firstColumn="1" w:lastColumn="0" w:oddVBand="0" w:evenVBand="0" w:oddHBand="0" w:evenHBand="0" w:firstRowFirstColumn="0" w:firstRowLastColumn="0" w:lastRowFirstColumn="0" w:lastRowLastColumn="0"/>
            <w:tcW w:w="1135" w:type="dxa"/>
            <w:gridSpan w:val="2"/>
          </w:tcPr>
          <w:p w:rsidR="00A131AD" w:rsidRPr="00E05270" w:rsidRDefault="00A131AD" w:rsidP="000C0138">
            <w:pPr>
              <w:spacing w:line="276" w:lineRule="auto"/>
              <w:jc w:val="center"/>
              <w:rPr>
                <w:rFonts w:ascii="Times New Roman" w:hAnsi="Times New Roman"/>
                <w:b w:val="0"/>
              </w:rPr>
            </w:pPr>
            <w:r w:rsidRPr="00E05270">
              <w:rPr>
                <w:rFonts w:ascii="Times New Roman" w:hAnsi="Times New Roman"/>
                <w:b w:val="0"/>
              </w:rPr>
              <w:t>2012.</w:t>
            </w:r>
          </w:p>
        </w:tc>
        <w:tc>
          <w:tcPr>
            <w:cnfStyle w:val="000010000000" w:firstRow="0" w:lastRow="0" w:firstColumn="0" w:lastColumn="0" w:oddVBand="1" w:evenVBand="0" w:oddHBand="0" w:evenHBand="0" w:firstRowFirstColumn="0" w:firstRowLastColumn="0" w:lastRowFirstColumn="0" w:lastRowLastColumn="0"/>
            <w:tcW w:w="1133" w:type="dxa"/>
            <w:gridSpan w:val="2"/>
          </w:tcPr>
          <w:p w:rsidR="00A131AD" w:rsidRPr="00E05270" w:rsidRDefault="00A131AD" w:rsidP="000C0138">
            <w:pPr>
              <w:spacing w:line="276" w:lineRule="auto"/>
              <w:jc w:val="right"/>
              <w:rPr>
                <w:rFonts w:ascii="Times New Roman" w:hAnsi="Times New Roman"/>
              </w:rPr>
            </w:pPr>
            <w:r w:rsidRPr="00E05270">
              <w:rPr>
                <w:rFonts w:ascii="Times New Roman" w:hAnsi="Times New Roman"/>
              </w:rPr>
              <w:t>41</w:t>
            </w:r>
          </w:p>
        </w:tc>
        <w:tc>
          <w:tcPr>
            <w:tcW w:w="1541" w:type="dxa"/>
          </w:tcPr>
          <w:p w:rsidR="00A131AD" w:rsidRPr="00E05270" w:rsidRDefault="00A131AD" w:rsidP="000C0138">
            <w:pPr>
              <w:spacing w:line="276"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E05270">
              <w:rPr>
                <w:rFonts w:ascii="Times New Roman" w:hAnsi="Times New Roman"/>
              </w:rPr>
              <w:t>0</w:t>
            </w:r>
          </w:p>
        </w:tc>
        <w:tc>
          <w:tcPr>
            <w:cnfStyle w:val="000010000000" w:firstRow="0" w:lastRow="0" w:firstColumn="0" w:lastColumn="0" w:oddVBand="1" w:evenVBand="0" w:oddHBand="0" w:evenHBand="0" w:firstRowFirstColumn="0" w:firstRowLastColumn="0" w:lastRowFirstColumn="0" w:lastRowLastColumn="0"/>
            <w:tcW w:w="1011" w:type="dxa"/>
          </w:tcPr>
          <w:p w:rsidR="00A131AD" w:rsidRPr="00E05270" w:rsidRDefault="00A131AD" w:rsidP="000C0138">
            <w:pPr>
              <w:spacing w:line="276" w:lineRule="auto"/>
              <w:jc w:val="right"/>
              <w:rPr>
                <w:rFonts w:ascii="Times New Roman" w:hAnsi="Times New Roman"/>
              </w:rPr>
            </w:pPr>
            <w:r w:rsidRPr="00E05270">
              <w:rPr>
                <w:rFonts w:ascii="Times New Roman" w:hAnsi="Times New Roman"/>
              </w:rPr>
              <w:t>41</w:t>
            </w:r>
          </w:p>
        </w:tc>
        <w:tc>
          <w:tcPr>
            <w:tcW w:w="1591" w:type="dxa"/>
            <w:gridSpan w:val="2"/>
          </w:tcPr>
          <w:p w:rsidR="00A131AD" w:rsidRPr="00E05270" w:rsidRDefault="00A131AD" w:rsidP="000C0138">
            <w:pPr>
              <w:spacing w:line="276"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E05270">
              <w:rPr>
                <w:rFonts w:ascii="Times New Roman" w:hAnsi="Times New Roman"/>
              </w:rPr>
              <w:t>0</w:t>
            </w:r>
          </w:p>
        </w:tc>
        <w:tc>
          <w:tcPr>
            <w:cnfStyle w:val="000010000000" w:firstRow="0" w:lastRow="0" w:firstColumn="0" w:lastColumn="0" w:oddVBand="1" w:evenVBand="0" w:oddHBand="0" w:evenHBand="0" w:firstRowFirstColumn="0" w:firstRowLastColumn="0" w:lastRowFirstColumn="0" w:lastRowLastColumn="0"/>
            <w:tcW w:w="960" w:type="dxa"/>
          </w:tcPr>
          <w:p w:rsidR="00A131AD" w:rsidRPr="00E05270" w:rsidRDefault="00A131AD" w:rsidP="000C0138">
            <w:pPr>
              <w:spacing w:line="276" w:lineRule="auto"/>
              <w:jc w:val="right"/>
              <w:rPr>
                <w:rFonts w:ascii="Times New Roman" w:hAnsi="Times New Roman"/>
              </w:rPr>
            </w:pPr>
            <w:r w:rsidRPr="00E05270">
              <w:rPr>
                <w:rFonts w:ascii="Times New Roman" w:hAnsi="Times New Roman"/>
              </w:rPr>
              <w:t>10396</w:t>
            </w:r>
          </w:p>
        </w:tc>
        <w:tc>
          <w:tcPr>
            <w:cnfStyle w:val="000100000000" w:firstRow="0" w:lastRow="0" w:firstColumn="0" w:lastColumn="1" w:oddVBand="0" w:evenVBand="0" w:oddHBand="0" w:evenHBand="0" w:firstRowFirstColumn="0" w:firstRowLastColumn="0" w:lastRowFirstColumn="0" w:lastRowLastColumn="0"/>
            <w:tcW w:w="1718" w:type="dxa"/>
            <w:gridSpan w:val="2"/>
          </w:tcPr>
          <w:p w:rsidR="00A131AD" w:rsidRPr="00E05270" w:rsidRDefault="00A131AD" w:rsidP="000C0138">
            <w:pPr>
              <w:spacing w:line="276" w:lineRule="auto"/>
              <w:jc w:val="right"/>
              <w:rPr>
                <w:rFonts w:ascii="Times New Roman" w:hAnsi="Times New Roman"/>
                <w:b w:val="0"/>
              </w:rPr>
            </w:pPr>
            <w:r w:rsidRPr="00E05270">
              <w:rPr>
                <w:rFonts w:ascii="Times New Roman" w:hAnsi="Times New Roman"/>
                <w:b w:val="0"/>
              </w:rPr>
              <w:t>138 (1,3%)</w:t>
            </w:r>
          </w:p>
        </w:tc>
      </w:tr>
      <w:tr w:rsidR="00A131AD" w:rsidRPr="00E05270" w:rsidTr="001911A6">
        <w:trPr>
          <w:cnfStyle w:val="000000100000" w:firstRow="0" w:lastRow="0" w:firstColumn="0" w:lastColumn="0" w:oddVBand="0" w:evenVBand="0" w:oddHBand="1"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1135" w:type="dxa"/>
            <w:gridSpan w:val="2"/>
          </w:tcPr>
          <w:p w:rsidR="00A131AD" w:rsidRPr="00E05270" w:rsidRDefault="00A131AD" w:rsidP="000C0138">
            <w:pPr>
              <w:spacing w:line="276" w:lineRule="auto"/>
              <w:jc w:val="center"/>
              <w:rPr>
                <w:rFonts w:ascii="Times New Roman" w:hAnsi="Times New Roman"/>
                <w:b w:val="0"/>
              </w:rPr>
            </w:pPr>
            <w:r w:rsidRPr="00E05270">
              <w:rPr>
                <w:rFonts w:ascii="Times New Roman" w:hAnsi="Times New Roman"/>
                <w:b w:val="0"/>
              </w:rPr>
              <w:t>2013</w:t>
            </w:r>
            <w:r w:rsidR="00E05270">
              <w:rPr>
                <w:rFonts w:ascii="Times New Roman" w:hAnsi="Times New Roman"/>
                <w:b w:val="0"/>
              </w:rPr>
              <w:t>.</w:t>
            </w:r>
          </w:p>
        </w:tc>
        <w:tc>
          <w:tcPr>
            <w:cnfStyle w:val="000010000000" w:firstRow="0" w:lastRow="0" w:firstColumn="0" w:lastColumn="0" w:oddVBand="1" w:evenVBand="0" w:oddHBand="0" w:evenHBand="0" w:firstRowFirstColumn="0" w:firstRowLastColumn="0" w:lastRowFirstColumn="0" w:lastRowLastColumn="0"/>
            <w:tcW w:w="1133" w:type="dxa"/>
            <w:gridSpan w:val="2"/>
          </w:tcPr>
          <w:p w:rsidR="00A131AD" w:rsidRPr="00E05270" w:rsidRDefault="00A131AD" w:rsidP="000C0138">
            <w:pPr>
              <w:pStyle w:val="tabele0"/>
              <w:spacing w:line="276" w:lineRule="auto"/>
              <w:ind w:left="0" w:firstLine="0"/>
              <w:jc w:val="right"/>
              <w:rPr>
                <w:i w:val="0"/>
                <w:lang w:val="hr-HR"/>
              </w:rPr>
            </w:pPr>
            <w:r w:rsidRPr="00E05270">
              <w:rPr>
                <w:i w:val="0"/>
                <w:lang w:val="hr-HR"/>
              </w:rPr>
              <w:t>63</w:t>
            </w:r>
          </w:p>
        </w:tc>
        <w:tc>
          <w:tcPr>
            <w:tcW w:w="1541" w:type="dxa"/>
          </w:tcPr>
          <w:p w:rsidR="00A131AD" w:rsidRPr="00E05270" w:rsidRDefault="00A131AD" w:rsidP="000C0138">
            <w:pPr>
              <w:pStyle w:val="tabele0"/>
              <w:spacing w:line="276" w:lineRule="auto"/>
              <w:ind w:left="0" w:firstLine="0"/>
              <w:jc w:val="right"/>
              <w:cnfStyle w:val="000000100000" w:firstRow="0" w:lastRow="0" w:firstColumn="0" w:lastColumn="0" w:oddVBand="0" w:evenVBand="0" w:oddHBand="1" w:evenHBand="0" w:firstRowFirstColumn="0" w:firstRowLastColumn="0" w:lastRowFirstColumn="0" w:lastRowLastColumn="0"/>
              <w:rPr>
                <w:i w:val="0"/>
                <w:lang w:val="hr-HR"/>
              </w:rPr>
            </w:pPr>
            <w:r w:rsidRPr="00E05270">
              <w:rPr>
                <w:i w:val="0"/>
                <w:lang w:val="hr-HR"/>
              </w:rPr>
              <w:t>3  (4,7%)</w:t>
            </w:r>
          </w:p>
        </w:tc>
        <w:tc>
          <w:tcPr>
            <w:cnfStyle w:val="000010000000" w:firstRow="0" w:lastRow="0" w:firstColumn="0" w:lastColumn="0" w:oddVBand="1" w:evenVBand="0" w:oddHBand="0" w:evenHBand="0" w:firstRowFirstColumn="0" w:firstRowLastColumn="0" w:lastRowFirstColumn="0" w:lastRowLastColumn="0"/>
            <w:tcW w:w="1011" w:type="dxa"/>
          </w:tcPr>
          <w:p w:rsidR="00A131AD" w:rsidRPr="00E05270" w:rsidRDefault="00A131AD" w:rsidP="000C0138">
            <w:pPr>
              <w:pStyle w:val="tabele0"/>
              <w:spacing w:line="276" w:lineRule="auto"/>
              <w:ind w:left="0" w:firstLine="0"/>
              <w:jc w:val="right"/>
              <w:rPr>
                <w:i w:val="0"/>
                <w:lang w:val="hr-HR"/>
              </w:rPr>
            </w:pPr>
            <w:r w:rsidRPr="00E05270">
              <w:rPr>
                <w:i w:val="0"/>
                <w:lang w:val="hr-HR"/>
              </w:rPr>
              <w:t>63</w:t>
            </w:r>
          </w:p>
        </w:tc>
        <w:tc>
          <w:tcPr>
            <w:tcW w:w="1591" w:type="dxa"/>
            <w:gridSpan w:val="2"/>
          </w:tcPr>
          <w:p w:rsidR="00A131AD" w:rsidRPr="00E05270" w:rsidRDefault="00A131AD" w:rsidP="000C0138">
            <w:pPr>
              <w:pStyle w:val="tabele0"/>
              <w:spacing w:line="276" w:lineRule="auto"/>
              <w:ind w:left="0" w:firstLine="0"/>
              <w:jc w:val="right"/>
              <w:cnfStyle w:val="000000100000" w:firstRow="0" w:lastRow="0" w:firstColumn="0" w:lastColumn="0" w:oddVBand="0" w:evenVBand="0" w:oddHBand="1" w:evenHBand="0" w:firstRowFirstColumn="0" w:firstRowLastColumn="0" w:lastRowFirstColumn="0" w:lastRowLastColumn="0"/>
              <w:rPr>
                <w:i w:val="0"/>
                <w:lang w:val="hr-HR"/>
              </w:rPr>
            </w:pPr>
            <w:r w:rsidRPr="00E05270">
              <w:rPr>
                <w:i w:val="0"/>
                <w:lang w:val="hr-HR"/>
              </w:rPr>
              <w:t>3  (4,7%)</w:t>
            </w:r>
          </w:p>
        </w:tc>
        <w:tc>
          <w:tcPr>
            <w:cnfStyle w:val="000010000000" w:firstRow="0" w:lastRow="0" w:firstColumn="0" w:lastColumn="0" w:oddVBand="1" w:evenVBand="0" w:oddHBand="0" w:evenHBand="0" w:firstRowFirstColumn="0" w:firstRowLastColumn="0" w:lastRowFirstColumn="0" w:lastRowLastColumn="0"/>
            <w:tcW w:w="960" w:type="dxa"/>
          </w:tcPr>
          <w:p w:rsidR="00A131AD" w:rsidRPr="00E05270" w:rsidRDefault="00A131AD" w:rsidP="000C0138">
            <w:pPr>
              <w:pStyle w:val="tabele0"/>
              <w:spacing w:line="276" w:lineRule="auto"/>
              <w:ind w:left="0" w:firstLine="0"/>
              <w:jc w:val="right"/>
              <w:rPr>
                <w:i w:val="0"/>
                <w:lang w:val="hr-HR"/>
              </w:rPr>
            </w:pPr>
            <w:r w:rsidRPr="00E05270">
              <w:rPr>
                <w:i w:val="0"/>
                <w:lang w:val="hr-HR"/>
              </w:rPr>
              <w:t>7803</w:t>
            </w:r>
          </w:p>
        </w:tc>
        <w:tc>
          <w:tcPr>
            <w:cnfStyle w:val="000100000000" w:firstRow="0" w:lastRow="0" w:firstColumn="0" w:lastColumn="1" w:oddVBand="0" w:evenVBand="0" w:oddHBand="0" w:evenHBand="0" w:firstRowFirstColumn="0" w:firstRowLastColumn="0" w:lastRowFirstColumn="0" w:lastRowLastColumn="0"/>
            <w:tcW w:w="1718" w:type="dxa"/>
            <w:gridSpan w:val="2"/>
          </w:tcPr>
          <w:p w:rsidR="00A131AD" w:rsidRPr="00E05270" w:rsidRDefault="00A131AD" w:rsidP="000C0138">
            <w:pPr>
              <w:pStyle w:val="tabele0"/>
              <w:spacing w:line="276" w:lineRule="auto"/>
              <w:ind w:left="0" w:firstLine="0"/>
              <w:jc w:val="right"/>
              <w:rPr>
                <w:b w:val="0"/>
                <w:i w:val="0"/>
                <w:lang w:val="hr-HR"/>
              </w:rPr>
            </w:pPr>
            <w:r w:rsidRPr="00E05270">
              <w:rPr>
                <w:b w:val="0"/>
                <w:i w:val="0"/>
                <w:lang w:val="hr-HR"/>
              </w:rPr>
              <w:t>116 (1,5%)</w:t>
            </w:r>
          </w:p>
        </w:tc>
      </w:tr>
      <w:tr w:rsidR="00A131AD" w:rsidRPr="00E05270" w:rsidTr="001911A6">
        <w:trPr>
          <w:trHeight w:val="344"/>
        </w:trPr>
        <w:tc>
          <w:tcPr>
            <w:cnfStyle w:val="001000000000" w:firstRow="0" w:lastRow="0" w:firstColumn="1" w:lastColumn="0" w:oddVBand="0" w:evenVBand="0" w:oddHBand="0" w:evenHBand="0" w:firstRowFirstColumn="0" w:firstRowLastColumn="0" w:lastRowFirstColumn="0" w:lastRowLastColumn="0"/>
            <w:tcW w:w="1135" w:type="dxa"/>
            <w:gridSpan w:val="2"/>
          </w:tcPr>
          <w:p w:rsidR="00A131AD" w:rsidRPr="00E05270" w:rsidRDefault="00A131AD" w:rsidP="000C0138">
            <w:pPr>
              <w:spacing w:line="276" w:lineRule="auto"/>
              <w:jc w:val="center"/>
              <w:rPr>
                <w:rFonts w:ascii="Times New Roman" w:hAnsi="Times New Roman"/>
                <w:b w:val="0"/>
              </w:rPr>
            </w:pPr>
            <w:r w:rsidRPr="00E05270">
              <w:rPr>
                <w:rFonts w:ascii="Times New Roman" w:hAnsi="Times New Roman"/>
                <w:b w:val="0"/>
              </w:rPr>
              <w:t>2014</w:t>
            </w:r>
            <w:r w:rsidR="00E05270">
              <w:rPr>
                <w:rFonts w:ascii="Times New Roman" w:hAnsi="Times New Roman"/>
                <w:b w:val="0"/>
              </w:rPr>
              <w:t>.</w:t>
            </w:r>
          </w:p>
        </w:tc>
        <w:tc>
          <w:tcPr>
            <w:cnfStyle w:val="000010000000" w:firstRow="0" w:lastRow="0" w:firstColumn="0" w:lastColumn="0" w:oddVBand="1" w:evenVBand="0" w:oddHBand="0" w:evenHBand="0" w:firstRowFirstColumn="0" w:firstRowLastColumn="0" w:lastRowFirstColumn="0" w:lastRowLastColumn="0"/>
            <w:tcW w:w="1133" w:type="dxa"/>
            <w:gridSpan w:val="2"/>
          </w:tcPr>
          <w:p w:rsidR="00A131AD" w:rsidRPr="00E05270" w:rsidRDefault="00A131AD" w:rsidP="000C0138">
            <w:pPr>
              <w:pStyle w:val="tabele0"/>
              <w:spacing w:line="276" w:lineRule="auto"/>
              <w:ind w:left="0" w:firstLine="0"/>
              <w:jc w:val="right"/>
              <w:rPr>
                <w:i w:val="0"/>
                <w:lang w:val="hr-HR"/>
              </w:rPr>
            </w:pPr>
            <w:r w:rsidRPr="00E05270">
              <w:rPr>
                <w:i w:val="0"/>
                <w:lang w:val="hr-HR"/>
              </w:rPr>
              <w:t>0</w:t>
            </w:r>
          </w:p>
        </w:tc>
        <w:tc>
          <w:tcPr>
            <w:tcW w:w="1541" w:type="dxa"/>
          </w:tcPr>
          <w:p w:rsidR="00A131AD" w:rsidRPr="00E05270" w:rsidRDefault="00A131AD" w:rsidP="000C0138">
            <w:pPr>
              <w:pStyle w:val="tabele0"/>
              <w:spacing w:line="276" w:lineRule="auto"/>
              <w:ind w:left="0" w:firstLine="0"/>
              <w:jc w:val="right"/>
              <w:cnfStyle w:val="000000000000" w:firstRow="0" w:lastRow="0" w:firstColumn="0" w:lastColumn="0" w:oddVBand="0" w:evenVBand="0" w:oddHBand="0" w:evenHBand="0" w:firstRowFirstColumn="0" w:firstRowLastColumn="0" w:lastRowFirstColumn="0" w:lastRowLastColumn="0"/>
              <w:rPr>
                <w:i w:val="0"/>
                <w:lang w:val="hr-HR"/>
              </w:rPr>
            </w:pPr>
            <w:r w:rsidRPr="00E05270">
              <w:rPr>
                <w:i w:val="0"/>
                <w:lang w:val="hr-HR"/>
              </w:rPr>
              <w:t>0</w:t>
            </w:r>
          </w:p>
        </w:tc>
        <w:tc>
          <w:tcPr>
            <w:cnfStyle w:val="000010000000" w:firstRow="0" w:lastRow="0" w:firstColumn="0" w:lastColumn="0" w:oddVBand="1" w:evenVBand="0" w:oddHBand="0" w:evenHBand="0" w:firstRowFirstColumn="0" w:firstRowLastColumn="0" w:lastRowFirstColumn="0" w:lastRowLastColumn="0"/>
            <w:tcW w:w="1011" w:type="dxa"/>
          </w:tcPr>
          <w:p w:rsidR="00A131AD" w:rsidRPr="00E05270" w:rsidRDefault="00A131AD" w:rsidP="000C0138">
            <w:pPr>
              <w:pStyle w:val="tabele0"/>
              <w:spacing w:line="276" w:lineRule="auto"/>
              <w:ind w:left="0" w:firstLine="0"/>
              <w:jc w:val="right"/>
              <w:rPr>
                <w:i w:val="0"/>
                <w:lang w:val="hr-HR"/>
              </w:rPr>
            </w:pPr>
            <w:r w:rsidRPr="00E05270">
              <w:rPr>
                <w:i w:val="0"/>
                <w:lang w:val="hr-HR"/>
              </w:rPr>
              <w:t>0</w:t>
            </w:r>
          </w:p>
        </w:tc>
        <w:tc>
          <w:tcPr>
            <w:tcW w:w="1591" w:type="dxa"/>
            <w:gridSpan w:val="2"/>
          </w:tcPr>
          <w:p w:rsidR="00A131AD" w:rsidRPr="00E05270" w:rsidRDefault="00A131AD" w:rsidP="000C0138">
            <w:pPr>
              <w:pStyle w:val="tabele0"/>
              <w:spacing w:line="276" w:lineRule="auto"/>
              <w:ind w:left="0" w:firstLine="0"/>
              <w:jc w:val="right"/>
              <w:cnfStyle w:val="000000000000" w:firstRow="0" w:lastRow="0" w:firstColumn="0" w:lastColumn="0" w:oddVBand="0" w:evenVBand="0" w:oddHBand="0" w:evenHBand="0" w:firstRowFirstColumn="0" w:firstRowLastColumn="0" w:lastRowFirstColumn="0" w:lastRowLastColumn="0"/>
              <w:rPr>
                <w:i w:val="0"/>
                <w:lang w:val="hr-HR"/>
              </w:rPr>
            </w:pPr>
            <w:r w:rsidRPr="00E05270">
              <w:rPr>
                <w:i w:val="0"/>
                <w:lang w:val="hr-HR"/>
              </w:rPr>
              <w:t>0</w:t>
            </w:r>
          </w:p>
        </w:tc>
        <w:tc>
          <w:tcPr>
            <w:cnfStyle w:val="000010000000" w:firstRow="0" w:lastRow="0" w:firstColumn="0" w:lastColumn="0" w:oddVBand="1" w:evenVBand="0" w:oddHBand="0" w:evenHBand="0" w:firstRowFirstColumn="0" w:firstRowLastColumn="0" w:lastRowFirstColumn="0" w:lastRowLastColumn="0"/>
            <w:tcW w:w="960" w:type="dxa"/>
          </w:tcPr>
          <w:p w:rsidR="00A131AD" w:rsidRPr="00E05270" w:rsidRDefault="00A131AD" w:rsidP="000C0138">
            <w:pPr>
              <w:pStyle w:val="tabele0"/>
              <w:spacing w:line="276" w:lineRule="auto"/>
              <w:ind w:left="0" w:firstLine="0"/>
              <w:jc w:val="right"/>
              <w:rPr>
                <w:i w:val="0"/>
                <w:lang w:val="hr-HR"/>
              </w:rPr>
            </w:pPr>
            <w:r w:rsidRPr="00E05270">
              <w:rPr>
                <w:i w:val="0"/>
                <w:lang w:val="hr-HR"/>
              </w:rPr>
              <w:t>5055</w:t>
            </w:r>
          </w:p>
        </w:tc>
        <w:tc>
          <w:tcPr>
            <w:cnfStyle w:val="000100000000" w:firstRow="0" w:lastRow="0" w:firstColumn="0" w:lastColumn="1" w:oddVBand="0" w:evenVBand="0" w:oddHBand="0" w:evenHBand="0" w:firstRowFirstColumn="0" w:firstRowLastColumn="0" w:lastRowFirstColumn="0" w:lastRowLastColumn="0"/>
            <w:tcW w:w="1718" w:type="dxa"/>
            <w:gridSpan w:val="2"/>
          </w:tcPr>
          <w:p w:rsidR="00A131AD" w:rsidRPr="00E05270" w:rsidRDefault="00A131AD" w:rsidP="000C0138">
            <w:pPr>
              <w:pStyle w:val="tabele0"/>
              <w:spacing w:line="276" w:lineRule="auto"/>
              <w:ind w:left="0" w:firstLine="0"/>
              <w:jc w:val="right"/>
              <w:rPr>
                <w:b w:val="0"/>
                <w:i w:val="0"/>
                <w:lang w:val="hr-HR"/>
              </w:rPr>
            </w:pPr>
            <w:r w:rsidRPr="00E05270">
              <w:rPr>
                <w:b w:val="0"/>
                <w:i w:val="0"/>
                <w:lang w:val="hr-HR"/>
              </w:rPr>
              <w:t>170  (1,3%)</w:t>
            </w:r>
          </w:p>
        </w:tc>
      </w:tr>
      <w:tr w:rsidR="00A131AD" w:rsidRPr="00E05270" w:rsidTr="001911A6">
        <w:trPr>
          <w:cnfStyle w:val="000000100000" w:firstRow="0" w:lastRow="0" w:firstColumn="0" w:lastColumn="0" w:oddVBand="0" w:evenVBand="0" w:oddHBand="1"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1135" w:type="dxa"/>
            <w:gridSpan w:val="2"/>
          </w:tcPr>
          <w:p w:rsidR="00A131AD" w:rsidRPr="00E05270" w:rsidRDefault="00A131AD" w:rsidP="000C0138">
            <w:pPr>
              <w:spacing w:line="276" w:lineRule="auto"/>
              <w:jc w:val="center"/>
              <w:rPr>
                <w:rFonts w:ascii="Times New Roman" w:hAnsi="Times New Roman"/>
                <w:b w:val="0"/>
              </w:rPr>
            </w:pPr>
            <w:r w:rsidRPr="00E05270">
              <w:rPr>
                <w:rFonts w:ascii="Times New Roman" w:hAnsi="Times New Roman"/>
                <w:b w:val="0"/>
              </w:rPr>
              <w:t>2015</w:t>
            </w:r>
            <w:r w:rsidR="00E05270">
              <w:rPr>
                <w:rFonts w:ascii="Times New Roman" w:hAnsi="Times New Roman"/>
                <w:b w:val="0"/>
              </w:rPr>
              <w:t>.</w:t>
            </w:r>
          </w:p>
        </w:tc>
        <w:tc>
          <w:tcPr>
            <w:cnfStyle w:val="000010000000" w:firstRow="0" w:lastRow="0" w:firstColumn="0" w:lastColumn="0" w:oddVBand="1" w:evenVBand="0" w:oddHBand="0" w:evenHBand="0" w:firstRowFirstColumn="0" w:firstRowLastColumn="0" w:lastRowFirstColumn="0" w:lastRowLastColumn="0"/>
            <w:tcW w:w="1133" w:type="dxa"/>
            <w:gridSpan w:val="2"/>
          </w:tcPr>
          <w:p w:rsidR="00A131AD" w:rsidRPr="00E05270" w:rsidRDefault="00A131AD" w:rsidP="000C0138">
            <w:pPr>
              <w:spacing w:line="276" w:lineRule="auto"/>
              <w:jc w:val="right"/>
              <w:rPr>
                <w:rFonts w:ascii="Times New Roman" w:hAnsi="Times New Roman"/>
              </w:rPr>
            </w:pPr>
            <w:r w:rsidRPr="00E05270">
              <w:rPr>
                <w:rFonts w:ascii="Times New Roman" w:hAnsi="Times New Roman"/>
              </w:rPr>
              <w:t>42</w:t>
            </w:r>
          </w:p>
        </w:tc>
        <w:tc>
          <w:tcPr>
            <w:tcW w:w="1541" w:type="dxa"/>
          </w:tcPr>
          <w:p w:rsidR="00A131AD" w:rsidRPr="00E05270" w:rsidRDefault="00A131AD" w:rsidP="000C0138">
            <w:pPr>
              <w:spacing w:line="276"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E05270">
              <w:rPr>
                <w:rFonts w:ascii="Times New Roman" w:hAnsi="Times New Roman"/>
              </w:rPr>
              <w:t>13 (30,1%)</w:t>
            </w:r>
          </w:p>
        </w:tc>
        <w:tc>
          <w:tcPr>
            <w:cnfStyle w:val="000010000000" w:firstRow="0" w:lastRow="0" w:firstColumn="0" w:lastColumn="0" w:oddVBand="1" w:evenVBand="0" w:oddHBand="0" w:evenHBand="0" w:firstRowFirstColumn="0" w:firstRowLastColumn="0" w:lastRowFirstColumn="0" w:lastRowLastColumn="0"/>
            <w:tcW w:w="1011" w:type="dxa"/>
          </w:tcPr>
          <w:p w:rsidR="00A131AD" w:rsidRPr="00E05270" w:rsidRDefault="00A131AD" w:rsidP="000C0138">
            <w:pPr>
              <w:spacing w:line="276" w:lineRule="auto"/>
              <w:jc w:val="right"/>
              <w:rPr>
                <w:rFonts w:ascii="Times New Roman" w:hAnsi="Times New Roman"/>
              </w:rPr>
            </w:pPr>
            <w:r w:rsidRPr="00E05270">
              <w:rPr>
                <w:rFonts w:ascii="Times New Roman" w:hAnsi="Times New Roman"/>
              </w:rPr>
              <w:t>101</w:t>
            </w:r>
          </w:p>
        </w:tc>
        <w:tc>
          <w:tcPr>
            <w:tcW w:w="1591" w:type="dxa"/>
            <w:gridSpan w:val="2"/>
          </w:tcPr>
          <w:p w:rsidR="00A131AD" w:rsidRPr="00E05270" w:rsidRDefault="00A131AD" w:rsidP="000C0138">
            <w:pPr>
              <w:spacing w:line="276"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E05270">
              <w:rPr>
                <w:rFonts w:ascii="Times New Roman" w:hAnsi="Times New Roman"/>
              </w:rPr>
              <w:t>13 (12,9%)</w:t>
            </w:r>
          </w:p>
        </w:tc>
        <w:tc>
          <w:tcPr>
            <w:cnfStyle w:val="000010000000" w:firstRow="0" w:lastRow="0" w:firstColumn="0" w:lastColumn="0" w:oddVBand="1" w:evenVBand="0" w:oddHBand="0" w:evenHBand="0" w:firstRowFirstColumn="0" w:firstRowLastColumn="0" w:lastRowFirstColumn="0" w:lastRowLastColumn="0"/>
            <w:tcW w:w="960" w:type="dxa"/>
          </w:tcPr>
          <w:p w:rsidR="00A131AD" w:rsidRPr="00E05270" w:rsidRDefault="00A131AD" w:rsidP="000C0138">
            <w:pPr>
              <w:spacing w:line="276" w:lineRule="auto"/>
              <w:jc w:val="right"/>
              <w:rPr>
                <w:rFonts w:ascii="Times New Roman" w:hAnsi="Times New Roman"/>
              </w:rPr>
            </w:pPr>
            <w:r w:rsidRPr="00E05270">
              <w:rPr>
                <w:rFonts w:ascii="Times New Roman" w:hAnsi="Times New Roman"/>
              </w:rPr>
              <w:t>6380</w:t>
            </w:r>
          </w:p>
        </w:tc>
        <w:tc>
          <w:tcPr>
            <w:cnfStyle w:val="000100000000" w:firstRow="0" w:lastRow="0" w:firstColumn="0" w:lastColumn="1" w:oddVBand="0" w:evenVBand="0" w:oddHBand="0" w:evenHBand="0" w:firstRowFirstColumn="0" w:firstRowLastColumn="0" w:lastRowFirstColumn="0" w:lastRowLastColumn="0"/>
            <w:tcW w:w="1718" w:type="dxa"/>
            <w:gridSpan w:val="2"/>
          </w:tcPr>
          <w:p w:rsidR="00A131AD" w:rsidRPr="00E05270" w:rsidRDefault="00A131AD" w:rsidP="000C0138">
            <w:pPr>
              <w:spacing w:line="276" w:lineRule="auto"/>
              <w:jc w:val="right"/>
              <w:rPr>
                <w:rFonts w:ascii="Times New Roman" w:hAnsi="Times New Roman"/>
                <w:b w:val="0"/>
              </w:rPr>
            </w:pPr>
            <w:r w:rsidRPr="00E05270">
              <w:rPr>
                <w:rFonts w:ascii="Times New Roman" w:hAnsi="Times New Roman"/>
                <w:b w:val="0"/>
              </w:rPr>
              <w:t>103(1,6%)</w:t>
            </w:r>
          </w:p>
        </w:tc>
      </w:tr>
      <w:tr w:rsidR="00A131AD" w:rsidRPr="00155F80" w:rsidTr="003066C2">
        <w:trPr>
          <w:gridAfter w:val="1"/>
          <w:wAfter w:w="17" w:type="dxa"/>
          <w:trHeight w:val="403"/>
        </w:trPr>
        <w:tc>
          <w:tcPr>
            <w:cnfStyle w:val="001000000000" w:firstRow="0" w:lastRow="0" w:firstColumn="1" w:lastColumn="0" w:oddVBand="0" w:evenVBand="0" w:oddHBand="0" w:evenHBand="0" w:firstRowFirstColumn="0" w:firstRowLastColumn="0" w:lastRowFirstColumn="0" w:lastRowLastColumn="0"/>
            <w:tcW w:w="9072" w:type="dxa"/>
            <w:gridSpan w:val="10"/>
            <w:shd w:val="clear" w:color="auto" w:fill="E7E6E6" w:themeFill="background2"/>
          </w:tcPr>
          <w:p w:rsidR="00A131AD" w:rsidRPr="003066C2" w:rsidRDefault="00A131AD" w:rsidP="00550EF6">
            <w:pPr>
              <w:spacing w:line="276" w:lineRule="auto"/>
              <w:jc w:val="center"/>
              <w:rPr>
                <w:rFonts w:ascii="Times New Roman" w:hAnsi="Times New Roman"/>
                <w:b w:val="0"/>
                <w:color w:val="000000" w:themeColor="text1"/>
              </w:rPr>
            </w:pPr>
            <w:r w:rsidRPr="003066C2">
              <w:rPr>
                <w:rFonts w:ascii="Times New Roman" w:hAnsi="Times New Roman"/>
                <w:b w:val="0"/>
                <w:color w:val="000000" w:themeColor="text1"/>
              </w:rPr>
              <w:t>Predmeti op</w:t>
            </w:r>
            <w:r w:rsidR="00550EF6">
              <w:rPr>
                <w:rFonts w:ascii="Times New Roman" w:hAnsi="Times New Roman"/>
                <w:b w:val="0"/>
                <w:color w:val="000000" w:themeColor="text1"/>
              </w:rPr>
              <w:t>ć</w:t>
            </w:r>
            <w:r w:rsidRPr="003066C2">
              <w:rPr>
                <w:rFonts w:ascii="Times New Roman" w:hAnsi="Times New Roman"/>
                <w:b w:val="0"/>
                <w:color w:val="000000" w:themeColor="text1"/>
              </w:rPr>
              <w:t>e upor</w:t>
            </w:r>
            <w:r w:rsidR="00550EF6">
              <w:rPr>
                <w:rFonts w:ascii="Times New Roman" w:hAnsi="Times New Roman"/>
                <w:b w:val="0"/>
                <w:color w:val="000000" w:themeColor="text1"/>
              </w:rPr>
              <w:t>a</w:t>
            </w:r>
            <w:r w:rsidRPr="003066C2">
              <w:rPr>
                <w:rFonts w:ascii="Times New Roman" w:hAnsi="Times New Roman"/>
                <w:b w:val="0"/>
                <w:color w:val="000000" w:themeColor="text1"/>
              </w:rPr>
              <w:t>be</w:t>
            </w:r>
          </w:p>
        </w:tc>
      </w:tr>
      <w:tr w:rsidR="00A131AD" w:rsidRPr="00E05270" w:rsidTr="003066C2">
        <w:trPr>
          <w:gridAfter w:val="1"/>
          <w:cnfStyle w:val="000000100000" w:firstRow="0" w:lastRow="0" w:firstColumn="0" w:lastColumn="0" w:oddVBand="0" w:evenVBand="0" w:oddHBand="1" w:evenHBand="0" w:firstRowFirstColumn="0" w:firstRowLastColumn="0" w:lastRowFirstColumn="0" w:lastRowLastColumn="0"/>
          <w:wAfter w:w="17" w:type="dxa"/>
          <w:trHeight w:val="127"/>
        </w:trPr>
        <w:tc>
          <w:tcPr>
            <w:cnfStyle w:val="001000000000" w:firstRow="0" w:lastRow="0" w:firstColumn="1" w:lastColumn="0" w:oddVBand="0" w:evenVBand="0" w:oddHBand="0" w:evenHBand="0" w:firstRowFirstColumn="0" w:firstRowLastColumn="0" w:lastRowFirstColumn="0" w:lastRowLastColumn="0"/>
            <w:tcW w:w="9072" w:type="dxa"/>
            <w:gridSpan w:val="10"/>
            <w:shd w:val="clear" w:color="auto" w:fill="E7E6E6" w:themeFill="background2"/>
          </w:tcPr>
          <w:p w:rsidR="00A131AD" w:rsidRPr="003066C2" w:rsidRDefault="00A131AD" w:rsidP="000C0138">
            <w:pPr>
              <w:spacing w:line="276" w:lineRule="auto"/>
              <w:jc w:val="center"/>
              <w:rPr>
                <w:rFonts w:ascii="Times New Roman" w:hAnsi="Times New Roman"/>
                <w:b w:val="0"/>
                <w:color w:val="000000" w:themeColor="text1"/>
              </w:rPr>
            </w:pPr>
            <w:r w:rsidRPr="003066C2">
              <w:rPr>
                <w:rFonts w:ascii="Times New Roman" w:hAnsi="Times New Roman"/>
                <w:b w:val="0"/>
                <w:color w:val="000000" w:themeColor="text1"/>
              </w:rPr>
              <w:t>Promet</w:t>
            </w:r>
          </w:p>
        </w:tc>
      </w:tr>
      <w:tr w:rsidR="00A131AD" w:rsidRPr="00E05270" w:rsidTr="001911A6">
        <w:trPr>
          <w:gridAfter w:val="1"/>
          <w:wAfter w:w="17" w:type="dxa"/>
          <w:trHeight w:val="135"/>
        </w:trPr>
        <w:tc>
          <w:tcPr>
            <w:cnfStyle w:val="001000000000" w:firstRow="0" w:lastRow="0" w:firstColumn="1" w:lastColumn="0" w:oddVBand="0" w:evenVBand="0" w:oddHBand="0" w:evenHBand="0" w:firstRowFirstColumn="0" w:firstRowLastColumn="0" w:lastRowFirstColumn="0" w:lastRowLastColumn="0"/>
            <w:tcW w:w="1128" w:type="dxa"/>
            <w:vMerge w:val="restart"/>
          </w:tcPr>
          <w:p w:rsidR="00A131AD" w:rsidRPr="00E05270" w:rsidRDefault="00A131AD" w:rsidP="000C0138">
            <w:pPr>
              <w:spacing w:line="276" w:lineRule="auto"/>
              <w:jc w:val="center"/>
              <w:rPr>
                <w:rFonts w:ascii="Times New Roman" w:hAnsi="Times New Roman"/>
                <w:b w:val="0"/>
              </w:rPr>
            </w:pPr>
            <w:r w:rsidRPr="00E05270">
              <w:rPr>
                <w:rFonts w:ascii="Times New Roman" w:hAnsi="Times New Roman"/>
                <w:b w:val="0"/>
              </w:rPr>
              <w:t>Godina</w:t>
            </w:r>
          </w:p>
        </w:tc>
        <w:tc>
          <w:tcPr>
            <w:cnfStyle w:val="000010000000" w:firstRow="0" w:lastRow="0" w:firstColumn="0" w:lastColumn="0" w:oddVBand="1" w:evenVBand="0" w:oddHBand="0" w:evenHBand="0" w:firstRowFirstColumn="0" w:firstRowLastColumn="0" w:lastRowFirstColumn="0" w:lastRowLastColumn="0"/>
            <w:tcW w:w="2681" w:type="dxa"/>
            <w:gridSpan w:val="4"/>
          </w:tcPr>
          <w:p w:rsidR="00A131AD" w:rsidRPr="00E05270" w:rsidRDefault="00A131AD" w:rsidP="000C0138">
            <w:pPr>
              <w:spacing w:line="276" w:lineRule="auto"/>
              <w:rPr>
                <w:rFonts w:ascii="Times New Roman" w:hAnsi="Times New Roman"/>
              </w:rPr>
            </w:pPr>
            <w:r w:rsidRPr="00E05270">
              <w:rPr>
                <w:rFonts w:ascii="Times New Roman" w:hAnsi="Times New Roman"/>
              </w:rPr>
              <w:t>Organoleptički pregled  uzoraka</w:t>
            </w:r>
          </w:p>
        </w:tc>
        <w:tc>
          <w:tcPr>
            <w:tcW w:w="2570" w:type="dxa"/>
            <w:gridSpan w:val="2"/>
          </w:tcPr>
          <w:p w:rsidR="00A131AD" w:rsidRPr="00E05270" w:rsidRDefault="00550EF6" w:rsidP="000C013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K</w:t>
            </w:r>
            <w:r w:rsidR="00A131AD" w:rsidRPr="00E05270">
              <w:rPr>
                <w:rFonts w:ascii="Times New Roman" w:hAnsi="Times New Roman"/>
              </w:rPr>
              <w:t>emijski pregled uzoraka</w:t>
            </w:r>
          </w:p>
        </w:tc>
        <w:tc>
          <w:tcPr>
            <w:cnfStyle w:val="000100000000" w:firstRow="0" w:lastRow="0" w:firstColumn="0" w:lastColumn="1" w:oddVBand="0" w:evenVBand="0" w:oddHBand="0" w:evenHBand="0" w:firstRowFirstColumn="0" w:firstRowLastColumn="0" w:lastRowFirstColumn="0" w:lastRowLastColumn="0"/>
            <w:tcW w:w="2693" w:type="dxa"/>
            <w:gridSpan w:val="3"/>
          </w:tcPr>
          <w:p w:rsidR="00A131AD" w:rsidRPr="00E05270" w:rsidRDefault="00A131AD" w:rsidP="000C0138">
            <w:pPr>
              <w:spacing w:line="276" w:lineRule="auto"/>
              <w:rPr>
                <w:rFonts w:ascii="Times New Roman" w:hAnsi="Times New Roman"/>
                <w:b w:val="0"/>
              </w:rPr>
            </w:pPr>
            <w:r w:rsidRPr="00E05270">
              <w:rPr>
                <w:rFonts w:ascii="Times New Roman" w:hAnsi="Times New Roman"/>
                <w:b w:val="0"/>
              </w:rPr>
              <w:t xml:space="preserve">Mikrobiološki pregled uzoraka </w:t>
            </w:r>
          </w:p>
        </w:tc>
      </w:tr>
      <w:tr w:rsidR="00A131AD" w:rsidRPr="00E05270" w:rsidTr="001911A6">
        <w:trPr>
          <w:gridAfter w:val="1"/>
          <w:cnfStyle w:val="000000100000" w:firstRow="0" w:lastRow="0" w:firstColumn="0" w:lastColumn="0" w:oddVBand="0" w:evenVBand="0" w:oddHBand="1" w:evenHBand="0" w:firstRowFirstColumn="0" w:firstRowLastColumn="0" w:lastRowFirstColumn="0" w:lastRowLastColumn="0"/>
          <w:wAfter w:w="17" w:type="dxa"/>
          <w:trHeight w:val="261"/>
        </w:trPr>
        <w:tc>
          <w:tcPr>
            <w:cnfStyle w:val="001000000000" w:firstRow="0" w:lastRow="0" w:firstColumn="1" w:lastColumn="0" w:oddVBand="0" w:evenVBand="0" w:oddHBand="0" w:evenHBand="0" w:firstRowFirstColumn="0" w:firstRowLastColumn="0" w:lastRowFirstColumn="0" w:lastRowLastColumn="0"/>
            <w:tcW w:w="1128" w:type="dxa"/>
            <w:vMerge/>
          </w:tcPr>
          <w:p w:rsidR="00A131AD" w:rsidRPr="00E05270" w:rsidRDefault="00A131AD" w:rsidP="000C0138">
            <w:pPr>
              <w:spacing w:line="276" w:lineRule="auto"/>
              <w:jc w:val="center"/>
              <w:rPr>
                <w:rFonts w:ascii="Times New Roman" w:hAnsi="Times New Roman"/>
                <w:b w:val="0"/>
              </w:rPr>
            </w:pPr>
          </w:p>
        </w:tc>
        <w:tc>
          <w:tcPr>
            <w:cnfStyle w:val="000010000000" w:firstRow="0" w:lastRow="0" w:firstColumn="0" w:lastColumn="0" w:oddVBand="1" w:evenVBand="0" w:oddHBand="0" w:evenHBand="0" w:firstRowFirstColumn="0" w:firstRowLastColumn="0" w:lastRowFirstColumn="0" w:lastRowLastColumn="0"/>
            <w:tcW w:w="1128" w:type="dxa"/>
            <w:gridSpan w:val="2"/>
          </w:tcPr>
          <w:p w:rsidR="00A131AD" w:rsidRPr="00E05270" w:rsidRDefault="00A131AD" w:rsidP="000C0138">
            <w:pPr>
              <w:spacing w:line="276" w:lineRule="auto"/>
              <w:jc w:val="center"/>
              <w:rPr>
                <w:rFonts w:ascii="Times New Roman" w:hAnsi="Times New Roman"/>
              </w:rPr>
            </w:pPr>
            <w:r w:rsidRPr="00E05270">
              <w:rPr>
                <w:rFonts w:ascii="Times New Roman" w:hAnsi="Times New Roman"/>
              </w:rPr>
              <w:t>Svega</w:t>
            </w:r>
          </w:p>
        </w:tc>
        <w:tc>
          <w:tcPr>
            <w:tcW w:w="1553" w:type="dxa"/>
            <w:gridSpan w:val="2"/>
          </w:tcPr>
          <w:p w:rsidR="00A131AD" w:rsidRPr="00E05270" w:rsidRDefault="00A131AD" w:rsidP="000C013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E05270">
              <w:rPr>
                <w:rFonts w:ascii="Times New Roman" w:hAnsi="Times New Roman"/>
              </w:rPr>
              <w:t xml:space="preserve">Od toga ne odgovara </w:t>
            </w:r>
            <w:r w:rsidRPr="00E05270">
              <w:rPr>
                <w:rFonts w:ascii="Times New Roman" w:hAnsi="Times New Roman"/>
              </w:rPr>
              <w:lastRenderedPageBreak/>
              <w:t>br/(%)</w:t>
            </w:r>
          </w:p>
        </w:tc>
        <w:tc>
          <w:tcPr>
            <w:cnfStyle w:val="000010000000" w:firstRow="0" w:lastRow="0" w:firstColumn="0" w:lastColumn="0" w:oddVBand="1" w:evenVBand="0" w:oddHBand="0" w:evenHBand="0" w:firstRowFirstColumn="0" w:firstRowLastColumn="0" w:lastRowFirstColumn="0" w:lastRowLastColumn="0"/>
            <w:tcW w:w="1011" w:type="dxa"/>
          </w:tcPr>
          <w:p w:rsidR="00A131AD" w:rsidRPr="00E05270" w:rsidRDefault="00A131AD" w:rsidP="000C0138">
            <w:pPr>
              <w:spacing w:line="276" w:lineRule="auto"/>
              <w:jc w:val="center"/>
              <w:rPr>
                <w:rFonts w:ascii="Times New Roman" w:hAnsi="Times New Roman"/>
              </w:rPr>
            </w:pPr>
            <w:r w:rsidRPr="00E05270">
              <w:rPr>
                <w:rFonts w:ascii="Times New Roman" w:hAnsi="Times New Roman"/>
              </w:rPr>
              <w:lastRenderedPageBreak/>
              <w:t>Svega</w:t>
            </w:r>
          </w:p>
        </w:tc>
        <w:tc>
          <w:tcPr>
            <w:tcW w:w="1559" w:type="dxa"/>
          </w:tcPr>
          <w:p w:rsidR="00A131AD" w:rsidRPr="00E05270" w:rsidRDefault="00A131AD" w:rsidP="000C013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E05270">
              <w:rPr>
                <w:rFonts w:ascii="Times New Roman" w:hAnsi="Times New Roman"/>
              </w:rPr>
              <w:t xml:space="preserve">Od toga ne odgovara </w:t>
            </w:r>
            <w:r w:rsidRPr="00E05270">
              <w:rPr>
                <w:rFonts w:ascii="Times New Roman" w:hAnsi="Times New Roman"/>
              </w:rPr>
              <w:lastRenderedPageBreak/>
              <w:t>br/(%)</w:t>
            </w:r>
          </w:p>
        </w:tc>
        <w:tc>
          <w:tcPr>
            <w:cnfStyle w:val="000010000000" w:firstRow="0" w:lastRow="0" w:firstColumn="0" w:lastColumn="0" w:oddVBand="1" w:evenVBand="0" w:oddHBand="0" w:evenHBand="0" w:firstRowFirstColumn="0" w:firstRowLastColumn="0" w:lastRowFirstColumn="0" w:lastRowLastColumn="0"/>
            <w:tcW w:w="992" w:type="dxa"/>
            <w:gridSpan w:val="2"/>
          </w:tcPr>
          <w:p w:rsidR="00A131AD" w:rsidRPr="00E05270" w:rsidRDefault="00A131AD" w:rsidP="000C0138">
            <w:pPr>
              <w:spacing w:line="276" w:lineRule="auto"/>
              <w:jc w:val="center"/>
              <w:rPr>
                <w:rFonts w:ascii="Times New Roman" w:hAnsi="Times New Roman"/>
              </w:rPr>
            </w:pPr>
            <w:r w:rsidRPr="00E05270">
              <w:rPr>
                <w:rFonts w:ascii="Times New Roman" w:hAnsi="Times New Roman"/>
              </w:rPr>
              <w:lastRenderedPageBreak/>
              <w:t>Svega</w:t>
            </w:r>
          </w:p>
        </w:tc>
        <w:tc>
          <w:tcPr>
            <w:cnfStyle w:val="000100000000" w:firstRow="0" w:lastRow="0" w:firstColumn="0" w:lastColumn="1" w:oddVBand="0" w:evenVBand="0" w:oddHBand="0" w:evenHBand="0" w:firstRowFirstColumn="0" w:firstRowLastColumn="0" w:lastRowFirstColumn="0" w:lastRowLastColumn="0"/>
            <w:tcW w:w="1701" w:type="dxa"/>
          </w:tcPr>
          <w:p w:rsidR="00A131AD" w:rsidRPr="00E05270" w:rsidRDefault="00A131AD" w:rsidP="000C0138">
            <w:pPr>
              <w:spacing w:line="276" w:lineRule="auto"/>
              <w:jc w:val="center"/>
              <w:rPr>
                <w:rFonts w:ascii="Times New Roman" w:hAnsi="Times New Roman"/>
                <w:b w:val="0"/>
              </w:rPr>
            </w:pPr>
            <w:r w:rsidRPr="00E05270">
              <w:rPr>
                <w:rFonts w:ascii="Times New Roman" w:hAnsi="Times New Roman"/>
                <w:b w:val="0"/>
              </w:rPr>
              <w:t>Od toga ne odgovara br/(%)</w:t>
            </w:r>
          </w:p>
        </w:tc>
      </w:tr>
      <w:tr w:rsidR="00A131AD" w:rsidRPr="00E05270" w:rsidTr="001911A6">
        <w:trPr>
          <w:gridAfter w:val="1"/>
          <w:wAfter w:w="17" w:type="dxa"/>
          <w:trHeight w:val="261"/>
        </w:trPr>
        <w:tc>
          <w:tcPr>
            <w:cnfStyle w:val="001000000000" w:firstRow="0" w:lastRow="0" w:firstColumn="1" w:lastColumn="0" w:oddVBand="0" w:evenVBand="0" w:oddHBand="0" w:evenHBand="0" w:firstRowFirstColumn="0" w:firstRowLastColumn="0" w:lastRowFirstColumn="0" w:lastRowLastColumn="0"/>
            <w:tcW w:w="1128" w:type="dxa"/>
          </w:tcPr>
          <w:p w:rsidR="00A131AD" w:rsidRPr="00E05270" w:rsidRDefault="00A131AD" w:rsidP="000C0138">
            <w:pPr>
              <w:spacing w:line="276" w:lineRule="auto"/>
              <w:jc w:val="center"/>
              <w:rPr>
                <w:rFonts w:ascii="Times New Roman" w:hAnsi="Times New Roman"/>
                <w:b w:val="0"/>
              </w:rPr>
            </w:pPr>
            <w:r w:rsidRPr="00E05270">
              <w:rPr>
                <w:rFonts w:ascii="Times New Roman" w:hAnsi="Times New Roman"/>
                <w:b w:val="0"/>
              </w:rPr>
              <w:lastRenderedPageBreak/>
              <w:t>2010.</w:t>
            </w:r>
          </w:p>
        </w:tc>
        <w:tc>
          <w:tcPr>
            <w:cnfStyle w:val="000010000000" w:firstRow="0" w:lastRow="0" w:firstColumn="0" w:lastColumn="0" w:oddVBand="1" w:evenVBand="0" w:oddHBand="0" w:evenHBand="0" w:firstRowFirstColumn="0" w:firstRowLastColumn="0" w:lastRowFirstColumn="0" w:lastRowLastColumn="0"/>
            <w:tcW w:w="1128" w:type="dxa"/>
            <w:gridSpan w:val="2"/>
          </w:tcPr>
          <w:p w:rsidR="00A131AD" w:rsidRPr="00E05270" w:rsidRDefault="00A131AD" w:rsidP="000C0138">
            <w:pPr>
              <w:spacing w:line="276" w:lineRule="auto"/>
              <w:jc w:val="right"/>
              <w:rPr>
                <w:rFonts w:ascii="Times New Roman" w:hAnsi="Times New Roman"/>
              </w:rPr>
            </w:pPr>
            <w:r w:rsidRPr="00E05270">
              <w:rPr>
                <w:rFonts w:ascii="Times New Roman" w:hAnsi="Times New Roman"/>
              </w:rPr>
              <w:t>635</w:t>
            </w:r>
          </w:p>
        </w:tc>
        <w:tc>
          <w:tcPr>
            <w:tcW w:w="1553" w:type="dxa"/>
            <w:gridSpan w:val="2"/>
          </w:tcPr>
          <w:p w:rsidR="00A131AD" w:rsidRPr="00E05270" w:rsidRDefault="00A131AD" w:rsidP="000C0138">
            <w:pPr>
              <w:spacing w:line="276"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E05270">
              <w:rPr>
                <w:rFonts w:ascii="Times New Roman" w:hAnsi="Times New Roman"/>
              </w:rPr>
              <w:t>27</w:t>
            </w:r>
            <w:r w:rsidR="00F83CAD">
              <w:rPr>
                <w:rFonts w:ascii="Times New Roman" w:hAnsi="Times New Roman"/>
              </w:rPr>
              <w:t xml:space="preserve"> </w:t>
            </w:r>
            <w:r w:rsidRPr="00E05270">
              <w:rPr>
                <w:rFonts w:ascii="Times New Roman" w:hAnsi="Times New Roman"/>
              </w:rPr>
              <w:t>(4,3%)</w:t>
            </w:r>
          </w:p>
        </w:tc>
        <w:tc>
          <w:tcPr>
            <w:cnfStyle w:val="000010000000" w:firstRow="0" w:lastRow="0" w:firstColumn="0" w:lastColumn="0" w:oddVBand="1" w:evenVBand="0" w:oddHBand="0" w:evenHBand="0" w:firstRowFirstColumn="0" w:firstRowLastColumn="0" w:lastRowFirstColumn="0" w:lastRowLastColumn="0"/>
            <w:tcW w:w="1011" w:type="dxa"/>
          </w:tcPr>
          <w:p w:rsidR="00A131AD" w:rsidRPr="00E05270" w:rsidRDefault="00A131AD" w:rsidP="000C0138">
            <w:pPr>
              <w:spacing w:line="276" w:lineRule="auto"/>
              <w:jc w:val="right"/>
              <w:rPr>
                <w:rFonts w:ascii="Times New Roman" w:hAnsi="Times New Roman"/>
              </w:rPr>
            </w:pPr>
            <w:r w:rsidRPr="00E05270">
              <w:rPr>
                <w:rFonts w:ascii="Times New Roman" w:hAnsi="Times New Roman"/>
              </w:rPr>
              <w:t>335</w:t>
            </w:r>
          </w:p>
        </w:tc>
        <w:tc>
          <w:tcPr>
            <w:tcW w:w="1559" w:type="dxa"/>
          </w:tcPr>
          <w:p w:rsidR="00A131AD" w:rsidRPr="00E05270" w:rsidRDefault="00A131AD" w:rsidP="000C0138">
            <w:pPr>
              <w:spacing w:line="276"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E05270">
              <w:rPr>
                <w:rFonts w:ascii="Times New Roman" w:hAnsi="Times New Roman"/>
              </w:rPr>
              <w:t>37</w:t>
            </w:r>
            <w:r w:rsidR="00F83CAD">
              <w:rPr>
                <w:rFonts w:ascii="Times New Roman" w:hAnsi="Times New Roman"/>
              </w:rPr>
              <w:t xml:space="preserve"> </w:t>
            </w:r>
            <w:r w:rsidRPr="00E05270">
              <w:rPr>
                <w:rFonts w:ascii="Times New Roman" w:hAnsi="Times New Roman"/>
              </w:rPr>
              <w:t>(11%)</w:t>
            </w:r>
          </w:p>
        </w:tc>
        <w:tc>
          <w:tcPr>
            <w:cnfStyle w:val="000010000000" w:firstRow="0" w:lastRow="0" w:firstColumn="0" w:lastColumn="0" w:oddVBand="1" w:evenVBand="0" w:oddHBand="0" w:evenHBand="0" w:firstRowFirstColumn="0" w:firstRowLastColumn="0" w:lastRowFirstColumn="0" w:lastRowLastColumn="0"/>
            <w:tcW w:w="992" w:type="dxa"/>
            <w:gridSpan w:val="2"/>
          </w:tcPr>
          <w:p w:rsidR="00A131AD" w:rsidRPr="00E05270" w:rsidRDefault="00A131AD" w:rsidP="000C0138">
            <w:pPr>
              <w:spacing w:line="276" w:lineRule="auto"/>
              <w:jc w:val="right"/>
              <w:rPr>
                <w:rFonts w:ascii="Times New Roman" w:hAnsi="Times New Roman"/>
              </w:rPr>
            </w:pPr>
            <w:r w:rsidRPr="00E05270">
              <w:rPr>
                <w:rFonts w:ascii="Times New Roman" w:hAnsi="Times New Roman"/>
              </w:rPr>
              <w:t>6703</w:t>
            </w:r>
          </w:p>
        </w:tc>
        <w:tc>
          <w:tcPr>
            <w:cnfStyle w:val="000100000000" w:firstRow="0" w:lastRow="0" w:firstColumn="0" w:lastColumn="1" w:oddVBand="0" w:evenVBand="0" w:oddHBand="0" w:evenHBand="0" w:firstRowFirstColumn="0" w:firstRowLastColumn="0" w:lastRowFirstColumn="0" w:lastRowLastColumn="0"/>
            <w:tcW w:w="1701" w:type="dxa"/>
          </w:tcPr>
          <w:p w:rsidR="00A131AD" w:rsidRPr="00E05270" w:rsidRDefault="00A131AD" w:rsidP="000C0138">
            <w:pPr>
              <w:spacing w:line="276" w:lineRule="auto"/>
              <w:jc w:val="right"/>
              <w:rPr>
                <w:rFonts w:ascii="Times New Roman" w:hAnsi="Times New Roman"/>
                <w:b w:val="0"/>
              </w:rPr>
            </w:pPr>
            <w:r w:rsidRPr="00E05270">
              <w:rPr>
                <w:rFonts w:ascii="Times New Roman" w:hAnsi="Times New Roman"/>
                <w:b w:val="0"/>
              </w:rPr>
              <w:t>268 (4%)</w:t>
            </w:r>
          </w:p>
        </w:tc>
      </w:tr>
      <w:tr w:rsidR="00A131AD" w:rsidRPr="00E05270" w:rsidTr="001911A6">
        <w:trPr>
          <w:gridAfter w:val="1"/>
          <w:cnfStyle w:val="000000100000" w:firstRow="0" w:lastRow="0" w:firstColumn="0" w:lastColumn="0" w:oddVBand="0" w:evenVBand="0" w:oddHBand="1" w:evenHBand="0" w:firstRowFirstColumn="0" w:firstRowLastColumn="0" w:lastRowFirstColumn="0" w:lastRowLastColumn="0"/>
          <w:wAfter w:w="17" w:type="dxa"/>
          <w:trHeight w:val="261"/>
        </w:trPr>
        <w:tc>
          <w:tcPr>
            <w:cnfStyle w:val="001000000000" w:firstRow="0" w:lastRow="0" w:firstColumn="1" w:lastColumn="0" w:oddVBand="0" w:evenVBand="0" w:oddHBand="0" w:evenHBand="0" w:firstRowFirstColumn="0" w:firstRowLastColumn="0" w:lastRowFirstColumn="0" w:lastRowLastColumn="0"/>
            <w:tcW w:w="1128" w:type="dxa"/>
          </w:tcPr>
          <w:p w:rsidR="00A131AD" w:rsidRPr="00E05270" w:rsidRDefault="00A131AD" w:rsidP="000C0138">
            <w:pPr>
              <w:spacing w:line="276" w:lineRule="auto"/>
              <w:jc w:val="center"/>
              <w:rPr>
                <w:rFonts w:ascii="Times New Roman" w:hAnsi="Times New Roman"/>
                <w:b w:val="0"/>
              </w:rPr>
            </w:pPr>
            <w:r w:rsidRPr="00E05270">
              <w:rPr>
                <w:rFonts w:ascii="Times New Roman" w:hAnsi="Times New Roman"/>
                <w:b w:val="0"/>
              </w:rPr>
              <w:t>2011.</w:t>
            </w:r>
          </w:p>
        </w:tc>
        <w:tc>
          <w:tcPr>
            <w:cnfStyle w:val="000010000000" w:firstRow="0" w:lastRow="0" w:firstColumn="0" w:lastColumn="0" w:oddVBand="1" w:evenVBand="0" w:oddHBand="0" w:evenHBand="0" w:firstRowFirstColumn="0" w:firstRowLastColumn="0" w:lastRowFirstColumn="0" w:lastRowLastColumn="0"/>
            <w:tcW w:w="1128" w:type="dxa"/>
            <w:gridSpan w:val="2"/>
          </w:tcPr>
          <w:p w:rsidR="00A131AD" w:rsidRPr="00E05270" w:rsidRDefault="00A131AD" w:rsidP="000C0138">
            <w:pPr>
              <w:spacing w:line="276" w:lineRule="auto"/>
              <w:jc w:val="right"/>
              <w:rPr>
                <w:rFonts w:ascii="Times New Roman" w:hAnsi="Times New Roman"/>
              </w:rPr>
            </w:pPr>
            <w:r w:rsidRPr="00E05270">
              <w:rPr>
                <w:rFonts w:ascii="Times New Roman" w:hAnsi="Times New Roman"/>
              </w:rPr>
              <w:t>475</w:t>
            </w:r>
          </w:p>
        </w:tc>
        <w:tc>
          <w:tcPr>
            <w:tcW w:w="1553" w:type="dxa"/>
            <w:gridSpan w:val="2"/>
          </w:tcPr>
          <w:p w:rsidR="00A131AD" w:rsidRPr="00E05270" w:rsidRDefault="00A131AD" w:rsidP="000C0138">
            <w:pPr>
              <w:spacing w:line="276"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E05270">
              <w:rPr>
                <w:rFonts w:ascii="Times New Roman" w:hAnsi="Times New Roman"/>
              </w:rPr>
              <w:t>20</w:t>
            </w:r>
            <w:r w:rsidR="00F83CAD">
              <w:rPr>
                <w:rFonts w:ascii="Times New Roman" w:hAnsi="Times New Roman"/>
              </w:rPr>
              <w:t xml:space="preserve"> </w:t>
            </w:r>
            <w:r w:rsidRPr="00E05270">
              <w:rPr>
                <w:rFonts w:ascii="Times New Roman" w:hAnsi="Times New Roman"/>
              </w:rPr>
              <w:t>(4,2%)</w:t>
            </w:r>
          </w:p>
        </w:tc>
        <w:tc>
          <w:tcPr>
            <w:cnfStyle w:val="000010000000" w:firstRow="0" w:lastRow="0" w:firstColumn="0" w:lastColumn="0" w:oddVBand="1" w:evenVBand="0" w:oddHBand="0" w:evenHBand="0" w:firstRowFirstColumn="0" w:firstRowLastColumn="0" w:lastRowFirstColumn="0" w:lastRowLastColumn="0"/>
            <w:tcW w:w="1011" w:type="dxa"/>
          </w:tcPr>
          <w:p w:rsidR="00A131AD" w:rsidRPr="00E05270" w:rsidRDefault="00A131AD" w:rsidP="000C0138">
            <w:pPr>
              <w:spacing w:line="276" w:lineRule="auto"/>
              <w:jc w:val="right"/>
              <w:rPr>
                <w:rFonts w:ascii="Times New Roman" w:hAnsi="Times New Roman"/>
              </w:rPr>
            </w:pPr>
            <w:r w:rsidRPr="00E05270">
              <w:rPr>
                <w:rFonts w:ascii="Times New Roman" w:hAnsi="Times New Roman"/>
              </w:rPr>
              <w:t>381</w:t>
            </w:r>
          </w:p>
        </w:tc>
        <w:tc>
          <w:tcPr>
            <w:tcW w:w="1559" w:type="dxa"/>
          </w:tcPr>
          <w:p w:rsidR="00A131AD" w:rsidRPr="00E05270" w:rsidRDefault="00A131AD" w:rsidP="000C0138">
            <w:pPr>
              <w:spacing w:line="276"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E05270">
              <w:rPr>
                <w:rFonts w:ascii="Times New Roman" w:hAnsi="Times New Roman"/>
              </w:rPr>
              <w:t>12 (3,1%)</w:t>
            </w:r>
          </w:p>
        </w:tc>
        <w:tc>
          <w:tcPr>
            <w:cnfStyle w:val="000010000000" w:firstRow="0" w:lastRow="0" w:firstColumn="0" w:lastColumn="0" w:oddVBand="1" w:evenVBand="0" w:oddHBand="0" w:evenHBand="0" w:firstRowFirstColumn="0" w:firstRowLastColumn="0" w:lastRowFirstColumn="0" w:lastRowLastColumn="0"/>
            <w:tcW w:w="992" w:type="dxa"/>
            <w:gridSpan w:val="2"/>
          </w:tcPr>
          <w:p w:rsidR="00A131AD" w:rsidRPr="00E05270" w:rsidRDefault="00A131AD" w:rsidP="000C0138">
            <w:pPr>
              <w:spacing w:line="276" w:lineRule="auto"/>
              <w:jc w:val="right"/>
              <w:rPr>
                <w:rFonts w:ascii="Times New Roman" w:hAnsi="Times New Roman"/>
              </w:rPr>
            </w:pPr>
            <w:r w:rsidRPr="00E05270">
              <w:rPr>
                <w:rFonts w:ascii="Times New Roman" w:hAnsi="Times New Roman"/>
              </w:rPr>
              <w:t>9617</w:t>
            </w:r>
          </w:p>
        </w:tc>
        <w:tc>
          <w:tcPr>
            <w:cnfStyle w:val="000100000000" w:firstRow="0" w:lastRow="0" w:firstColumn="0" w:lastColumn="1" w:oddVBand="0" w:evenVBand="0" w:oddHBand="0" w:evenHBand="0" w:firstRowFirstColumn="0" w:firstRowLastColumn="0" w:lastRowFirstColumn="0" w:lastRowLastColumn="0"/>
            <w:tcW w:w="1701" w:type="dxa"/>
          </w:tcPr>
          <w:p w:rsidR="00A131AD" w:rsidRPr="00E05270" w:rsidRDefault="00A131AD" w:rsidP="000C0138">
            <w:pPr>
              <w:spacing w:line="276" w:lineRule="auto"/>
              <w:jc w:val="right"/>
              <w:rPr>
                <w:rFonts w:ascii="Times New Roman" w:hAnsi="Times New Roman"/>
                <w:b w:val="0"/>
              </w:rPr>
            </w:pPr>
            <w:r w:rsidRPr="00E05270">
              <w:rPr>
                <w:rFonts w:ascii="Times New Roman" w:hAnsi="Times New Roman"/>
                <w:b w:val="0"/>
              </w:rPr>
              <w:t>376 (3,9%)</w:t>
            </w:r>
          </w:p>
        </w:tc>
      </w:tr>
      <w:tr w:rsidR="00A131AD" w:rsidRPr="00E05270" w:rsidTr="001911A6">
        <w:trPr>
          <w:gridAfter w:val="1"/>
          <w:wAfter w:w="17" w:type="dxa"/>
          <w:trHeight w:val="325"/>
        </w:trPr>
        <w:tc>
          <w:tcPr>
            <w:cnfStyle w:val="001000000000" w:firstRow="0" w:lastRow="0" w:firstColumn="1" w:lastColumn="0" w:oddVBand="0" w:evenVBand="0" w:oddHBand="0" w:evenHBand="0" w:firstRowFirstColumn="0" w:firstRowLastColumn="0" w:lastRowFirstColumn="0" w:lastRowLastColumn="0"/>
            <w:tcW w:w="1128" w:type="dxa"/>
          </w:tcPr>
          <w:p w:rsidR="00A131AD" w:rsidRPr="00E05270" w:rsidRDefault="00A131AD" w:rsidP="000C0138">
            <w:pPr>
              <w:spacing w:line="276" w:lineRule="auto"/>
              <w:jc w:val="center"/>
              <w:rPr>
                <w:rFonts w:ascii="Times New Roman" w:hAnsi="Times New Roman"/>
                <w:b w:val="0"/>
              </w:rPr>
            </w:pPr>
            <w:r w:rsidRPr="00E05270">
              <w:rPr>
                <w:rFonts w:ascii="Times New Roman" w:hAnsi="Times New Roman"/>
                <w:b w:val="0"/>
              </w:rPr>
              <w:t>2012.</w:t>
            </w:r>
          </w:p>
        </w:tc>
        <w:tc>
          <w:tcPr>
            <w:cnfStyle w:val="000010000000" w:firstRow="0" w:lastRow="0" w:firstColumn="0" w:lastColumn="0" w:oddVBand="1" w:evenVBand="0" w:oddHBand="0" w:evenHBand="0" w:firstRowFirstColumn="0" w:firstRowLastColumn="0" w:lastRowFirstColumn="0" w:lastRowLastColumn="0"/>
            <w:tcW w:w="1128" w:type="dxa"/>
            <w:gridSpan w:val="2"/>
          </w:tcPr>
          <w:p w:rsidR="00A131AD" w:rsidRPr="00E05270" w:rsidRDefault="00A131AD" w:rsidP="000C0138">
            <w:pPr>
              <w:spacing w:line="276" w:lineRule="auto"/>
              <w:jc w:val="right"/>
              <w:rPr>
                <w:rFonts w:ascii="Times New Roman" w:hAnsi="Times New Roman"/>
              </w:rPr>
            </w:pPr>
            <w:r w:rsidRPr="00E05270">
              <w:rPr>
                <w:rFonts w:ascii="Times New Roman" w:hAnsi="Times New Roman"/>
              </w:rPr>
              <w:t>324</w:t>
            </w:r>
          </w:p>
        </w:tc>
        <w:tc>
          <w:tcPr>
            <w:tcW w:w="1553" w:type="dxa"/>
            <w:gridSpan w:val="2"/>
          </w:tcPr>
          <w:p w:rsidR="00A131AD" w:rsidRPr="00E05270" w:rsidRDefault="00A131AD" w:rsidP="000C0138">
            <w:pPr>
              <w:spacing w:line="276"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E05270">
              <w:rPr>
                <w:rFonts w:ascii="Times New Roman" w:hAnsi="Times New Roman"/>
              </w:rPr>
              <w:t>8</w:t>
            </w:r>
            <w:r w:rsidR="00F83CAD">
              <w:rPr>
                <w:rFonts w:ascii="Times New Roman" w:hAnsi="Times New Roman"/>
              </w:rPr>
              <w:t xml:space="preserve"> </w:t>
            </w:r>
            <w:r w:rsidRPr="00E05270">
              <w:rPr>
                <w:rFonts w:ascii="Times New Roman" w:hAnsi="Times New Roman"/>
              </w:rPr>
              <w:t>(2,5%)</w:t>
            </w:r>
          </w:p>
        </w:tc>
        <w:tc>
          <w:tcPr>
            <w:cnfStyle w:val="000010000000" w:firstRow="0" w:lastRow="0" w:firstColumn="0" w:lastColumn="0" w:oddVBand="1" w:evenVBand="0" w:oddHBand="0" w:evenHBand="0" w:firstRowFirstColumn="0" w:firstRowLastColumn="0" w:lastRowFirstColumn="0" w:lastRowLastColumn="0"/>
            <w:tcW w:w="1011" w:type="dxa"/>
          </w:tcPr>
          <w:p w:rsidR="00A131AD" w:rsidRPr="00E05270" w:rsidRDefault="00A131AD" w:rsidP="000C0138">
            <w:pPr>
              <w:spacing w:line="276" w:lineRule="auto"/>
              <w:jc w:val="right"/>
              <w:rPr>
                <w:rFonts w:ascii="Times New Roman" w:hAnsi="Times New Roman"/>
              </w:rPr>
            </w:pPr>
            <w:r w:rsidRPr="00E05270">
              <w:rPr>
                <w:rFonts w:ascii="Times New Roman" w:hAnsi="Times New Roman"/>
              </w:rPr>
              <w:t>2</w:t>
            </w:r>
          </w:p>
        </w:tc>
        <w:tc>
          <w:tcPr>
            <w:tcW w:w="1559" w:type="dxa"/>
          </w:tcPr>
          <w:p w:rsidR="00A131AD" w:rsidRPr="00E05270" w:rsidRDefault="00A131AD" w:rsidP="000C0138">
            <w:pPr>
              <w:spacing w:line="276"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E05270">
              <w:rPr>
                <w:rFonts w:ascii="Times New Roman" w:hAnsi="Times New Roman"/>
              </w:rPr>
              <w:t>0</w:t>
            </w:r>
          </w:p>
        </w:tc>
        <w:tc>
          <w:tcPr>
            <w:cnfStyle w:val="000010000000" w:firstRow="0" w:lastRow="0" w:firstColumn="0" w:lastColumn="0" w:oddVBand="1" w:evenVBand="0" w:oddHBand="0" w:evenHBand="0" w:firstRowFirstColumn="0" w:firstRowLastColumn="0" w:lastRowFirstColumn="0" w:lastRowLastColumn="0"/>
            <w:tcW w:w="992" w:type="dxa"/>
            <w:gridSpan w:val="2"/>
          </w:tcPr>
          <w:p w:rsidR="00A131AD" w:rsidRPr="00E05270" w:rsidRDefault="00A131AD" w:rsidP="000C0138">
            <w:pPr>
              <w:spacing w:line="276" w:lineRule="auto"/>
              <w:jc w:val="right"/>
              <w:rPr>
                <w:rFonts w:ascii="Times New Roman" w:hAnsi="Times New Roman"/>
              </w:rPr>
            </w:pPr>
            <w:r w:rsidRPr="00E05270">
              <w:rPr>
                <w:rFonts w:ascii="Times New Roman" w:hAnsi="Times New Roman"/>
              </w:rPr>
              <w:t>6795</w:t>
            </w:r>
          </w:p>
        </w:tc>
        <w:tc>
          <w:tcPr>
            <w:cnfStyle w:val="000100000000" w:firstRow="0" w:lastRow="0" w:firstColumn="0" w:lastColumn="1" w:oddVBand="0" w:evenVBand="0" w:oddHBand="0" w:evenHBand="0" w:firstRowFirstColumn="0" w:firstRowLastColumn="0" w:lastRowFirstColumn="0" w:lastRowLastColumn="0"/>
            <w:tcW w:w="1701" w:type="dxa"/>
          </w:tcPr>
          <w:p w:rsidR="00A131AD" w:rsidRPr="00E05270" w:rsidRDefault="00A131AD" w:rsidP="000C0138">
            <w:pPr>
              <w:spacing w:line="276" w:lineRule="auto"/>
              <w:jc w:val="right"/>
              <w:rPr>
                <w:rFonts w:ascii="Times New Roman" w:hAnsi="Times New Roman"/>
                <w:b w:val="0"/>
                <w:lang w:val="hr-HR"/>
              </w:rPr>
            </w:pPr>
            <w:r w:rsidRPr="00E05270">
              <w:rPr>
                <w:rFonts w:ascii="Times New Roman" w:hAnsi="Times New Roman"/>
                <w:b w:val="0"/>
                <w:lang w:val="hr-HR"/>
              </w:rPr>
              <w:t>340 (5%)</w:t>
            </w:r>
          </w:p>
        </w:tc>
      </w:tr>
      <w:tr w:rsidR="00A131AD" w:rsidRPr="00E05270" w:rsidTr="001911A6">
        <w:trPr>
          <w:gridAfter w:val="1"/>
          <w:cnfStyle w:val="000000100000" w:firstRow="0" w:lastRow="0" w:firstColumn="0" w:lastColumn="0" w:oddVBand="0" w:evenVBand="0" w:oddHBand="1" w:evenHBand="0" w:firstRowFirstColumn="0" w:firstRowLastColumn="0" w:lastRowFirstColumn="0" w:lastRowLastColumn="0"/>
          <w:wAfter w:w="17" w:type="dxa"/>
          <w:trHeight w:val="325"/>
        </w:trPr>
        <w:tc>
          <w:tcPr>
            <w:cnfStyle w:val="001000000000" w:firstRow="0" w:lastRow="0" w:firstColumn="1" w:lastColumn="0" w:oddVBand="0" w:evenVBand="0" w:oddHBand="0" w:evenHBand="0" w:firstRowFirstColumn="0" w:firstRowLastColumn="0" w:lastRowFirstColumn="0" w:lastRowLastColumn="0"/>
            <w:tcW w:w="1128" w:type="dxa"/>
          </w:tcPr>
          <w:p w:rsidR="00A131AD" w:rsidRPr="00E05270" w:rsidRDefault="00A131AD" w:rsidP="000C0138">
            <w:pPr>
              <w:spacing w:line="276" w:lineRule="auto"/>
              <w:jc w:val="center"/>
              <w:rPr>
                <w:rFonts w:ascii="Times New Roman" w:hAnsi="Times New Roman"/>
                <w:b w:val="0"/>
              </w:rPr>
            </w:pPr>
            <w:r w:rsidRPr="00E05270">
              <w:rPr>
                <w:rFonts w:ascii="Times New Roman" w:hAnsi="Times New Roman"/>
                <w:b w:val="0"/>
              </w:rPr>
              <w:t>2013</w:t>
            </w:r>
          </w:p>
        </w:tc>
        <w:tc>
          <w:tcPr>
            <w:cnfStyle w:val="000010000000" w:firstRow="0" w:lastRow="0" w:firstColumn="0" w:lastColumn="0" w:oddVBand="1" w:evenVBand="0" w:oddHBand="0" w:evenHBand="0" w:firstRowFirstColumn="0" w:firstRowLastColumn="0" w:lastRowFirstColumn="0" w:lastRowLastColumn="0"/>
            <w:tcW w:w="1128" w:type="dxa"/>
            <w:gridSpan w:val="2"/>
          </w:tcPr>
          <w:p w:rsidR="00A131AD" w:rsidRPr="00E05270" w:rsidRDefault="00A131AD" w:rsidP="000C0138">
            <w:pPr>
              <w:pStyle w:val="tabele0"/>
              <w:spacing w:line="276" w:lineRule="auto"/>
              <w:ind w:left="0" w:firstLine="0"/>
              <w:jc w:val="right"/>
              <w:rPr>
                <w:i w:val="0"/>
                <w:lang w:val="hr-HR"/>
              </w:rPr>
            </w:pPr>
            <w:r w:rsidRPr="00E05270">
              <w:rPr>
                <w:i w:val="0"/>
                <w:lang w:val="hr-HR"/>
              </w:rPr>
              <w:t>435</w:t>
            </w:r>
          </w:p>
        </w:tc>
        <w:tc>
          <w:tcPr>
            <w:tcW w:w="1553" w:type="dxa"/>
            <w:gridSpan w:val="2"/>
          </w:tcPr>
          <w:p w:rsidR="00A131AD" w:rsidRPr="00E05270" w:rsidRDefault="00A131AD" w:rsidP="000C0138">
            <w:pPr>
              <w:pStyle w:val="tabele0"/>
              <w:spacing w:line="276" w:lineRule="auto"/>
              <w:ind w:left="0" w:firstLine="0"/>
              <w:jc w:val="right"/>
              <w:cnfStyle w:val="000000100000" w:firstRow="0" w:lastRow="0" w:firstColumn="0" w:lastColumn="0" w:oddVBand="0" w:evenVBand="0" w:oddHBand="1" w:evenHBand="0" w:firstRowFirstColumn="0" w:firstRowLastColumn="0" w:lastRowFirstColumn="0" w:lastRowLastColumn="0"/>
              <w:rPr>
                <w:i w:val="0"/>
                <w:lang w:val="hr-HR"/>
              </w:rPr>
            </w:pPr>
            <w:r w:rsidRPr="00E05270">
              <w:rPr>
                <w:i w:val="0"/>
                <w:lang w:val="hr-HR"/>
              </w:rPr>
              <w:t>21 (4,8%)</w:t>
            </w:r>
          </w:p>
        </w:tc>
        <w:tc>
          <w:tcPr>
            <w:cnfStyle w:val="000010000000" w:firstRow="0" w:lastRow="0" w:firstColumn="0" w:lastColumn="0" w:oddVBand="1" w:evenVBand="0" w:oddHBand="0" w:evenHBand="0" w:firstRowFirstColumn="0" w:firstRowLastColumn="0" w:lastRowFirstColumn="0" w:lastRowLastColumn="0"/>
            <w:tcW w:w="1011" w:type="dxa"/>
          </w:tcPr>
          <w:p w:rsidR="00A131AD" w:rsidRPr="00E05270" w:rsidRDefault="00A131AD" w:rsidP="000C0138">
            <w:pPr>
              <w:pStyle w:val="tabele0"/>
              <w:spacing w:line="276" w:lineRule="auto"/>
              <w:ind w:left="0" w:firstLine="0"/>
              <w:jc w:val="right"/>
              <w:rPr>
                <w:i w:val="0"/>
                <w:lang w:val="hr-HR"/>
              </w:rPr>
            </w:pPr>
            <w:r w:rsidRPr="00E05270">
              <w:rPr>
                <w:i w:val="0"/>
                <w:lang w:val="hr-HR"/>
              </w:rPr>
              <w:t>242</w:t>
            </w:r>
          </w:p>
        </w:tc>
        <w:tc>
          <w:tcPr>
            <w:tcW w:w="1559" w:type="dxa"/>
          </w:tcPr>
          <w:p w:rsidR="00A131AD" w:rsidRPr="00E05270" w:rsidRDefault="00A131AD" w:rsidP="000C0138">
            <w:pPr>
              <w:pStyle w:val="tabele0"/>
              <w:spacing w:line="276" w:lineRule="auto"/>
              <w:ind w:left="0" w:firstLine="0"/>
              <w:jc w:val="right"/>
              <w:cnfStyle w:val="000000100000" w:firstRow="0" w:lastRow="0" w:firstColumn="0" w:lastColumn="0" w:oddVBand="0" w:evenVBand="0" w:oddHBand="1" w:evenHBand="0" w:firstRowFirstColumn="0" w:firstRowLastColumn="0" w:lastRowFirstColumn="0" w:lastRowLastColumn="0"/>
              <w:rPr>
                <w:i w:val="0"/>
                <w:lang w:val="hr-HR"/>
              </w:rPr>
            </w:pPr>
            <w:r w:rsidRPr="00E05270">
              <w:rPr>
                <w:i w:val="0"/>
                <w:lang w:val="hr-HR"/>
              </w:rPr>
              <w:t>12  (5%)</w:t>
            </w:r>
          </w:p>
        </w:tc>
        <w:tc>
          <w:tcPr>
            <w:cnfStyle w:val="000010000000" w:firstRow="0" w:lastRow="0" w:firstColumn="0" w:lastColumn="0" w:oddVBand="1" w:evenVBand="0" w:oddHBand="0" w:evenHBand="0" w:firstRowFirstColumn="0" w:firstRowLastColumn="0" w:lastRowFirstColumn="0" w:lastRowLastColumn="0"/>
            <w:tcW w:w="992" w:type="dxa"/>
            <w:gridSpan w:val="2"/>
          </w:tcPr>
          <w:p w:rsidR="00A131AD" w:rsidRPr="00E05270" w:rsidRDefault="00A131AD" w:rsidP="000C0138">
            <w:pPr>
              <w:pStyle w:val="tabele0"/>
              <w:spacing w:line="276" w:lineRule="auto"/>
              <w:ind w:left="0" w:firstLine="0"/>
              <w:jc w:val="right"/>
              <w:rPr>
                <w:i w:val="0"/>
                <w:lang w:val="hr-HR"/>
              </w:rPr>
            </w:pPr>
            <w:r w:rsidRPr="00E05270">
              <w:rPr>
                <w:i w:val="0"/>
                <w:lang w:val="hr-HR"/>
              </w:rPr>
              <w:t>10634</w:t>
            </w:r>
          </w:p>
        </w:tc>
        <w:tc>
          <w:tcPr>
            <w:cnfStyle w:val="000100000000" w:firstRow="0" w:lastRow="0" w:firstColumn="0" w:lastColumn="1" w:oddVBand="0" w:evenVBand="0" w:oddHBand="0" w:evenHBand="0" w:firstRowFirstColumn="0" w:firstRowLastColumn="0" w:lastRowFirstColumn="0" w:lastRowLastColumn="0"/>
            <w:tcW w:w="1701" w:type="dxa"/>
          </w:tcPr>
          <w:p w:rsidR="00A131AD" w:rsidRPr="00E05270" w:rsidRDefault="00A131AD" w:rsidP="000C0138">
            <w:pPr>
              <w:spacing w:line="276" w:lineRule="auto"/>
              <w:jc w:val="right"/>
              <w:rPr>
                <w:rFonts w:ascii="Times New Roman" w:hAnsi="Times New Roman"/>
                <w:b w:val="0"/>
                <w:lang w:val="hr-HR"/>
              </w:rPr>
            </w:pPr>
            <w:r w:rsidRPr="00E05270">
              <w:rPr>
                <w:rFonts w:ascii="Times New Roman" w:hAnsi="Times New Roman"/>
                <w:b w:val="0"/>
                <w:lang w:val="hr-HR"/>
              </w:rPr>
              <w:t>419 (4%)</w:t>
            </w:r>
          </w:p>
        </w:tc>
      </w:tr>
      <w:tr w:rsidR="00A131AD" w:rsidRPr="00E05270" w:rsidTr="001911A6">
        <w:trPr>
          <w:gridAfter w:val="1"/>
          <w:wAfter w:w="17" w:type="dxa"/>
          <w:trHeight w:val="325"/>
        </w:trPr>
        <w:tc>
          <w:tcPr>
            <w:cnfStyle w:val="001000000000" w:firstRow="0" w:lastRow="0" w:firstColumn="1" w:lastColumn="0" w:oddVBand="0" w:evenVBand="0" w:oddHBand="0" w:evenHBand="0" w:firstRowFirstColumn="0" w:firstRowLastColumn="0" w:lastRowFirstColumn="0" w:lastRowLastColumn="0"/>
            <w:tcW w:w="1128" w:type="dxa"/>
          </w:tcPr>
          <w:p w:rsidR="00A131AD" w:rsidRPr="00E05270" w:rsidRDefault="00A131AD" w:rsidP="000C0138">
            <w:pPr>
              <w:spacing w:line="276" w:lineRule="auto"/>
              <w:jc w:val="center"/>
              <w:rPr>
                <w:rFonts w:ascii="Times New Roman" w:hAnsi="Times New Roman"/>
                <w:b w:val="0"/>
              </w:rPr>
            </w:pPr>
            <w:r w:rsidRPr="00E05270">
              <w:rPr>
                <w:rFonts w:ascii="Times New Roman" w:hAnsi="Times New Roman"/>
                <w:b w:val="0"/>
              </w:rPr>
              <w:t>2014</w:t>
            </w:r>
          </w:p>
        </w:tc>
        <w:tc>
          <w:tcPr>
            <w:cnfStyle w:val="000010000000" w:firstRow="0" w:lastRow="0" w:firstColumn="0" w:lastColumn="0" w:oddVBand="1" w:evenVBand="0" w:oddHBand="0" w:evenHBand="0" w:firstRowFirstColumn="0" w:firstRowLastColumn="0" w:lastRowFirstColumn="0" w:lastRowLastColumn="0"/>
            <w:tcW w:w="1128" w:type="dxa"/>
            <w:gridSpan w:val="2"/>
          </w:tcPr>
          <w:p w:rsidR="00A131AD" w:rsidRPr="00E05270" w:rsidRDefault="00A131AD" w:rsidP="000C0138">
            <w:pPr>
              <w:pStyle w:val="tabele0"/>
              <w:spacing w:line="276" w:lineRule="auto"/>
              <w:ind w:left="0" w:firstLine="0"/>
              <w:jc w:val="right"/>
              <w:rPr>
                <w:i w:val="0"/>
                <w:lang w:val="hr-HR"/>
              </w:rPr>
            </w:pPr>
            <w:r w:rsidRPr="00E05270">
              <w:rPr>
                <w:i w:val="0"/>
                <w:lang w:val="hr-HR"/>
              </w:rPr>
              <w:t>422</w:t>
            </w:r>
          </w:p>
        </w:tc>
        <w:tc>
          <w:tcPr>
            <w:tcW w:w="1553" w:type="dxa"/>
            <w:gridSpan w:val="2"/>
          </w:tcPr>
          <w:p w:rsidR="00A131AD" w:rsidRPr="00E05270" w:rsidRDefault="00A131AD" w:rsidP="000C0138">
            <w:pPr>
              <w:pStyle w:val="tabele0"/>
              <w:spacing w:line="276" w:lineRule="auto"/>
              <w:ind w:left="0" w:firstLine="0"/>
              <w:jc w:val="right"/>
              <w:cnfStyle w:val="000000000000" w:firstRow="0" w:lastRow="0" w:firstColumn="0" w:lastColumn="0" w:oddVBand="0" w:evenVBand="0" w:oddHBand="0" w:evenHBand="0" w:firstRowFirstColumn="0" w:firstRowLastColumn="0" w:lastRowFirstColumn="0" w:lastRowLastColumn="0"/>
              <w:rPr>
                <w:i w:val="0"/>
                <w:lang w:val="hr-HR"/>
              </w:rPr>
            </w:pPr>
            <w:r w:rsidRPr="00E05270">
              <w:rPr>
                <w:i w:val="0"/>
                <w:lang w:val="hr-HR"/>
              </w:rPr>
              <w:t>10 (2,3%)</w:t>
            </w:r>
          </w:p>
        </w:tc>
        <w:tc>
          <w:tcPr>
            <w:cnfStyle w:val="000010000000" w:firstRow="0" w:lastRow="0" w:firstColumn="0" w:lastColumn="0" w:oddVBand="1" w:evenVBand="0" w:oddHBand="0" w:evenHBand="0" w:firstRowFirstColumn="0" w:firstRowLastColumn="0" w:lastRowFirstColumn="0" w:lastRowLastColumn="0"/>
            <w:tcW w:w="1011" w:type="dxa"/>
          </w:tcPr>
          <w:p w:rsidR="00A131AD" w:rsidRPr="00E05270" w:rsidRDefault="00A131AD" w:rsidP="000C0138">
            <w:pPr>
              <w:pStyle w:val="tabele0"/>
              <w:spacing w:line="276" w:lineRule="auto"/>
              <w:ind w:left="0" w:firstLine="0"/>
              <w:jc w:val="right"/>
              <w:rPr>
                <w:i w:val="0"/>
                <w:lang w:val="hr-HR"/>
              </w:rPr>
            </w:pPr>
            <w:r w:rsidRPr="00E05270">
              <w:rPr>
                <w:i w:val="0"/>
                <w:lang w:val="hr-HR"/>
              </w:rPr>
              <w:t>152</w:t>
            </w:r>
          </w:p>
        </w:tc>
        <w:tc>
          <w:tcPr>
            <w:tcW w:w="1559" w:type="dxa"/>
          </w:tcPr>
          <w:p w:rsidR="00A131AD" w:rsidRPr="00E05270" w:rsidRDefault="00A131AD" w:rsidP="000C0138">
            <w:pPr>
              <w:pStyle w:val="tabele0"/>
              <w:spacing w:line="276" w:lineRule="auto"/>
              <w:ind w:left="0" w:firstLine="0"/>
              <w:jc w:val="right"/>
              <w:cnfStyle w:val="000000000000" w:firstRow="0" w:lastRow="0" w:firstColumn="0" w:lastColumn="0" w:oddVBand="0" w:evenVBand="0" w:oddHBand="0" w:evenHBand="0" w:firstRowFirstColumn="0" w:firstRowLastColumn="0" w:lastRowFirstColumn="0" w:lastRowLastColumn="0"/>
              <w:rPr>
                <w:i w:val="0"/>
                <w:lang w:val="hr-HR"/>
              </w:rPr>
            </w:pPr>
            <w:r w:rsidRPr="00E05270">
              <w:rPr>
                <w:i w:val="0"/>
                <w:lang w:val="hr-HR"/>
              </w:rPr>
              <w:t>0</w:t>
            </w:r>
          </w:p>
        </w:tc>
        <w:tc>
          <w:tcPr>
            <w:cnfStyle w:val="000010000000" w:firstRow="0" w:lastRow="0" w:firstColumn="0" w:lastColumn="0" w:oddVBand="1" w:evenVBand="0" w:oddHBand="0" w:evenHBand="0" w:firstRowFirstColumn="0" w:firstRowLastColumn="0" w:lastRowFirstColumn="0" w:lastRowLastColumn="0"/>
            <w:tcW w:w="992" w:type="dxa"/>
            <w:gridSpan w:val="2"/>
          </w:tcPr>
          <w:p w:rsidR="00A131AD" w:rsidRPr="00E05270" w:rsidRDefault="00A131AD" w:rsidP="000C0138">
            <w:pPr>
              <w:pStyle w:val="tabele0"/>
              <w:spacing w:line="276" w:lineRule="auto"/>
              <w:ind w:left="0" w:firstLine="0"/>
              <w:jc w:val="right"/>
              <w:rPr>
                <w:i w:val="0"/>
                <w:lang w:val="hr-HR"/>
              </w:rPr>
            </w:pPr>
            <w:r w:rsidRPr="00E05270">
              <w:rPr>
                <w:i w:val="0"/>
                <w:lang w:val="hr-HR"/>
              </w:rPr>
              <w:t>6697</w:t>
            </w:r>
          </w:p>
        </w:tc>
        <w:tc>
          <w:tcPr>
            <w:cnfStyle w:val="000100000000" w:firstRow="0" w:lastRow="0" w:firstColumn="0" w:lastColumn="1" w:oddVBand="0" w:evenVBand="0" w:oddHBand="0" w:evenHBand="0" w:firstRowFirstColumn="0" w:firstRowLastColumn="0" w:lastRowFirstColumn="0" w:lastRowLastColumn="0"/>
            <w:tcW w:w="1701" w:type="dxa"/>
          </w:tcPr>
          <w:p w:rsidR="00A131AD" w:rsidRPr="00E05270" w:rsidRDefault="00A131AD" w:rsidP="000C0138">
            <w:pPr>
              <w:spacing w:line="276" w:lineRule="auto"/>
              <w:jc w:val="right"/>
              <w:rPr>
                <w:rFonts w:ascii="Times New Roman" w:hAnsi="Times New Roman"/>
                <w:b w:val="0"/>
                <w:lang w:val="hr-HR"/>
              </w:rPr>
            </w:pPr>
            <w:r w:rsidRPr="00E05270">
              <w:rPr>
                <w:rFonts w:ascii="Times New Roman" w:hAnsi="Times New Roman"/>
                <w:b w:val="0"/>
                <w:lang w:val="hr-HR"/>
              </w:rPr>
              <w:t>478 (7,1%)</w:t>
            </w:r>
          </w:p>
        </w:tc>
      </w:tr>
      <w:tr w:rsidR="00A131AD" w:rsidRPr="00E05270" w:rsidTr="001911A6">
        <w:trPr>
          <w:gridAfter w:val="1"/>
          <w:cnfStyle w:val="010000000000" w:firstRow="0" w:lastRow="1" w:firstColumn="0" w:lastColumn="0" w:oddVBand="0" w:evenVBand="0" w:oddHBand="0" w:evenHBand="0" w:firstRowFirstColumn="0" w:firstRowLastColumn="0" w:lastRowFirstColumn="0" w:lastRowLastColumn="0"/>
          <w:wAfter w:w="17" w:type="dxa"/>
          <w:trHeight w:val="261"/>
        </w:trPr>
        <w:tc>
          <w:tcPr>
            <w:cnfStyle w:val="001000000000" w:firstRow="0" w:lastRow="0" w:firstColumn="1" w:lastColumn="0" w:oddVBand="0" w:evenVBand="0" w:oddHBand="0" w:evenHBand="0" w:firstRowFirstColumn="0" w:firstRowLastColumn="0" w:lastRowFirstColumn="0" w:lastRowLastColumn="0"/>
            <w:tcW w:w="1128" w:type="dxa"/>
          </w:tcPr>
          <w:p w:rsidR="00A131AD" w:rsidRPr="00E05270" w:rsidRDefault="00A131AD" w:rsidP="000C0138">
            <w:pPr>
              <w:spacing w:line="276" w:lineRule="auto"/>
              <w:jc w:val="center"/>
              <w:rPr>
                <w:rFonts w:ascii="Times New Roman" w:hAnsi="Times New Roman"/>
                <w:b w:val="0"/>
              </w:rPr>
            </w:pPr>
            <w:r w:rsidRPr="00E05270">
              <w:rPr>
                <w:rFonts w:ascii="Times New Roman" w:hAnsi="Times New Roman"/>
                <w:b w:val="0"/>
              </w:rPr>
              <w:t>2015</w:t>
            </w:r>
          </w:p>
        </w:tc>
        <w:tc>
          <w:tcPr>
            <w:cnfStyle w:val="000010000000" w:firstRow="0" w:lastRow="0" w:firstColumn="0" w:lastColumn="0" w:oddVBand="1" w:evenVBand="0" w:oddHBand="0" w:evenHBand="0" w:firstRowFirstColumn="0" w:firstRowLastColumn="0" w:lastRowFirstColumn="0" w:lastRowLastColumn="0"/>
            <w:tcW w:w="1128" w:type="dxa"/>
            <w:gridSpan w:val="2"/>
          </w:tcPr>
          <w:p w:rsidR="00A131AD" w:rsidRPr="00E05270" w:rsidRDefault="00A131AD" w:rsidP="000C0138">
            <w:pPr>
              <w:spacing w:line="276" w:lineRule="auto"/>
              <w:jc w:val="right"/>
              <w:rPr>
                <w:rFonts w:ascii="Times New Roman" w:hAnsi="Times New Roman"/>
                <w:b w:val="0"/>
              </w:rPr>
            </w:pPr>
            <w:r w:rsidRPr="00E05270">
              <w:rPr>
                <w:rFonts w:ascii="Times New Roman" w:hAnsi="Times New Roman"/>
                <w:b w:val="0"/>
              </w:rPr>
              <w:t>282</w:t>
            </w:r>
          </w:p>
        </w:tc>
        <w:tc>
          <w:tcPr>
            <w:tcW w:w="1553" w:type="dxa"/>
            <w:gridSpan w:val="2"/>
          </w:tcPr>
          <w:p w:rsidR="00A131AD" w:rsidRPr="00E05270" w:rsidRDefault="00A131AD" w:rsidP="000C0138">
            <w:pPr>
              <w:spacing w:line="276" w:lineRule="auto"/>
              <w:jc w:val="right"/>
              <w:cnfStyle w:val="010000000000" w:firstRow="0" w:lastRow="1" w:firstColumn="0" w:lastColumn="0" w:oddVBand="0" w:evenVBand="0" w:oddHBand="0" w:evenHBand="0" w:firstRowFirstColumn="0" w:firstRowLastColumn="0" w:lastRowFirstColumn="0" w:lastRowLastColumn="0"/>
              <w:rPr>
                <w:rFonts w:ascii="Times New Roman" w:hAnsi="Times New Roman"/>
                <w:b w:val="0"/>
              </w:rPr>
            </w:pPr>
            <w:r w:rsidRPr="00E05270">
              <w:rPr>
                <w:rFonts w:ascii="Times New Roman" w:hAnsi="Times New Roman"/>
                <w:b w:val="0"/>
                <w:lang w:val="hr-HR"/>
              </w:rPr>
              <w:t>5(1,3%)</w:t>
            </w:r>
          </w:p>
        </w:tc>
        <w:tc>
          <w:tcPr>
            <w:cnfStyle w:val="000010000000" w:firstRow="0" w:lastRow="0" w:firstColumn="0" w:lastColumn="0" w:oddVBand="1" w:evenVBand="0" w:oddHBand="0" w:evenHBand="0" w:firstRowFirstColumn="0" w:firstRowLastColumn="0" w:lastRowFirstColumn="0" w:lastRowLastColumn="0"/>
            <w:tcW w:w="1011" w:type="dxa"/>
          </w:tcPr>
          <w:p w:rsidR="00A131AD" w:rsidRPr="00E05270" w:rsidRDefault="00A131AD" w:rsidP="000C0138">
            <w:pPr>
              <w:spacing w:line="276" w:lineRule="auto"/>
              <w:jc w:val="right"/>
              <w:rPr>
                <w:rFonts w:ascii="Times New Roman" w:hAnsi="Times New Roman"/>
                <w:b w:val="0"/>
              </w:rPr>
            </w:pPr>
            <w:r w:rsidRPr="00E05270">
              <w:rPr>
                <w:rFonts w:ascii="Times New Roman" w:hAnsi="Times New Roman"/>
                <w:b w:val="0"/>
              </w:rPr>
              <w:t>182</w:t>
            </w:r>
          </w:p>
        </w:tc>
        <w:tc>
          <w:tcPr>
            <w:tcW w:w="1559" w:type="dxa"/>
          </w:tcPr>
          <w:p w:rsidR="00A131AD" w:rsidRPr="00E05270" w:rsidRDefault="00A131AD" w:rsidP="000C0138">
            <w:pPr>
              <w:spacing w:line="276" w:lineRule="auto"/>
              <w:jc w:val="right"/>
              <w:cnfStyle w:val="010000000000" w:firstRow="0" w:lastRow="1" w:firstColumn="0" w:lastColumn="0" w:oddVBand="0" w:evenVBand="0" w:oddHBand="0" w:evenHBand="0" w:firstRowFirstColumn="0" w:firstRowLastColumn="0" w:lastRowFirstColumn="0" w:lastRowLastColumn="0"/>
              <w:rPr>
                <w:rFonts w:ascii="Times New Roman" w:hAnsi="Times New Roman"/>
                <w:b w:val="0"/>
              </w:rPr>
            </w:pPr>
            <w:r w:rsidRPr="00E05270">
              <w:rPr>
                <w:rFonts w:ascii="Times New Roman" w:hAnsi="Times New Roman"/>
                <w:b w:val="0"/>
              </w:rPr>
              <w:t>13 (7,1%)</w:t>
            </w:r>
          </w:p>
        </w:tc>
        <w:tc>
          <w:tcPr>
            <w:cnfStyle w:val="000010000000" w:firstRow="0" w:lastRow="0" w:firstColumn="0" w:lastColumn="0" w:oddVBand="1" w:evenVBand="0" w:oddHBand="0" w:evenHBand="0" w:firstRowFirstColumn="0" w:firstRowLastColumn="0" w:lastRowFirstColumn="0" w:lastRowLastColumn="0"/>
            <w:tcW w:w="992" w:type="dxa"/>
            <w:gridSpan w:val="2"/>
          </w:tcPr>
          <w:p w:rsidR="00A131AD" w:rsidRPr="00E05270" w:rsidRDefault="00A131AD" w:rsidP="000C0138">
            <w:pPr>
              <w:spacing w:line="276" w:lineRule="auto"/>
              <w:jc w:val="right"/>
              <w:rPr>
                <w:rFonts w:ascii="Times New Roman" w:hAnsi="Times New Roman"/>
                <w:b w:val="0"/>
              </w:rPr>
            </w:pPr>
            <w:r w:rsidRPr="00E05270">
              <w:rPr>
                <w:rFonts w:ascii="Times New Roman" w:hAnsi="Times New Roman"/>
                <w:b w:val="0"/>
              </w:rPr>
              <w:t>8215</w:t>
            </w:r>
          </w:p>
        </w:tc>
        <w:tc>
          <w:tcPr>
            <w:cnfStyle w:val="000100000000" w:firstRow="0" w:lastRow="0" w:firstColumn="0" w:lastColumn="1" w:oddVBand="0" w:evenVBand="0" w:oddHBand="0" w:evenHBand="0" w:firstRowFirstColumn="0" w:firstRowLastColumn="0" w:lastRowFirstColumn="0" w:lastRowLastColumn="0"/>
            <w:tcW w:w="1701" w:type="dxa"/>
          </w:tcPr>
          <w:p w:rsidR="00A131AD" w:rsidRPr="00E05270" w:rsidRDefault="00A131AD" w:rsidP="000C0138">
            <w:pPr>
              <w:spacing w:line="276" w:lineRule="auto"/>
              <w:jc w:val="right"/>
              <w:rPr>
                <w:rFonts w:ascii="Times New Roman" w:hAnsi="Times New Roman"/>
                <w:b w:val="0"/>
              </w:rPr>
            </w:pPr>
            <w:r w:rsidRPr="00E05270">
              <w:rPr>
                <w:rFonts w:ascii="Times New Roman" w:hAnsi="Times New Roman"/>
                <w:b w:val="0"/>
              </w:rPr>
              <w:t>486 (5,9%)</w:t>
            </w:r>
          </w:p>
        </w:tc>
      </w:tr>
    </w:tbl>
    <w:p w:rsidR="00A131AD" w:rsidRPr="00155F80" w:rsidRDefault="00A131AD" w:rsidP="000C0138">
      <w:pPr>
        <w:pStyle w:val="tabele0"/>
        <w:spacing w:line="276" w:lineRule="auto"/>
        <w:ind w:left="0" w:firstLine="0"/>
        <w:jc w:val="both"/>
        <w:rPr>
          <w:i w:val="0"/>
        </w:rPr>
      </w:pPr>
    </w:p>
    <w:p w:rsidR="00A131AD" w:rsidRPr="00155F80" w:rsidRDefault="00A131AD" w:rsidP="000C0138">
      <w:pPr>
        <w:spacing w:line="276" w:lineRule="auto"/>
        <w:rPr>
          <w:rFonts w:ascii="Times New Roman" w:hAnsi="Times New Roman"/>
        </w:rPr>
      </w:pPr>
      <w:r w:rsidRPr="00155F80">
        <w:rPr>
          <w:rFonts w:ascii="Times New Roman" w:hAnsi="Times New Roman"/>
        </w:rPr>
        <w:t>U s</w:t>
      </w:r>
      <w:r w:rsidR="00550EF6">
        <w:rPr>
          <w:rFonts w:ascii="Times New Roman" w:hAnsi="Times New Roman"/>
        </w:rPr>
        <w:t>ustavu</w:t>
      </w:r>
      <w:r w:rsidRPr="00155F80">
        <w:rPr>
          <w:rFonts w:ascii="Times New Roman" w:hAnsi="Times New Roman"/>
        </w:rPr>
        <w:t xml:space="preserve"> kontrole zdravstvene ispravnosti namirnica se povremeno provodi ciljani monitoring namirnica i predmeta op</w:t>
      </w:r>
      <w:r w:rsidR="00550EF6">
        <w:rPr>
          <w:rFonts w:ascii="Times New Roman" w:hAnsi="Times New Roman"/>
        </w:rPr>
        <w:t>ć</w:t>
      </w:r>
      <w:r w:rsidRPr="00155F80">
        <w:rPr>
          <w:rFonts w:ascii="Times New Roman" w:hAnsi="Times New Roman"/>
        </w:rPr>
        <w:t>e upor</w:t>
      </w:r>
      <w:r w:rsidR="00550EF6">
        <w:rPr>
          <w:rFonts w:ascii="Times New Roman" w:hAnsi="Times New Roman"/>
        </w:rPr>
        <w:t>a</w:t>
      </w:r>
      <w:r w:rsidRPr="00155F80">
        <w:rPr>
          <w:rFonts w:ascii="Times New Roman" w:hAnsi="Times New Roman"/>
        </w:rPr>
        <w:t>be, ali kontinuirani monitoring, propisan zakonskim aktima i neophodan za ocjenu ut</w:t>
      </w:r>
      <w:r w:rsidR="00550EF6">
        <w:rPr>
          <w:rFonts w:ascii="Times New Roman" w:hAnsi="Times New Roman"/>
        </w:rPr>
        <w:t>je</w:t>
      </w:r>
      <w:r w:rsidRPr="00155F80">
        <w:rPr>
          <w:rFonts w:ascii="Times New Roman" w:hAnsi="Times New Roman"/>
        </w:rPr>
        <w:t xml:space="preserve">caja na zdravlje, se ne provodi.  </w:t>
      </w:r>
    </w:p>
    <w:p w:rsidR="00A131AD" w:rsidRPr="00155F80" w:rsidRDefault="00A131AD" w:rsidP="000C0138">
      <w:pPr>
        <w:spacing w:line="276" w:lineRule="auto"/>
        <w:rPr>
          <w:rFonts w:ascii="Times New Roman" w:hAnsi="Times New Roman"/>
          <w:color w:val="000000"/>
          <w:spacing w:val="6"/>
          <w:lang w:val="hr-HR"/>
        </w:rPr>
      </w:pPr>
      <w:r w:rsidRPr="00155F80">
        <w:rPr>
          <w:rFonts w:ascii="Times New Roman" w:hAnsi="Times New Roman"/>
        </w:rPr>
        <w:t>Nepohodna revizija obrazaca za zdravstveno statističko izvješ</w:t>
      </w:r>
      <w:r w:rsidR="00550EF6">
        <w:rPr>
          <w:rFonts w:ascii="Times New Roman" w:hAnsi="Times New Roman"/>
        </w:rPr>
        <w:t>ći</w:t>
      </w:r>
      <w:r w:rsidRPr="00155F80">
        <w:rPr>
          <w:rFonts w:ascii="Times New Roman" w:hAnsi="Times New Roman"/>
        </w:rPr>
        <w:t>vanje o zdravstvenoj ispravnosti namirnica i predmeta op</w:t>
      </w:r>
      <w:r w:rsidR="00550EF6">
        <w:rPr>
          <w:rFonts w:ascii="Times New Roman" w:hAnsi="Times New Roman"/>
        </w:rPr>
        <w:t>ć</w:t>
      </w:r>
      <w:r w:rsidRPr="00155F80">
        <w:rPr>
          <w:rFonts w:ascii="Times New Roman" w:hAnsi="Times New Roman"/>
        </w:rPr>
        <w:t>e upor</w:t>
      </w:r>
      <w:r w:rsidR="00550EF6">
        <w:rPr>
          <w:rFonts w:ascii="Times New Roman" w:hAnsi="Times New Roman"/>
        </w:rPr>
        <w:t>a</w:t>
      </w:r>
      <w:r w:rsidRPr="00155F80">
        <w:rPr>
          <w:rFonts w:ascii="Times New Roman" w:hAnsi="Times New Roman"/>
        </w:rPr>
        <w:t>be je u t</w:t>
      </w:r>
      <w:r w:rsidR="00550EF6">
        <w:rPr>
          <w:rFonts w:ascii="Times New Roman" w:hAnsi="Times New Roman"/>
        </w:rPr>
        <w:t>ije</w:t>
      </w:r>
      <w:r w:rsidRPr="00155F80">
        <w:rPr>
          <w:rFonts w:ascii="Times New Roman" w:hAnsi="Times New Roman"/>
        </w:rPr>
        <w:t>ku, a nastavljaju se i aktivnosti na</w:t>
      </w:r>
      <w:r w:rsidRPr="00155F80">
        <w:rPr>
          <w:rFonts w:ascii="Times New Roman" w:hAnsi="Times New Roman"/>
          <w:color w:val="000000"/>
        </w:rPr>
        <w:t xml:space="preserve"> harmonizaciji legislative vezane za zdravstvenu ispravnost hrane sa legislativom E</w:t>
      </w:r>
      <w:r w:rsidR="00550EF6">
        <w:rPr>
          <w:rFonts w:ascii="Times New Roman" w:hAnsi="Times New Roman"/>
          <w:color w:val="000000"/>
        </w:rPr>
        <w:t>u</w:t>
      </w:r>
      <w:r w:rsidRPr="00155F80">
        <w:rPr>
          <w:rFonts w:ascii="Times New Roman" w:hAnsi="Times New Roman"/>
          <w:color w:val="000000"/>
        </w:rPr>
        <w:t xml:space="preserve">ropske unije. </w:t>
      </w:r>
    </w:p>
    <w:p w:rsidR="000A5BE0" w:rsidRPr="00155F80" w:rsidRDefault="000A5BE0" w:rsidP="000C0138">
      <w:pPr>
        <w:spacing w:after="160" w:line="276" w:lineRule="auto"/>
        <w:jc w:val="left"/>
        <w:rPr>
          <w:rFonts w:ascii="Times New Roman" w:hAnsi="Times New Roman"/>
          <w:b/>
          <w:color w:val="000000"/>
          <w:spacing w:val="6"/>
          <w:lang w:val="hr-HR"/>
        </w:rPr>
      </w:pPr>
    </w:p>
    <w:p w:rsidR="00301140" w:rsidRPr="008F6458" w:rsidRDefault="008F6458" w:rsidP="000C0138">
      <w:pPr>
        <w:pStyle w:val="Poglavlje3"/>
        <w:spacing w:line="276" w:lineRule="auto"/>
        <w:rPr>
          <w:i w:val="0"/>
        </w:rPr>
      </w:pPr>
      <w:bookmarkStart w:id="333" w:name="_Toc456095933"/>
      <w:r w:rsidRPr="008F6458">
        <w:rPr>
          <w:i w:val="0"/>
        </w:rPr>
        <w:t xml:space="preserve">4.2.6 </w:t>
      </w:r>
      <w:r w:rsidR="00301140" w:rsidRPr="008F6458">
        <w:rPr>
          <w:i w:val="0"/>
        </w:rPr>
        <w:t>Mine i neeksplodirana ubojita sredstva</w:t>
      </w:r>
      <w:bookmarkEnd w:id="333"/>
    </w:p>
    <w:p w:rsidR="000A5BE0" w:rsidRDefault="00301140" w:rsidP="00250204">
      <w:pPr>
        <w:pStyle w:val="TEKST"/>
      </w:pPr>
      <w:r w:rsidRPr="008F6458">
        <w:t>Prema poda</w:t>
      </w:r>
      <w:r w:rsidR="00550EF6">
        <w:t>t</w:t>
      </w:r>
      <w:r w:rsidRPr="008F6458">
        <w:t xml:space="preserve">cima Centra za uklanjanje mina u BiH, u </w:t>
      </w:r>
      <w:r w:rsidR="00550EF6">
        <w:t>razdoblju</w:t>
      </w:r>
      <w:r w:rsidRPr="008F6458">
        <w:t xml:space="preserve"> od 2013</w:t>
      </w:r>
      <w:r w:rsidR="00EC077A">
        <w:t>.</w:t>
      </w:r>
      <w:r w:rsidR="00550EF6">
        <w:t xml:space="preserve"> do </w:t>
      </w:r>
      <w:r w:rsidRPr="008F6458">
        <w:t>2015</w:t>
      </w:r>
      <w:r w:rsidR="00EC077A">
        <w:t>.</w:t>
      </w:r>
      <w:r w:rsidRPr="008F6458">
        <w:t xml:space="preserve"> godine, na području Federacije BiH od mina i eksplozivnih sredstava </w:t>
      </w:r>
      <w:r w:rsidR="000B12A9">
        <w:t>ozlijeđeno</w:t>
      </w:r>
      <w:r w:rsidRPr="008F6458">
        <w:t xml:space="preserve"> je 15 osoba (od toga 7 djece starosti do 18 godina), dok je smrtno stradalo 8 osoba (od toga 2 djece starosti do 18 godina). Općine u kojima su se najčešće događale </w:t>
      </w:r>
      <w:r w:rsidR="000B12A9">
        <w:t>ozljede</w:t>
      </w:r>
      <w:r w:rsidRPr="008F6458">
        <w:t xml:space="preserve"> i smrtni slučajevi su: Had</w:t>
      </w:r>
      <w:r w:rsidR="008F6458">
        <w:t>žići, Gradačac i Bosanska Krupa</w:t>
      </w:r>
      <w:r w:rsidR="00B37E7E">
        <w:t>.</w:t>
      </w:r>
    </w:p>
    <w:p w:rsidR="00B37E7E" w:rsidRDefault="00B37E7E" w:rsidP="00250204">
      <w:pPr>
        <w:pStyle w:val="TEKST"/>
      </w:pPr>
    </w:p>
    <w:p w:rsidR="008F6458" w:rsidRPr="008F6458" w:rsidRDefault="008F6458" w:rsidP="00250204">
      <w:pPr>
        <w:pStyle w:val="TEKST"/>
      </w:pPr>
    </w:p>
    <w:p w:rsidR="00A131AD" w:rsidRPr="00155F80" w:rsidRDefault="008F6458" w:rsidP="000C0138">
      <w:pPr>
        <w:spacing w:after="160" w:line="276" w:lineRule="auto"/>
        <w:jc w:val="left"/>
        <w:rPr>
          <w:rFonts w:ascii="Times New Roman" w:hAnsi="Times New Roman"/>
          <w:b/>
          <w:spacing w:val="6"/>
          <w:lang w:val="hr-HR"/>
        </w:rPr>
      </w:pPr>
      <w:bookmarkStart w:id="334" w:name="_Toc456095934"/>
      <w:r>
        <w:rPr>
          <w:rStyle w:val="Poglavlje3Char"/>
          <w:i w:val="0"/>
          <w:color w:val="auto"/>
        </w:rPr>
        <w:t>4.2.7</w:t>
      </w:r>
      <w:r w:rsidR="000E1376" w:rsidRPr="00155F80">
        <w:rPr>
          <w:rStyle w:val="Poglavlje3Char"/>
          <w:i w:val="0"/>
          <w:color w:val="auto"/>
        </w:rPr>
        <w:t xml:space="preserve"> </w:t>
      </w:r>
      <w:r w:rsidR="000B12A9">
        <w:rPr>
          <w:rStyle w:val="Poglavlje3Char"/>
          <w:i w:val="0"/>
          <w:color w:val="auto"/>
        </w:rPr>
        <w:t>Prometni</w:t>
      </w:r>
      <w:r w:rsidR="00A131AD" w:rsidRPr="00155F80">
        <w:rPr>
          <w:rStyle w:val="Poglavlje3Char"/>
          <w:i w:val="0"/>
          <w:color w:val="auto"/>
        </w:rPr>
        <w:t xml:space="preserve"> traumatizam</w:t>
      </w:r>
      <w:bookmarkEnd w:id="334"/>
      <w:r w:rsidR="00B25236" w:rsidRPr="00155F80">
        <w:rPr>
          <w:rFonts w:ascii="Times New Roman" w:hAnsi="Times New Roman"/>
          <w:lang w:val="bs-Latn-BA"/>
        </w:rPr>
        <w:t xml:space="preserve"> </w:t>
      </w:r>
    </w:p>
    <w:p w:rsidR="00A131AD" w:rsidRPr="00155F80" w:rsidRDefault="00A131AD" w:rsidP="00250204">
      <w:pPr>
        <w:pStyle w:val="TEKST"/>
        <w:rPr>
          <w:i/>
        </w:rPr>
      </w:pPr>
      <w:r w:rsidRPr="00155F80">
        <w:t>U analizi zdravstvenoga stanja stanovništva, pokazatelji o trendovima prometnoga traumatizma značajni  su za procjenu stanja sigurnosti u prometu i identifi</w:t>
      </w:r>
      <w:r w:rsidR="000B12A9">
        <w:t>ciranje</w:t>
      </w:r>
      <w:r w:rsidRPr="00155F80">
        <w:t xml:space="preserve"> vodećih </w:t>
      </w:r>
      <w:r w:rsidR="000B12A9">
        <w:t>čimbenika</w:t>
      </w:r>
      <w:r w:rsidRPr="00155F80">
        <w:t xml:space="preserve"> rizika, koji zahtjevaju intersektorske preventivne intervencije. </w:t>
      </w:r>
    </w:p>
    <w:p w:rsidR="00A131AD" w:rsidRPr="00155F80" w:rsidRDefault="00A131AD" w:rsidP="00250204">
      <w:pPr>
        <w:pStyle w:val="TEKST"/>
        <w:rPr>
          <w:i/>
        </w:rPr>
      </w:pPr>
      <w:r w:rsidRPr="00155F80">
        <w:t>Prema poda</w:t>
      </w:r>
      <w:r w:rsidR="000B12A9">
        <w:t>t</w:t>
      </w:r>
      <w:r w:rsidRPr="00155F80">
        <w:t>cima Federalnog ministarstva unut</w:t>
      </w:r>
      <w:r w:rsidR="000B12A9">
        <w:t>a</w:t>
      </w:r>
      <w:r w:rsidRPr="00155F80">
        <w:t>rnjih poslova,</w:t>
      </w:r>
      <w:r w:rsidRPr="00155F80">
        <w:rPr>
          <w:iCs/>
        </w:rPr>
        <w:t xml:space="preserve"> </w:t>
      </w:r>
      <w:r w:rsidRPr="00155F80">
        <w:t>u odnosu na ukupan broj prometnih nezgoda, bilježi se trend porasta od 28.433 prometnih nezgoda u 2010. god. do 28.978 u 2015. godini, s trendom smanjenja broja poginulih osoba u prometnim nezgodama od 197 u 2010. god do 185 u 2015. god.</w:t>
      </w:r>
      <w:r w:rsidR="00BE1C06">
        <w:t>ini,</w:t>
      </w:r>
      <w:r w:rsidRPr="00155F80">
        <w:t xml:space="preserve"> te porasta  broja ozlijeđenih osoba u prometnim nezgodama od 6.732 u 2010. godini do 7.246 u 2015. godini. </w:t>
      </w:r>
    </w:p>
    <w:p w:rsidR="00A131AD" w:rsidRDefault="00A131AD" w:rsidP="00250204">
      <w:pPr>
        <w:pStyle w:val="TEKST"/>
      </w:pPr>
      <w:r w:rsidRPr="00155F80">
        <w:t>Navedeni poda</w:t>
      </w:r>
      <w:r w:rsidR="000B12A9">
        <w:t>t</w:t>
      </w:r>
      <w:r w:rsidRPr="00155F80">
        <w:t>ci argumentiraju potrebu održavanja sigurnosnih mjera kontrole u prometu na području FBiH od strane Federalnog ministarstva unut</w:t>
      </w:r>
      <w:r w:rsidR="000B12A9">
        <w:t>a</w:t>
      </w:r>
      <w:r w:rsidRPr="00155F80">
        <w:t>rnjih poslova i određenih intersektorskih javnozdravstvenih kampanja prevencije prometnog traumatizma u Federaciji BiH.</w:t>
      </w:r>
    </w:p>
    <w:p w:rsidR="00BE1C06" w:rsidRPr="00155F80" w:rsidRDefault="00BE1C06" w:rsidP="00250204">
      <w:pPr>
        <w:pStyle w:val="TEKST"/>
      </w:pPr>
    </w:p>
    <w:p w:rsidR="00A131AD" w:rsidRPr="00155F80" w:rsidRDefault="00A131AD" w:rsidP="00B37E7E">
      <w:pPr>
        <w:pStyle w:val="refererere"/>
      </w:pPr>
      <w:r w:rsidRPr="00155F80">
        <w:t>Tabl</w:t>
      </w:r>
      <w:r w:rsidR="000B12A9">
        <w:t>ic</w:t>
      </w:r>
      <w:r w:rsidRPr="00155F80">
        <w:t xml:space="preserve">a 23: </w:t>
      </w:r>
      <w:r w:rsidR="000B12A9">
        <w:t>Prometne</w:t>
      </w:r>
      <w:r w:rsidRPr="00155F80">
        <w:t xml:space="preserve"> nezgode, poginule i povrijeđene osobe u Federaciji BiH, za period 2010.-2015.godina</w:t>
      </w:r>
    </w:p>
    <w:tbl>
      <w:tblPr>
        <w:tblW w:w="898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5"/>
        <w:gridCol w:w="1804"/>
        <w:gridCol w:w="2012"/>
        <w:gridCol w:w="2154"/>
        <w:gridCol w:w="2240"/>
      </w:tblGrid>
      <w:tr w:rsidR="00A131AD" w:rsidRPr="00155F80" w:rsidTr="001911A6">
        <w:trPr>
          <w:trHeight w:val="393"/>
        </w:trPr>
        <w:tc>
          <w:tcPr>
            <w:tcW w:w="775"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A131AD" w:rsidRPr="003066C2" w:rsidRDefault="00A131AD" w:rsidP="000C0138">
            <w:pPr>
              <w:pStyle w:val="BodyText"/>
              <w:spacing w:line="276" w:lineRule="auto"/>
              <w:jc w:val="center"/>
              <w:rPr>
                <w:rFonts w:ascii="Times New Roman" w:hAnsi="Times New Roman"/>
                <w:b/>
                <w:lang w:val="bs-Latn-BA"/>
              </w:rPr>
            </w:pPr>
            <w:r w:rsidRPr="003066C2">
              <w:rPr>
                <w:rFonts w:ascii="Times New Roman" w:hAnsi="Times New Roman"/>
                <w:b/>
                <w:lang w:val="bs-Latn-BA"/>
              </w:rPr>
              <w:t>God.</w:t>
            </w:r>
          </w:p>
        </w:tc>
        <w:tc>
          <w:tcPr>
            <w:tcW w:w="1804"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A131AD" w:rsidRPr="003066C2" w:rsidRDefault="00A131AD" w:rsidP="000C0138">
            <w:pPr>
              <w:pStyle w:val="BodyText"/>
              <w:spacing w:line="276" w:lineRule="auto"/>
              <w:jc w:val="center"/>
              <w:rPr>
                <w:rFonts w:ascii="Times New Roman" w:hAnsi="Times New Roman"/>
                <w:b/>
                <w:lang w:val="bs-Latn-BA"/>
              </w:rPr>
            </w:pPr>
            <w:r w:rsidRPr="003066C2">
              <w:rPr>
                <w:rFonts w:ascii="Times New Roman" w:hAnsi="Times New Roman"/>
                <w:b/>
                <w:lang w:val="bs-Latn-BA"/>
              </w:rPr>
              <w:t xml:space="preserve">Ukupan broj prometnih nezgoda </w:t>
            </w:r>
          </w:p>
        </w:tc>
        <w:tc>
          <w:tcPr>
            <w:tcW w:w="2012"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A131AD" w:rsidRPr="003066C2" w:rsidRDefault="00A131AD" w:rsidP="000C0138">
            <w:pPr>
              <w:pStyle w:val="BodyText"/>
              <w:spacing w:line="276" w:lineRule="auto"/>
              <w:jc w:val="center"/>
              <w:rPr>
                <w:rFonts w:ascii="Times New Roman" w:hAnsi="Times New Roman"/>
                <w:b/>
                <w:lang w:val="bs-Latn-BA"/>
              </w:rPr>
            </w:pPr>
            <w:r w:rsidRPr="003066C2">
              <w:rPr>
                <w:rFonts w:ascii="Times New Roman" w:hAnsi="Times New Roman"/>
                <w:b/>
                <w:lang w:val="bs-Latn-BA"/>
              </w:rPr>
              <w:t>Broj prometnih nezgoda na 1000 stanovnika</w:t>
            </w:r>
          </w:p>
        </w:tc>
        <w:tc>
          <w:tcPr>
            <w:tcW w:w="2154"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A131AD" w:rsidRPr="003066C2" w:rsidRDefault="00A131AD" w:rsidP="000C0138">
            <w:pPr>
              <w:pStyle w:val="BodyText"/>
              <w:spacing w:line="276" w:lineRule="auto"/>
              <w:jc w:val="center"/>
              <w:rPr>
                <w:rFonts w:ascii="Times New Roman" w:hAnsi="Times New Roman"/>
                <w:b/>
                <w:lang w:val="bs-Latn-BA"/>
              </w:rPr>
            </w:pPr>
            <w:r w:rsidRPr="003066C2">
              <w:rPr>
                <w:rFonts w:ascii="Times New Roman" w:hAnsi="Times New Roman"/>
                <w:b/>
                <w:lang w:val="bs-Latn-BA"/>
              </w:rPr>
              <w:t xml:space="preserve">Poginule osobe u prometnim nezgodama </w:t>
            </w:r>
          </w:p>
        </w:tc>
        <w:tc>
          <w:tcPr>
            <w:tcW w:w="2240"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A131AD" w:rsidRPr="003066C2" w:rsidRDefault="000B12A9" w:rsidP="000C0138">
            <w:pPr>
              <w:pStyle w:val="BodyText"/>
              <w:spacing w:line="276" w:lineRule="auto"/>
              <w:jc w:val="center"/>
              <w:rPr>
                <w:rFonts w:ascii="Times New Roman" w:hAnsi="Times New Roman"/>
                <w:b/>
                <w:lang w:val="bs-Latn-BA"/>
              </w:rPr>
            </w:pPr>
            <w:r>
              <w:rPr>
                <w:rFonts w:ascii="Times New Roman" w:hAnsi="Times New Roman"/>
                <w:b/>
                <w:lang w:val="bs-Latn-BA"/>
              </w:rPr>
              <w:t>Ozlijeđene</w:t>
            </w:r>
            <w:r w:rsidR="00A131AD" w:rsidRPr="003066C2">
              <w:rPr>
                <w:rFonts w:ascii="Times New Roman" w:hAnsi="Times New Roman"/>
                <w:b/>
                <w:lang w:val="bs-Latn-BA"/>
              </w:rPr>
              <w:t xml:space="preserve"> osobe u prometnim nezgodama </w:t>
            </w:r>
          </w:p>
        </w:tc>
      </w:tr>
      <w:tr w:rsidR="00A131AD" w:rsidRPr="00155F80" w:rsidTr="001911A6">
        <w:trPr>
          <w:trHeight w:val="359"/>
        </w:trPr>
        <w:tc>
          <w:tcPr>
            <w:tcW w:w="775" w:type="dxa"/>
            <w:tcBorders>
              <w:top w:val="single" w:sz="4" w:space="0" w:color="auto"/>
              <w:left w:val="single" w:sz="4" w:space="0" w:color="auto"/>
              <w:bottom w:val="single" w:sz="4" w:space="0" w:color="auto"/>
              <w:right w:val="single" w:sz="4" w:space="0" w:color="auto"/>
            </w:tcBorders>
            <w:vAlign w:val="center"/>
            <w:hideMark/>
          </w:tcPr>
          <w:p w:rsidR="00A131AD" w:rsidRPr="00155F80" w:rsidRDefault="00A131AD" w:rsidP="000C0138">
            <w:pPr>
              <w:pStyle w:val="BodyText"/>
              <w:spacing w:line="276" w:lineRule="auto"/>
              <w:jc w:val="center"/>
              <w:rPr>
                <w:rFonts w:ascii="Times New Roman" w:hAnsi="Times New Roman"/>
                <w:b/>
                <w:lang w:val="bs-Latn-BA"/>
              </w:rPr>
            </w:pPr>
            <w:r w:rsidRPr="00155F80">
              <w:rPr>
                <w:rFonts w:ascii="Times New Roman" w:hAnsi="Times New Roman"/>
                <w:lang w:val="bs-Latn-BA"/>
              </w:rPr>
              <w:t>2010.</w:t>
            </w:r>
          </w:p>
        </w:tc>
        <w:tc>
          <w:tcPr>
            <w:tcW w:w="1804" w:type="dxa"/>
            <w:tcBorders>
              <w:top w:val="single" w:sz="4" w:space="0" w:color="auto"/>
              <w:left w:val="single" w:sz="4" w:space="0" w:color="auto"/>
              <w:bottom w:val="single" w:sz="4" w:space="0" w:color="auto"/>
              <w:right w:val="single" w:sz="4" w:space="0" w:color="auto"/>
            </w:tcBorders>
            <w:vAlign w:val="center"/>
            <w:hideMark/>
          </w:tcPr>
          <w:p w:rsidR="00A131AD" w:rsidRPr="00155F80" w:rsidRDefault="00A131AD" w:rsidP="000C0138">
            <w:pPr>
              <w:pStyle w:val="BodyText"/>
              <w:spacing w:line="276" w:lineRule="auto"/>
              <w:jc w:val="right"/>
              <w:rPr>
                <w:rFonts w:ascii="Times New Roman" w:hAnsi="Times New Roman"/>
                <w:b/>
                <w:lang w:val="bs-Latn-BA"/>
              </w:rPr>
            </w:pPr>
            <w:r w:rsidRPr="00155F80">
              <w:rPr>
                <w:rFonts w:ascii="Times New Roman" w:hAnsi="Times New Roman"/>
                <w:lang w:val="bs-Latn-BA"/>
              </w:rPr>
              <w:t>28.433</w:t>
            </w:r>
          </w:p>
        </w:tc>
        <w:tc>
          <w:tcPr>
            <w:tcW w:w="2012" w:type="dxa"/>
            <w:tcBorders>
              <w:top w:val="single" w:sz="4" w:space="0" w:color="auto"/>
              <w:left w:val="single" w:sz="4" w:space="0" w:color="auto"/>
              <w:bottom w:val="single" w:sz="4" w:space="0" w:color="auto"/>
              <w:right w:val="single" w:sz="4" w:space="0" w:color="auto"/>
            </w:tcBorders>
            <w:vAlign w:val="center"/>
            <w:hideMark/>
          </w:tcPr>
          <w:p w:rsidR="00A131AD" w:rsidRPr="00155F80" w:rsidRDefault="00A131AD" w:rsidP="000C0138">
            <w:pPr>
              <w:pStyle w:val="BodyText"/>
              <w:spacing w:line="276" w:lineRule="auto"/>
              <w:jc w:val="right"/>
              <w:rPr>
                <w:rFonts w:ascii="Times New Roman" w:hAnsi="Times New Roman"/>
                <w:b/>
                <w:lang w:val="bs-Latn-BA"/>
              </w:rPr>
            </w:pPr>
            <w:r w:rsidRPr="00155F80">
              <w:rPr>
                <w:rFonts w:ascii="Times New Roman" w:hAnsi="Times New Roman"/>
                <w:lang w:val="bs-Latn-BA"/>
              </w:rPr>
              <w:t>12,2</w:t>
            </w:r>
          </w:p>
        </w:tc>
        <w:tc>
          <w:tcPr>
            <w:tcW w:w="2154" w:type="dxa"/>
            <w:tcBorders>
              <w:top w:val="single" w:sz="4" w:space="0" w:color="auto"/>
              <w:left w:val="single" w:sz="4" w:space="0" w:color="auto"/>
              <w:bottom w:val="single" w:sz="4" w:space="0" w:color="auto"/>
              <w:right w:val="single" w:sz="4" w:space="0" w:color="auto"/>
            </w:tcBorders>
            <w:vAlign w:val="center"/>
            <w:hideMark/>
          </w:tcPr>
          <w:p w:rsidR="00A131AD" w:rsidRPr="00155F80" w:rsidRDefault="00A131AD" w:rsidP="000C0138">
            <w:pPr>
              <w:pStyle w:val="BodyText"/>
              <w:spacing w:line="276" w:lineRule="auto"/>
              <w:jc w:val="right"/>
              <w:rPr>
                <w:rFonts w:ascii="Times New Roman" w:hAnsi="Times New Roman"/>
                <w:b/>
                <w:lang w:val="bs-Latn-BA"/>
              </w:rPr>
            </w:pPr>
            <w:r w:rsidRPr="00155F80">
              <w:rPr>
                <w:rFonts w:ascii="Times New Roman" w:hAnsi="Times New Roman"/>
                <w:lang w:val="bs-Latn-BA"/>
              </w:rPr>
              <w:t xml:space="preserve">              197</w:t>
            </w:r>
          </w:p>
        </w:tc>
        <w:tc>
          <w:tcPr>
            <w:tcW w:w="2240" w:type="dxa"/>
            <w:tcBorders>
              <w:top w:val="single" w:sz="4" w:space="0" w:color="auto"/>
              <w:left w:val="single" w:sz="4" w:space="0" w:color="auto"/>
              <w:bottom w:val="single" w:sz="4" w:space="0" w:color="auto"/>
              <w:right w:val="single" w:sz="4" w:space="0" w:color="auto"/>
            </w:tcBorders>
            <w:vAlign w:val="center"/>
            <w:hideMark/>
          </w:tcPr>
          <w:p w:rsidR="00A131AD" w:rsidRPr="00155F80" w:rsidRDefault="00A131AD" w:rsidP="000C0138">
            <w:pPr>
              <w:pStyle w:val="BodyText"/>
              <w:spacing w:line="276" w:lineRule="auto"/>
              <w:jc w:val="right"/>
              <w:rPr>
                <w:rFonts w:ascii="Times New Roman" w:hAnsi="Times New Roman"/>
                <w:b/>
                <w:lang w:val="bs-Latn-BA"/>
              </w:rPr>
            </w:pPr>
            <w:r w:rsidRPr="00155F80">
              <w:rPr>
                <w:rFonts w:ascii="Times New Roman" w:hAnsi="Times New Roman"/>
                <w:lang w:val="bs-Latn-BA"/>
              </w:rPr>
              <w:t>6.732</w:t>
            </w:r>
          </w:p>
        </w:tc>
      </w:tr>
      <w:tr w:rsidR="00A131AD" w:rsidRPr="00155F80" w:rsidTr="001911A6">
        <w:trPr>
          <w:trHeight w:val="359"/>
        </w:trPr>
        <w:tc>
          <w:tcPr>
            <w:tcW w:w="775" w:type="dxa"/>
            <w:tcBorders>
              <w:top w:val="single" w:sz="4" w:space="0" w:color="auto"/>
              <w:left w:val="single" w:sz="4" w:space="0" w:color="auto"/>
              <w:bottom w:val="single" w:sz="4" w:space="0" w:color="auto"/>
              <w:right w:val="single" w:sz="4" w:space="0" w:color="auto"/>
            </w:tcBorders>
            <w:vAlign w:val="center"/>
            <w:hideMark/>
          </w:tcPr>
          <w:p w:rsidR="00A131AD" w:rsidRPr="00155F80" w:rsidRDefault="00A131AD" w:rsidP="000C0138">
            <w:pPr>
              <w:pStyle w:val="BodyText"/>
              <w:spacing w:line="276" w:lineRule="auto"/>
              <w:jc w:val="center"/>
              <w:rPr>
                <w:rFonts w:ascii="Times New Roman" w:hAnsi="Times New Roman"/>
                <w:b/>
                <w:lang w:val="bs-Latn-BA"/>
              </w:rPr>
            </w:pPr>
            <w:r w:rsidRPr="00155F80">
              <w:rPr>
                <w:rFonts w:ascii="Times New Roman" w:hAnsi="Times New Roman"/>
                <w:lang w:val="bs-Latn-BA"/>
              </w:rPr>
              <w:t>2011.</w:t>
            </w:r>
          </w:p>
        </w:tc>
        <w:tc>
          <w:tcPr>
            <w:tcW w:w="1804" w:type="dxa"/>
            <w:tcBorders>
              <w:top w:val="single" w:sz="4" w:space="0" w:color="auto"/>
              <w:left w:val="single" w:sz="4" w:space="0" w:color="auto"/>
              <w:bottom w:val="single" w:sz="4" w:space="0" w:color="auto"/>
              <w:right w:val="single" w:sz="4" w:space="0" w:color="auto"/>
            </w:tcBorders>
            <w:vAlign w:val="center"/>
            <w:hideMark/>
          </w:tcPr>
          <w:p w:rsidR="00A131AD" w:rsidRPr="00155F80" w:rsidRDefault="00A131AD" w:rsidP="000C0138">
            <w:pPr>
              <w:pStyle w:val="BodyText"/>
              <w:spacing w:line="276" w:lineRule="auto"/>
              <w:jc w:val="right"/>
              <w:rPr>
                <w:rFonts w:ascii="Times New Roman" w:hAnsi="Times New Roman"/>
                <w:b/>
                <w:lang w:val="bs-Latn-BA"/>
              </w:rPr>
            </w:pPr>
            <w:r w:rsidRPr="00155F80">
              <w:rPr>
                <w:rFonts w:ascii="Times New Roman" w:hAnsi="Times New Roman"/>
                <w:lang w:val="bs-Latn-BA"/>
              </w:rPr>
              <w:t>27.902</w:t>
            </w:r>
          </w:p>
        </w:tc>
        <w:tc>
          <w:tcPr>
            <w:tcW w:w="2012" w:type="dxa"/>
            <w:tcBorders>
              <w:top w:val="single" w:sz="4" w:space="0" w:color="auto"/>
              <w:left w:val="single" w:sz="4" w:space="0" w:color="auto"/>
              <w:bottom w:val="single" w:sz="4" w:space="0" w:color="auto"/>
              <w:right w:val="single" w:sz="4" w:space="0" w:color="auto"/>
            </w:tcBorders>
            <w:vAlign w:val="center"/>
            <w:hideMark/>
          </w:tcPr>
          <w:p w:rsidR="00A131AD" w:rsidRPr="00155F80" w:rsidRDefault="00A131AD" w:rsidP="000C0138">
            <w:pPr>
              <w:pStyle w:val="BodyText"/>
              <w:spacing w:line="276" w:lineRule="auto"/>
              <w:jc w:val="right"/>
              <w:rPr>
                <w:rFonts w:ascii="Times New Roman" w:hAnsi="Times New Roman"/>
                <w:b/>
                <w:lang w:val="bs-Latn-BA"/>
              </w:rPr>
            </w:pPr>
            <w:r w:rsidRPr="00155F80">
              <w:rPr>
                <w:rFonts w:ascii="Times New Roman" w:hAnsi="Times New Roman"/>
                <w:lang w:val="bs-Latn-BA"/>
              </w:rPr>
              <w:t xml:space="preserve">                  11,8</w:t>
            </w:r>
          </w:p>
        </w:tc>
        <w:tc>
          <w:tcPr>
            <w:tcW w:w="2154" w:type="dxa"/>
            <w:tcBorders>
              <w:top w:val="single" w:sz="4" w:space="0" w:color="auto"/>
              <w:left w:val="single" w:sz="4" w:space="0" w:color="auto"/>
              <w:bottom w:val="single" w:sz="4" w:space="0" w:color="auto"/>
              <w:right w:val="single" w:sz="4" w:space="0" w:color="auto"/>
            </w:tcBorders>
            <w:vAlign w:val="center"/>
            <w:hideMark/>
          </w:tcPr>
          <w:p w:rsidR="00A131AD" w:rsidRPr="00155F80" w:rsidRDefault="00A131AD" w:rsidP="000C0138">
            <w:pPr>
              <w:pStyle w:val="BodyText"/>
              <w:spacing w:line="276" w:lineRule="auto"/>
              <w:jc w:val="right"/>
              <w:rPr>
                <w:rFonts w:ascii="Times New Roman" w:hAnsi="Times New Roman"/>
                <w:b/>
                <w:lang w:val="bs-Latn-BA"/>
              </w:rPr>
            </w:pPr>
            <w:r w:rsidRPr="00155F80">
              <w:rPr>
                <w:rFonts w:ascii="Times New Roman" w:hAnsi="Times New Roman"/>
                <w:lang w:val="bs-Latn-BA"/>
              </w:rPr>
              <w:t xml:space="preserve">             170</w:t>
            </w:r>
          </w:p>
        </w:tc>
        <w:tc>
          <w:tcPr>
            <w:tcW w:w="2240" w:type="dxa"/>
            <w:tcBorders>
              <w:top w:val="single" w:sz="4" w:space="0" w:color="auto"/>
              <w:left w:val="single" w:sz="4" w:space="0" w:color="auto"/>
              <w:bottom w:val="single" w:sz="4" w:space="0" w:color="auto"/>
              <w:right w:val="single" w:sz="4" w:space="0" w:color="auto"/>
            </w:tcBorders>
            <w:vAlign w:val="center"/>
            <w:hideMark/>
          </w:tcPr>
          <w:p w:rsidR="00A131AD" w:rsidRPr="00155F80" w:rsidRDefault="00A131AD" w:rsidP="000C0138">
            <w:pPr>
              <w:pStyle w:val="BodyText"/>
              <w:spacing w:line="276" w:lineRule="auto"/>
              <w:jc w:val="right"/>
              <w:rPr>
                <w:rFonts w:ascii="Times New Roman" w:hAnsi="Times New Roman"/>
                <w:b/>
                <w:lang w:val="bs-Latn-BA"/>
              </w:rPr>
            </w:pPr>
            <w:r w:rsidRPr="00155F80">
              <w:rPr>
                <w:rFonts w:ascii="Times New Roman" w:hAnsi="Times New Roman"/>
                <w:lang w:val="bs-Latn-BA"/>
              </w:rPr>
              <w:t>6.491</w:t>
            </w:r>
          </w:p>
        </w:tc>
      </w:tr>
      <w:tr w:rsidR="00A131AD" w:rsidRPr="00155F80" w:rsidTr="001911A6">
        <w:trPr>
          <w:trHeight w:val="359"/>
        </w:trPr>
        <w:tc>
          <w:tcPr>
            <w:tcW w:w="775" w:type="dxa"/>
            <w:tcBorders>
              <w:top w:val="single" w:sz="4" w:space="0" w:color="auto"/>
              <w:left w:val="single" w:sz="4" w:space="0" w:color="auto"/>
              <w:bottom w:val="single" w:sz="4" w:space="0" w:color="auto"/>
              <w:right w:val="single" w:sz="4" w:space="0" w:color="auto"/>
            </w:tcBorders>
            <w:vAlign w:val="center"/>
            <w:hideMark/>
          </w:tcPr>
          <w:p w:rsidR="00A131AD" w:rsidRPr="00155F80" w:rsidRDefault="00A131AD" w:rsidP="000C0138">
            <w:pPr>
              <w:pStyle w:val="BodyText"/>
              <w:spacing w:line="276" w:lineRule="auto"/>
              <w:jc w:val="center"/>
              <w:rPr>
                <w:rFonts w:ascii="Times New Roman" w:hAnsi="Times New Roman"/>
                <w:b/>
                <w:lang w:val="bs-Latn-BA"/>
              </w:rPr>
            </w:pPr>
            <w:r w:rsidRPr="00155F80">
              <w:rPr>
                <w:rFonts w:ascii="Times New Roman" w:hAnsi="Times New Roman"/>
                <w:lang w:val="bs-Latn-BA"/>
              </w:rPr>
              <w:lastRenderedPageBreak/>
              <w:t>2012.</w:t>
            </w:r>
          </w:p>
        </w:tc>
        <w:tc>
          <w:tcPr>
            <w:tcW w:w="1804" w:type="dxa"/>
            <w:tcBorders>
              <w:top w:val="single" w:sz="4" w:space="0" w:color="auto"/>
              <w:left w:val="single" w:sz="4" w:space="0" w:color="auto"/>
              <w:bottom w:val="single" w:sz="4" w:space="0" w:color="auto"/>
              <w:right w:val="single" w:sz="4" w:space="0" w:color="auto"/>
            </w:tcBorders>
            <w:vAlign w:val="center"/>
            <w:hideMark/>
          </w:tcPr>
          <w:p w:rsidR="00A131AD" w:rsidRPr="00155F80" w:rsidRDefault="00A131AD" w:rsidP="000C0138">
            <w:pPr>
              <w:pStyle w:val="BodyText"/>
              <w:spacing w:line="276" w:lineRule="auto"/>
              <w:jc w:val="right"/>
              <w:rPr>
                <w:rFonts w:ascii="Times New Roman" w:hAnsi="Times New Roman"/>
                <w:b/>
                <w:lang w:val="bs-Latn-BA"/>
              </w:rPr>
            </w:pPr>
            <w:r w:rsidRPr="00155F80">
              <w:rPr>
                <w:rFonts w:ascii="Times New Roman" w:hAnsi="Times New Roman"/>
                <w:lang w:val="bs-Latn-BA"/>
              </w:rPr>
              <w:t xml:space="preserve">          25.958</w:t>
            </w:r>
          </w:p>
        </w:tc>
        <w:tc>
          <w:tcPr>
            <w:tcW w:w="2012" w:type="dxa"/>
            <w:tcBorders>
              <w:top w:val="single" w:sz="4" w:space="0" w:color="auto"/>
              <w:left w:val="single" w:sz="4" w:space="0" w:color="auto"/>
              <w:bottom w:val="single" w:sz="4" w:space="0" w:color="auto"/>
              <w:right w:val="single" w:sz="4" w:space="0" w:color="auto"/>
            </w:tcBorders>
            <w:vAlign w:val="center"/>
            <w:hideMark/>
          </w:tcPr>
          <w:p w:rsidR="00A131AD" w:rsidRPr="00155F80" w:rsidRDefault="00A131AD" w:rsidP="000C0138">
            <w:pPr>
              <w:pStyle w:val="BodyText"/>
              <w:spacing w:line="276" w:lineRule="auto"/>
              <w:jc w:val="right"/>
              <w:rPr>
                <w:rFonts w:ascii="Times New Roman" w:hAnsi="Times New Roman"/>
                <w:b/>
                <w:lang w:val="bs-Latn-BA"/>
              </w:rPr>
            </w:pPr>
            <w:r w:rsidRPr="00155F80">
              <w:rPr>
                <w:rFonts w:ascii="Times New Roman" w:hAnsi="Times New Roman"/>
                <w:lang w:val="bs-Latn-BA"/>
              </w:rPr>
              <w:t xml:space="preserve">                 10,9                                                </w:t>
            </w:r>
          </w:p>
        </w:tc>
        <w:tc>
          <w:tcPr>
            <w:tcW w:w="2154" w:type="dxa"/>
            <w:tcBorders>
              <w:top w:val="single" w:sz="4" w:space="0" w:color="auto"/>
              <w:left w:val="single" w:sz="4" w:space="0" w:color="auto"/>
              <w:bottom w:val="single" w:sz="4" w:space="0" w:color="auto"/>
              <w:right w:val="single" w:sz="4" w:space="0" w:color="auto"/>
            </w:tcBorders>
            <w:vAlign w:val="center"/>
            <w:hideMark/>
          </w:tcPr>
          <w:p w:rsidR="00A131AD" w:rsidRPr="00155F80" w:rsidRDefault="00A131AD" w:rsidP="000C0138">
            <w:pPr>
              <w:pStyle w:val="BodyText"/>
              <w:spacing w:line="276" w:lineRule="auto"/>
              <w:jc w:val="right"/>
              <w:rPr>
                <w:rFonts w:ascii="Times New Roman" w:hAnsi="Times New Roman"/>
                <w:b/>
                <w:lang w:val="bs-Latn-BA"/>
              </w:rPr>
            </w:pPr>
            <w:r w:rsidRPr="00155F80">
              <w:rPr>
                <w:rFonts w:ascii="Times New Roman" w:hAnsi="Times New Roman"/>
                <w:lang w:val="bs-Latn-BA"/>
              </w:rPr>
              <w:t xml:space="preserve">             140                           </w:t>
            </w:r>
          </w:p>
        </w:tc>
        <w:tc>
          <w:tcPr>
            <w:tcW w:w="2240" w:type="dxa"/>
            <w:tcBorders>
              <w:top w:val="single" w:sz="4" w:space="0" w:color="auto"/>
              <w:left w:val="single" w:sz="4" w:space="0" w:color="auto"/>
              <w:bottom w:val="single" w:sz="4" w:space="0" w:color="auto"/>
              <w:right w:val="single" w:sz="4" w:space="0" w:color="auto"/>
            </w:tcBorders>
            <w:vAlign w:val="center"/>
            <w:hideMark/>
          </w:tcPr>
          <w:p w:rsidR="00A131AD" w:rsidRPr="00155F80" w:rsidRDefault="00A131AD" w:rsidP="000C0138">
            <w:pPr>
              <w:pStyle w:val="BodyText"/>
              <w:spacing w:line="276" w:lineRule="auto"/>
              <w:jc w:val="right"/>
              <w:rPr>
                <w:rFonts w:ascii="Times New Roman" w:hAnsi="Times New Roman"/>
                <w:b/>
                <w:lang w:val="bs-Latn-BA"/>
              </w:rPr>
            </w:pPr>
            <w:r w:rsidRPr="00155F80">
              <w:rPr>
                <w:rFonts w:ascii="Times New Roman" w:hAnsi="Times New Roman"/>
                <w:lang w:val="bs-Latn-BA"/>
              </w:rPr>
              <w:t xml:space="preserve">      4.359</w:t>
            </w:r>
          </w:p>
        </w:tc>
      </w:tr>
      <w:tr w:rsidR="00A131AD" w:rsidRPr="00155F80" w:rsidTr="001911A6">
        <w:trPr>
          <w:trHeight w:val="359"/>
        </w:trPr>
        <w:tc>
          <w:tcPr>
            <w:tcW w:w="775" w:type="dxa"/>
            <w:tcBorders>
              <w:top w:val="single" w:sz="4" w:space="0" w:color="auto"/>
              <w:left w:val="single" w:sz="4" w:space="0" w:color="auto"/>
              <w:bottom w:val="single" w:sz="4" w:space="0" w:color="auto"/>
              <w:right w:val="single" w:sz="4" w:space="0" w:color="auto"/>
            </w:tcBorders>
            <w:vAlign w:val="center"/>
            <w:hideMark/>
          </w:tcPr>
          <w:p w:rsidR="00A131AD" w:rsidRPr="00155F80" w:rsidRDefault="00A131AD" w:rsidP="000C0138">
            <w:pPr>
              <w:pStyle w:val="BodyText"/>
              <w:spacing w:line="276" w:lineRule="auto"/>
              <w:jc w:val="center"/>
              <w:rPr>
                <w:rFonts w:ascii="Times New Roman" w:hAnsi="Times New Roman"/>
                <w:b/>
                <w:lang w:val="bs-Latn-BA"/>
              </w:rPr>
            </w:pPr>
            <w:r w:rsidRPr="00155F80">
              <w:rPr>
                <w:rFonts w:ascii="Times New Roman" w:hAnsi="Times New Roman"/>
                <w:lang w:val="bs-Latn-BA"/>
              </w:rPr>
              <w:t>2013.</w:t>
            </w:r>
          </w:p>
        </w:tc>
        <w:tc>
          <w:tcPr>
            <w:tcW w:w="1804" w:type="dxa"/>
            <w:tcBorders>
              <w:top w:val="single" w:sz="4" w:space="0" w:color="auto"/>
              <w:left w:val="single" w:sz="4" w:space="0" w:color="auto"/>
              <w:bottom w:val="single" w:sz="4" w:space="0" w:color="auto"/>
              <w:right w:val="single" w:sz="4" w:space="0" w:color="auto"/>
            </w:tcBorders>
            <w:vAlign w:val="center"/>
            <w:hideMark/>
          </w:tcPr>
          <w:p w:rsidR="00A131AD" w:rsidRPr="00155F80" w:rsidRDefault="00A131AD" w:rsidP="000C0138">
            <w:pPr>
              <w:pStyle w:val="BodyText"/>
              <w:spacing w:line="276" w:lineRule="auto"/>
              <w:jc w:val="right"/>
              <w:rPr>
                <w:rFonts w:ascii="Times New Roman" w:hAnsi="Times New Roman"/>
                <w:b/>
                <w:lang w:val="bs-Latn-BA"/>
              </w:rPr>
            </w:pPr>
            <w:r w:rsidRPr="00155F80">
              <w:rPr>
                <w:rFonts w:ascii="Times New Roman" w:hAnsi="Times New Roman"/>
                <w:lang w:val="bs-Latn-BA"/>
              </w:rPr>
              <w:t>26.655</w:t>
            </w:r>
          </w:p>
        </w:tc>
        <w:tc>
          <w:tcPr>
            <w:tcW w:w="2012" w:type="dxa"/>
            <w:tcBorders>
              <w:top w:val="single" w:sz="4" w:space="0" w:color="auto"/>
              <w:left w:val="single" w:sz="4" w:space="0" w:color="auto"/>
              <w:bottom w:val="single" w:sz="4" w:space="0" w:color="auto"/>
              <w:right w:val="single" w:sz="4" w:space="0" w:color="auto"/>
            </w:tcBorders>
            <w:vAlign w:val="center"/>
            <w:hideMark/>
          </w:tcPr>
          <w:p w:rsidR="00A131AD" w:rsidRPr="00155F80" w:rsidRDefault="00A131AD" w:rsidP="000C0138">
            <w:pPr>
              <w:pStyle w:val="BodyText"/>
              <w:spacing w:line="276" w:lineRule="auto"/>
              <w:jc w:val="right"/>
              <w:rPr>
                <w:rFonts w:ascii="Times New Roman" w:hAnsi="Times New Roman"/>
                <w:b/>
                <w:lang w:val="bs-Latn-BA"/>
              </w:rPr>
            </w:pPr>
            <w:r w:rsidRPr="00155F80">
              <w:rPr>
                <w:rFonts w:ascii="Times New Roman" w:hAnsi="Times New Roman"/>
                <w:lang w:val="bs-Latn-BA"/>
              </w:rPr>
              <w:t>12,8</w:t>
            </w:r>
          </w:p>
        </w:tc>
        <w:tc>
          <w:tcPr>
            <w:tcW w:w="2154" w:type="dxa"/>
            <w:tcBorders>
              <w:top w:val="single" w:sz="4" w:space="0" w:color="auto"/>
              <w:left w:val="single" w:sz="4" w:space="0" w:color="auto"/>
              <w:bottom w:val="single" w:sz="4" w:space="0" w:color="auto"/>
              <w:right w:val="single" w:sz="4" w:space="0" w:color="auto"/>
            </w:tcBorders>
            <w:vAlign w:val="center"/>
            <w:hideMark/>
          </w:tcPr>
          <w:p w:rsidR="00A131AD" w:rsidRPr="00155F80" w:rsidRDefault="00A131AD" w:rsidP="000C0138">
            <w:pPr>
              <w:pStyle w:val="BodyText"/>
              <w:spacing w:line="276" w:lineRule="auto"/>
              <w:jc w:val="right"/>
              <w:rPr>
                <w:rFonts w:ascii="Times New Roman" w:hAnsi="Times New Roman"/>
                <w:b/>
                <w:lang w:val="bs-Latn-BA"/>
              </w:rPr>
            </w:pPr>
            <w:r w:rsidRPr="00155F80">
              <w:rPr>
                <w:rFonts w:ascii="Times New Roman" w:hAnsi="Times New Roman"/>
                <w:lang w:val="bs-Latn-BA"/>
              </w:rPr>
              <w:t>158</w:t>
            </w:r>
          </w:p>
        </w:tc>
        <w:tc>
          <w:tcPr>
            <w:tcW w:w="2240" w:type="dxa"/>
            <w:tcBorders>
              <w:top w:val="single" w:sz="4" w:space="0" w:color="auto"/>
              <w:left w:val="single" w:sz="4" w:space="0" w:color="auto"/>
              <w:bottom w:val="single" w:sz="4" w:space="0" w:color="auto"/>
              <w:right w:val="single" w:sz="4" w:space="0" w:color="auto"/>
            </w:tcBorders>
            <w:vAlign w:val="center"/>
            <w:hideMark/>
          </w:tcPr>
          <w:p w:rsidR="00A131AD" w:rsidRPr="00155F80" w:rsidRDefault="00A131AD" w:rsidP="000C0138">
            <w:pPr>
              <w:pStyle w:val="BodyText"/>
              <w:spacing w:line="276" w:lineRule="auto"/>
              <w:jc w:val="right"/>
              <w:rPr>
                <w:rFonts w:ascii="Times New Roman" w:hAnsi="Times New Roman"/>
                <w:b/>
                <w:lang w:val="bs-Latn-BA"/>
              </w:rPr>
            </w:pPr>
            <w:r w:rsidRPr="00155F80">
              <w:rPr>
                <w:rFonts w:ascii="Times New Roman" w:hAnsi="Times New Roman"/>
                <w:lang w:val="bs-Latn-BA"/>
              </w:rPr>
              <w:t xml:space="preserve">4.512      </w:t>
            </w:r>
          </w:p>
        </w:tc>
      </w:tr>
      <w:tr w:rsidR="00A131AD" w:rsidRPr="00155F80" w:rsidTr="001911A6">
        <w:trPr>
          <w:trHeight w:val="359"/>
        </w:trPr>
        <w:tc>
          <w:tcPr>
            <w:tcW w:w="775" w:type="dxa"/>
            <w:tcBorders>
              <w:top w:val="single" w:sz="4" w:space="0" w:color="auto"/>
              <w:left w:val="single" w:sz="4" w:space="0" w:color="auto"/>
              <w:bottom w:val="single" w:sz="4" w:space="0" w:color="auto"/>
              <w:right w:val="single" w:sz="4" w:space="0" w:color="auto"/>
            </w:tcBorders>
            <w:vAlign w:val="center"/>
            <w:hideMark/>
          </w:tcPr>
          <w:p w:rsidR="00A131AD" w:rsidRPr="00155F80" w:rsidRDefault="00A131AD" w:rsidP="000C0138">
            <w:pPr>
              <w:pStyle w:val="BodyText"/>
              <w:spacing w:line="276" w:lineRule="auto"/>
              <w:jc w:val="center"/>
              <w:rPr>
                <w:rFonts w:ascii="Times New Roman" w:hAnsi="Times New Roman"/>
                <w:b/>
                <w:lang w:val="bs-Latn-BA"/>
              </w:rPr>
            </w:pPr>
            <w:r w:rsidRPr="00155F80">
              <w:rPr>
                <w:rFonts w:ascii="Times New Roman" w:hAnsi="Times New Roman"/>
                <w:lang w:val="bs-Latn-BA"/>
              </w:rPr>
              <w:t>2014.</w:t>
            </w:r>
          </w:p>
        </w:tc>
        <w:tc>
          <w:tcPr>
            <w:tcW w:w="1804" w:type="dxa"/>
            <w:tcBorders>
              <w:top w:val="single" w:sz="4" w:space="0" w:color="auto"/>
              <w:left w:val="single" w:sz="4" w:space="0" w:color="auto"/>
              <w:bottom w:val="single" w:sz="4" w:space="0" w:color="auto"/>
              <w:right w:val="single" w:sz="4" w:space="0" w:color="auto"/>
            </w:tcBorders>
            <w:vAlign w:val="center"/>
            <w:hideMark/>
          </w:tcPr>
          <w:p w:rsidR="00A131AD" w:rsidRPr="00155F80" w:rsidRDefault="00A131AD" w:rsidP="000C0138">
            <w:pPr>
              <w:pStyle w:val="BodyText"/>
              <w:spacing w:line="276" w:lineRule="auto"/>
              <w:jc w:val="right"/>
              <w:rPr>
                <w:rFonts w:ascii="Times New Roman" w:hAnsi="Times New Roman"/>
                <w:b/>
                <w:lang w:val="bs-Latn-BA"/>
              </w:rPr>
            </w:pPr>
            <w:r w:rsidRPr="00155F80">
              <w:rPr>
                <w:rFonts w:ascii="Times New Roman" w:hAnsi="Times New Roman"/>
                <w:lang w:val="bs-Latn-BA"/>
              </w:rPr>
              <w:t>27.844</w:t>
            </w:r>
          </w:p>
        </w:tc>
        <w:tc>
          <w:tcPr>
            <w:tcW w:w="2012" w:type="dxa"/>
            <w:tcBorders>
              <w:top w:val="single" w:sz="4" w:space="0" w:color="auto"/>
              <w:left w:val="single" w:sz="4" w:space="0" w:color="auto"/>
              <w:bottom w:val="single" w:sz="4" w:space="0" w:color="auto"/>
              <w:right w:val="single" w:sz="4" w:space="0" w:color="auto"/>
            </w:tcBorders>
            <w:vAlign w:val="center"/>
            <w:hideMark/>
          </w:tcPr>
          <w:p w:rsidR="00A131AD" w:rsidRPr="00155F80" w:rsidRDefault="00A131AD" w:rsidP="000C0138">
            <w:pPr>
              <w:pStyle w:val="BodyText"/>
              <w:spacing w:line="276" w:lineRule="auto"/>
              <w:jc w:val="right"/>
              <w:rPr>
                <w:rFonts w:ascii="Times New Roman" w:hAnsi="Times New Roman"/>
                <w:b/>
                <w:lang w:val="bs-Latn-BA"/>
              </w:rPr>
            </w:pPr>
            <w:r w:rsidRPr="00155F80">
              <w:rPr>
                <w:rFonts w:ascii="Times New Roman" w:hAnsi="Times New Roman"/>
                <w:lang w:val="bs-Latn-BA"/>
              </w:rPr>
              <w:t>13.2</w:t>
            </w:r>
          </w:p>
        </w:tc>
        <w:tc>
          <w:tcPr>
            <w:tcW w:w="2154" w:type="dxa"/>
            <w:tcBorders>
              <w:top w:val="single" w:sz="4" w:space="0" w:color="auto"/>
              <w:left w:val="single" w:sz="4" w:space="0" w:color="auto"/>
              <w:bottom w:val="single" w:sz="4" w:space="0" w:color="auto"/>
              <w:right w:val="single" w:sz="4" w:space="0" w:color="auto"/>
            </w:tcBorders>
            <w:vAlign w:val="center"/>
            <w:hideMark/>
          </w:tcPr>
          <w:p w:rsidR="00A131AD" w:rsidRPr="00155F80" w:rsidRDefault="00A131AD" w:rsidP="000C0138">
            <w:pPr>
              <w:pStyle w:val="BodyText"/>
              <w:spacing w:line="276" w:lineRule="auto"/>
              <w:jc w:val="right"/>
              <w:rPr>
                <w:rFonts w:ascii="Times New Roman" w:hAnsi="Times New Roman"/>
                <w:b/>
                <w:lang w:val="bs-Latn-BA"/>
              </w:rPr>
            </w:pPr>
            <w:r w:rsidRPr="00155F80">
              <w:rPr>
                <w:rFonts w:ascii="Times New Roman" w:hAnsi="Times New Roman"/>
                <w:lang w:val="bs-Latn-BA"/>
              </w:rPr>
              <w:t>143</w:t>
            </w:r>
          </w:p>
        </w:tc>
        <w:tc>
          <w:tcPr>
            <w:tcW w:w="2240" w:type="dxa"/>
            <w:tcBorders>
              <w:top w:val="single" w:sz="4" w:space="0" w:color="auto"/>
              <w:left w:val="single" w:sz="4" w:space="0" w:color="auto"/>
              <w:bottom w:val="single" w:sz="4" w:space="0" w:color="auto"/>
              <w:right w:val="single" w:sz="4" w:space="0" w:color="auto"/>
            </w:tcBorders>
            <w:vAlign w:val="center"/>
            <w:hideMark/>
          </w:tcPr>
          <w:p w:rsidR="00A131AD" w:rsidRPr="00155F80" w:rsidRDefault="00A131AD" w:rsidP="000C0138">
            <w:pPr>
              <w:pStyle w:val="BodyText"/>
              <w:spacing w:line="276" w:lineRule="auto"/>
              <w:jc w:val="right"/>
              <w:rPr>
                <w:rFonts w:ascii="Times New Roman" w:hAnsi="Times New Roman"/>
                <w:b/>
                <w:lang w:val="bs-Latn-BA"/>
              </w:rPr>
            </w:pPr>
            <w:r w:rsidRPr="00155F80">
              <w:rPr>
                <w:rFonts w:ascii="Times New Roman" w:hAnsi="Times New Roman"/>
                <w:lang w:val="bs-Latn-BA"/>
              </w:rPr>
              <w:t>4.689</w:t>
            </w:r>
          </w:p>
        </w:tc>
      </w:tr>
      <w:tr w:rsidR="00A131AD" w:rsidRPr="00155F80" w:rsidTr="001911A6">
        <w:trPr>
          <w:trHeight w:val="359"/>
        </w:trPr>
        <w:tc>
          <w:tcPr>
            <w:tcW w:w="775" w:type="dxa"/>
            <w:tcBorders>
              <w:top w:val="single" w:sz="4" w:space="0" w:color="auto"/>
              <w:left w:val="single" w:sz="4" w:space="0" w:color="auto"/>
              <w:bottom w:val="single" w:sz="4" w:space="0" w:color="auto"/>
              <w:right w:val="single" w:sz="4" w:space="0" w:color="auto"/>
            </w:tcBorders>
            <w:vAlign w:val="center"/>
          </w:tcPr>
          <w:p w:rsidR="00A131AD" w:rsidRPr="00155F80" w:rsidRDefault="00A131AD" w:rsidP="000C0138">
            <w:pPr>
              <w:pStyle w:val="BodyText"/>
              <w:spacing w:line="276" w:lineRule="auto"/>
              <w:jc w:val="center"/>
              <w:rPr>
                <w:rFonts w:ascii="Times New Roman" w:hAnsi="Times New Roman"/>
                <w:b/>
                <w:lang w:val="bs-Latn-BA"/>
              </w:rPr>
            </w:pPr>
            <w:r w:rsidRPr="00155F80">
              <w:rPr>
                <w:rFonts w:ascii="Times New Roman" w:hAnsi="Times New Roman"/>
                <w:lang w:val="bs-Latn-BA"/>
              </w:rPr>
              <w:t>2015</w:t>
            </w:r>
          </w:p>
        </w:tc>
        <w:tc>
          <w:tcPr>
            <w:tcW w:w="1804" w:type="dxa"/>
            <w:tcBorders>
              <w:top w:val="single" w:sz="4" w:space="0" w:color="auto"/>
              <w:left w:val="single" w:sz="4" w:space="0" w:color="auto"/>
              <w:bottom w:val="single" w:sz="4" w:space="0" w:color="auto"/>
              <w:right w:val="single" w:sz="4" w:space="0" w:color="auto"/>
            </w:tcBorders>
            <w:vAlign w:val="center"/>
          </w:tcPr>
          <w:p w:rsidR="00A131AD" w:rsidRPr="00155F80" w:rsidRDefault="00A131AD" w:rsidP="000C0138">
            <w:pPr>
              <w:pStyle w:val="BodyText"/>
              <w:spacing w:line="276" w:lineRule="auto"/>
              <w:jc w:val="right"/>
              <w:rPr>
                <w:rFonts w:ascii="Times New Roman" w:hAnsi="Times New Roman"/>
                <w:b/>
                <w:lang w:val="bs-Latn-BA"/>
              </w:rPr>
            </w:pPr>
            <w:r w:rsidRPr="00155F80">
              <w:rPr>
                <w:rFonts w:ascii="Times New Roman" w:hAnsi="Times New Roman"/>
                <w:lang w:val="bs-Latn-BA"/>
              </w:rPr>
              <w:t>28.978</w:t>
            </w:r>
          </w:p>
        </w:tc>
        <w:tc>
          <w:tcPr>
            <w:tcW w:w="2012" w:type="dxa"/>
            <w:tcBorders>
              <w:top w:val="single" w:sz="4" w:space="0" w:color="auto"/>
              <w:left w:val="single" w:sz="4" w:space="0" w:color="auto"/>
              <w:bottom w:val="single" w:sz="4" w:space="0" w:color="auto"/>
              <w:right w:val="single" w:sz="4" w:space="0" w:color="auto"/>
            </w:tcBorders>
            <w:vAlign w:val="center"/>
          </w:tcPr>
          <w:p w:rsidR="00A131AD" w:rsidRPr="00155F80" w:rsidRDefault="00A131AD" w:rsidP="000C0138">
            <w:pPr>
              <w:pStyle w:val="BodyText"/>
              <w:spacing w:line="276" w:lineRule="auto"/>
              <w:jc w:val="right"/>
              <w:rPr>
                <w:rFonts w:ascii="Times New Roman" w:hAnsi="Times New Roman"/>
                <w:b/>
                <w:lang w:val="bs-Latn-BA"/>
              </w:rPr>
            </w:pPr>
            <w:r w:rsidRPr="00155F80">
              <w:rPr>
                <w:rFonts w:ascii="Times New Roman" w:hAnsi="Times New Roman"/>
                <w:lang w:val="bs-Latn-BA"/>
              </w:rPr>
              <w:t>13.5</w:t>
            </w:r>
          </w:p>
        </w:tc>
        <w:tc>
          <w:tcPr>
            <w:tcW w:w="2154" w:type="dxa"/>
            <w:tcBorders>
              <w:top w:val="single" w:sz="4" w:space="0" w:color="auto"/>
              <w:left w:val="single" w:sz="4" w:space="0" w:color="auto"/>
              <w:bottom w:val="single" w:sz="4" w:space="0" w:color="auto"/>
              <w:right w:val="single" w:sz="4" w:space="0" w:color="auto"/>
            </w:tcBorders>
            <w:vAlign w:val="center"/>
          </w:tcPr>
          <w:p w:rsidR="00A131AD" w:rsidRPr="00155F80" w:rsidRDefault="00A131AD" w:rsidP="000C0138">
            <w:pPr>
              <w:pStyle w:val="BodyText"/>
              <w:spacing w:line="276" w:lineRule="auto"/>
              <w:jc w:val="right"/>
              <w:rPr>
                <w:rFonts w:ascii="Times New Roman" w:hAnsi="Times New Roman"/>
                <w:b/>
                <w:lang w:val="bs-Latn-BA"/>
              </w:rPr>
            </w:pPr>
            <w:r w:rsidRPr="00155F80">
              <w:rPr>
                <w:rFonts w:ascii="Times New Roman" w:hAnsi="Times New Roman"/>
                <w:lang w:val="bs-Latn-BA"/>
              </w:rPr>
              <w:t>185</w:t>
            </w:r>
          </w:p>
        </w:tc>
        <w:tc>
          <w:tcPr>
            <w:tcW w:w="2240" w:type="dxa"/>
            <w:tcBorders>
              <w:top w:val="single" w:sz="4" w:space="0" w:color="auto"/>
              <w:left w:val="single" w:sz="4" w:space="0" w:color="auto"/>
              <w:bottom w:val="single" w:sz="4" w:space="0" w:color="auto"/>
              <w:right w:val="single" w:sz="4" w:space="0" w:color="auto"/>
            </w:tcBorders>
            <w:vAlign w:val="center"/>
          </w:tcPr>
          <w:p w:rsidR="00A131AD" w:rsidRPr="00155F80" w:rsidRDefault="00A131AD" w:rsidP="000C0138">
            <w:pPr>
              <w:pStyle w:val="BodyText"/>
              <w:spacing w:line="276" w:lineRule="auto"/>
              <w:jc w:val="right"/>
              <w:rPr>
                <w:rFonts w:ascii="Times New Roman" w:hAnsi="Times New Roman"/>
                <w:b/>
                <w:lang w:val="bs-Latn-BA"/>
              </w:rPr>
            </w:pPr>
            <w:r w:rsidRPr="00155F80">
              <w:rPr>
                <w:rFonts w:ascii="Times New Roman" w:hAnsi="Times New Roman"/>
                <w:lang w:val="bs-Latn-BA"/>
              </w:rPr>
              <w:t>7246*</w:t>
            </w:r>
          </w:p>
        </w:tc>
      </w:tr>
    </w:tbl>
    <w:p w:rsidR="00A131AD" w:rsidRPr="00155F80" w:rsidRDefault="00A131AD" w:rsidP="000C0138">
      <w:pPr>
        <w:spacing w:line="276" w:lineRule="auto"/>
        <w:rPr>
          <w:rFonts w:ascii="Times New Roman" w:hAnsi="Times New Roman"/>
          <w:lang w:val="bs-Latn-BA"/>
        </w:rPr>
      </w:pPr>
      <w:r w:rsidRPr="00155F80">
        <w:rPr>
          <w:rFonts w:ascii="Times New Roman" w:hAnsi="Times New Roman"/>
          <w:lang w:val="bs-Latn-BA"/>
        </w:rPr>
        <w:t xml:space="preserve">*ukupan broj </w:t>
      </w:r>
      <w:r w:rsidR="000B12A9">
        <w:rPr>
          <w:rFonts w:ascii="Times New Roman" w:hAnsi="Times New Roman"/>
          <w:lang w:val="bs-Latn-BA"/>
        </w:rPr>
        <w:t>ozlijeđenih</w:t>
      </w:r>
      <w:r w:rsidRPr="00155F80">
        <w:rPr>
          <w:rFonts w:ascii="Times New Roman" w:hAnsi="Times New Roman"/>
          <w:lang w:val="bs-Latn-BA"/>
        </w:rPr>
        <w:t xml:space="preserve"> u prometnim nezgodama, od čega teže </w:t>
      </w:r>
      <w:r w:rsidR="000B12A9">
        <w:rPr>
          <w:rFonts w:ascii="Times New Roman" w:hAnsi="Times New Roman"/>
          <w:lang w:val="bs-Latn-BA"/>
        </w:rPr>
        <w:t>ozlijeđenih</w:t>
      </w:r>
      <w:r w:rsidRPr="00155F80">
        <w:rPr>
          <w:rFonts w:ascii="Times New Roman" w:hAnsi="Times New Roman"/>
          <w:lang w:val="bs-Latn-BA"/>
        </w:rPr>
        <w:t xml:space="preserve"> 1043 a lakše </w:t>
      </w:r>
      <w:r w:rsidR="000B12A9">
        <w:rPr>
          <w:rFonts w:ascii="Times New Roman" w:hAnsi="Times New Roman"/>
          <w:lang w:val="bs-Latn-BA"/>
        </w:rPr>
        <w:t>ozlijeđenih</w:t>
      </w:r>
      <w:r w:rsidRPr="00155F80">
        <w:rPr>
          <w:rFonts w:ascii="Times New Roman" w:hAnsi="Times New Roman"/>
          <w:lang w:val="bs-Latn-BA"/>
        </w:rPr>
        <w:t xml:space="preserve"> 6203</w:t>
      </w:r>
    </w:p>
    <w:p w:rsidR="00A131AD" w:rsidRDefault="00A131AD" w:rsidP="000C0138">
      <w:pPr>
        <w:spacing w:line="276" w:lineRule="auto"/>
        <w:rPr>
          <w:rFonts w:ascii="Times New Roman" w:hAnsi="Times New Roman"/>
          <w:lang w:val="bs-Latn-BA"/>
        </w:rPr>
      </w:pPr>
      <w:r w:rsidRPr="00155F80">
        <w:rPr>
          <w:rFonts w:ascii="Times New Roman" w:hAnsi="Times New Roman"/>
          <w:lang w:val="bs-Latn-BA"/>
        </w:rPr>
        <w:t>Izvor : Federalno ministarstvo unut</w:t>
      </w:r>
      <w:r w:rsidR="000B12A9">
        <w:rPr>
          <w:rFonts w:ascii="Times New Roman" w:hAnsi="Times New Roman"/>
          <w:lang w:val="bs-Latn-BA"/>
        </w:rPr>
        <w:t>a</w:t>
      </w:r>
      <w:r w:rsidRPr="00155F80">
        <w:rPr>
          <w:rFonts w:ascii="Times New Roman" w:hAnsi="Times New Roman"/>
          <w:lang w:val="bs-Latn-BA"/>
        </w:rPr>
        <w:t xml:space="preserve">rnjih poslova, 2016 </w:t>
      </w:r>
    </w:p>
    <w:p w:rsidR="00993848" w:rsidRDefault="00993848" w:rsidP="000C0138">
      <w:pPr>
        <w:spacing w:line="276" w:lineRule="auto"/>
        <w:rPr>
          <w:rFonts w:ascii="Times New Roman" w:hAnsi="Times New Roman"/>
          <w:lang w:val="bs-Latn-BA"/>
        </w:rPr>
      </w:pPr>
    </w:p>
    <w:p w:rsidR="00993848" w:rsidRDefault="00993848" w:rsidP="000C0138">
      <w:pPr>
        <w:spacing w:line="276" w:lineRule="auto"/>
        <w:rPr>
          <w:rFonts w:ascii="Times New Roman" w:hAnsi="Times New Roman"/>
          <w:lang w:val="bs-Latn-BA"/>
        </w:rPr>
      </w:pPr>
    </w:p>
    <w:p w:rsidR="00993848" w:rsidRDefault="00993848" w:rsidP="000C0138">
      <w:pPr>
        <w:spacing w:line="276" w:lineRule="auto"/>
        <w:rPr>
          <w:rFonts w:ascii="Times New Roman" w:hAnsi="Times New Roman"/>
          <w:lang w:val="bs-Latn-BA"/>
        </w:rPr>
      </w:pPr>
    </w:p>
    <w:p w:rsidR="00993848" w:rsidRDefault="00993848" w:rsidP="000C0138">
      <w:pPr>
        <w:spacing w:line="276" w:lineRule="auto"/>
        <w:rPr>
          <w:rFonts w:ascii="Times New Roman" w:hAnsi="Times New Roman"/>
          <w:lang w:val="bs-Latn-BA"/>
        </w:rPr>
      </w:pPr>
    </w:p>
    <w:p w:rsidR="00993848" w:rsidRDefault="00993848" w:rsidP="000C0138">
      <w:pPr>
        <w:spacing w:line="276" w:lineRule="auto"/>
        <w:rPr>
          <w:rFonts w:ascii="Times New Roman" w:hAnsi="Times New Roman"/>
          <w:lang w:val="bs-Latn-BA"/>
        </w:rPr>
      </w:pPr>
    </w:p>
    <w:p w:rsidR="00993848" w:rsidRDefault="00993848" w:rsidP="000C0138">
      <w:pPr>
        <w:spacing w:line="276" w:lineRule="auto"/>
        <w:rPr>
          <w:rFonts w:ascii="Times New Roman" w:hAnsi="Times New Roman"/>
          <w:lang w:val="bs-Latn-BA"/>
        </w:rPr>
      </w:pPr>
    </w:p>
    <w:p w:rsidR="00993848" w:rsidRDefault="00993848" w:rsidP="000C0138">
      <w:pPr>
        <w:spacing w:line="276" w:lineRule="auto"/>
        <w:rPr>
          <w:rFonts w:ascii="Times New Roman" w:hAnsi="Times New Roman"/>
          <w:lang w:val="bs-Latn-BA"/>
        </w:rPr>
      </w:pPr>
    </w:p>
    <w:p w:rsidR="00993848" w:rsidRDefault="00993848" w:rsidP="000C0138">
      <w:pPr>
        <w:spacing w:line="276" w:lineRule="auto"/>
        <w:rPr>
          <w:rFonts w:ascii="Times New Roman" w:hAnsi="Times New Roman"/>
          <w:lang w:val="bs-Latn-BA"/>
        </w:rPr>
      </w:pPr>
    </w:p>
    <w:p w:rsidR="00993848" w:rsidRDefault="00993848" w:rsidP="000C0138">
      <w:pPr>
        <w:spacing w:line="276" w:lineRule="auto"/>
        <w:rPr>
          <w:rFonts w:ascii="Times New Roman" w:hAnsi="Times New Roman"/>
          <w:lang w:val="bs-Latn-BA"/>
        </w:rPr>
      </w:pPr>
    </w:p>
    <w:p w:rsidR="00993848" w:rsidRDefault="00993848" w:rsidP="000C0138">
      <w:pPr>
        <w:spacing w:line="276" w:lineRule="auto"/>
        <w:rPr>
          <w:rFonts w:ascii="Times New Roman" w:hAnsi="Times New Roman"/>
          <w:lang w:val="bs-Latn-BA"/>
        </w:rPr>
      </w:pPr>
    </w:p>
    <w:p w:rsidR="00993848" w:rsidRDefault="00993848" w:rsidP="000C0138">
      <w:pPr>
        <w:spacing w:line="276" w:lineRule="auto"/>
        <w:rPr>
          <w:rFonts w:ascii="Times New Roman" w:hAnsi="Times New Roman"/>
          <w:lang w:val="bs-Latn-BA"/>
        </w:rPr>
      </w:pPr>
    </w:p>
    <w:p w:rsidR="00B37E7E" w:rsidRDefault="00B37E7E" w:rsidP="000C0138">
      <w:pPr>
        <w:spacing w:line="276" w:lineRule="auto"/>
        <w:rPr>
          <w:rFonts w:ascii="Times New Roman" w:hAnsi="Times New Roman"/>
          <w:lang w:val="bs-Latn-BA"/>
        </w:rPr>
      </w:pPr>
    </w:p>
    <w:p w:rsidR="00B37E7E" w:rsidRDefault="00B37E7E" w:rsidP="000C0138">
      <w:pPr>
        <w:spacing w:line="276" w:lineRule="auto"/>
        <w:rPr>
          <w:rFonts w:ascii="Times New Roman" w:hAnsi="Times New Roman"/>
          <w:lang w:val="bs-Latn-BA"/>
        </w:rPr>
      </w:pPr>
    </w:p>
    <w:p w:rsidR="00993848" w:rsidRDefault="00993848" w:rsidP="000C0138">
      <w:pPr>
        <w:spacing w:line="276" w:lineRule="auto"/>
        <w:rPr>
          <w:rFonts w:ascii="Times New Roman" w:hAnsi="Times New Roman"/>
          <w:lang w:val="bs-Latn-BA"/>
        </w:rPr>
      </w:pPr>
    </w:p>
    <w:p w:rsidR="0066054E" w:rsidRDefault="0066054E" w:rsidP="000C0138">
      <w:pPr>
        <w:spacing w:line="276" w:lineRule="auto"/>
        <w:rPr>
          <w:rFonts w:ascii="Times New Roman" w:hAnsi="Times New Roman"/>
          <w:lang w:val="bs-Latn-BA"/>
        </w:rPr>
      </w:pPr>
    </w:p>
    <w:p w:rsidR="0066054E" w:rsidRDefault="0066054E" w:rsidP="000C0138">
      <w:pPr>
        <w:spacing w:line="276" w:lineRule="auto"/>
        <w:rPr>
          <w:rFonts w:ascii="Times New Roman" w:hAnsi="Times New Roman"/>
          <w:lang w:val="bs-Latn-BA"/>
        </w:rPr>
      </w:pPr>
    </w:p>
    <w:p w:rsidR="00A131AD" w:rsidRPr="00155F80" w:rsidRDefault="00A131AD" w:rsidP="000C0138">
      <w:pPr>
        <w:pStyle w:val="Poglavlje1"/>
        <w:spacing w:line="276" w:lineRule="auto"/>
      </w:pPr>
      <w:bookmarkStart w:id="335" w:name="_Toc390781138"/>
      <w:bookmarkStart w:id="336" w:name="_Toc456095935"/>
      <w:r w:rsidRPr="00155F80">
        <w:t>ORGANIZACIJA ZDRAVSTVENE ZAŠTITE</w:t>
      </w:r>
      <w:bookmarkEnd w:id="335"/>
      <w:bookmarkEnd w:id="336"/>
    </w:p>
    <w:p w:rsidR="00D878AE" w:rsidRPr="00155F80" w:rsidRDefault="00D878AE" w:rsidP="00D878AE">
      <w:pPr>
        <w:pStyle w:val="Tekst0"/>
        <w:spacing w:line="276" w:lineRule="auto"/>
        <w:rPr>
          <w:color w:val="FF0000"/>
          <w:sz w:val="22"/>
          <w:szCs w:val="22"/>
        </w:rPr>
      </w:pPr>
      <w:bookmarkStart w:id="337" w:name="_Toc390781142"/>
      <w:r w:rsidRPr="00155F80">
        <w:rPr>
          <w:sz w:val="22"/>
          <w:szCs w:val="22"/>
        </w:rPr>
        <w:t>Zdravstvena zaštita u Federaciji BiH je organiz</w:t>
      </w:r>
      <w:r w:rsidR="000B12A9">
        <w:rPr>
          <w:sz w:val="22"/>
          <w:szCs w:val="22"/>
        </w:rPr>
        <w:t>ira</w:t>
      </w:r>
      <w:r w:rsidRPr="00155F80">
        <w:rPr>
          <w:sz w:val="22"/>
          <w:szCs w:val="22"/>
        </w:rPr>
        <w:t>na na</w:t>
      </w:r>
      <w:r w:rsidR="000B12A9">
        <w:rPr>
          <w:sz w:val="22"/>
          <w:szCs w:val="22"/>
        </w:rPr>
        <w:t xml:space="preserve"> razini</w:t>
      </w:r>
      <w:r w:rsidRPr="00155F80">
        <w:rPr>
          <w:sz w:val="22"/>
          <w:szCs w:val="22"/>
        </w:rPr>
        <w:t xml:space="preserve"> primarne, specijalističko-kon</w:t>
      </w:r>
      <w:r w:rsidR="000B12A9">
        <w:rPr>
          <w:sz w:val="22"/>
          <w:szCs w:val="22"/>
        </w:rPr>
        <w:t>z</w:t>
      </w:r>
      <w:r w:rsidRPr="00155F80">
        <w:rPr>
          <w:sz w:val="22"/>
          <w:szCs w:val="22"/>
        </w:rPr>
        <w:t>ultativne i bolničke zaštite, a Zakonom utvrđena prava građana se najvećim dijelom finan</w:t>
      </w:r>
      <w:r w:rsidR="000B12A9">
        <w:rPr>
          <w:sz w:val="22"/>
          <w:szCs w:val="22"/>
        </w:rPr>
        <w:t>c</w:t>
      </w:r>
      <w:r w:rsidRPr="00155F80">
        <w:rPr>
          <w:sz w:val="22"/>
          <w:szCs w:val="22"/>
        </w:rPr>
        <w:t>iraju iz obveznog zdravstvenog osiguranja</w:t>
      </w:r>
      <w:r w:rsidRPr="00BE1C06">
        <w:rPr>
          <w:sz w:val="22"/>
          <w:szCs w:val="22"/>
        </w:rPr>
        <w:t>. (16,17)</w:t>
      </w:r>
    </w:p>
    <w:p w:rsidR="00D878AE" w:rsidRPr="00155F80" w:rsidRDefault="00D878AE" w:rsidP="00D878AE">
      <w:pPr>
        <w:pStyle w:val="Tekst0"/>
        <w:spacing w:line="276" w:lineRule="auto"/>
        <w:rPr>
          <w:sz w:val="22"/>
          <w:szCs w:val="22"/>
        </w:rPr>
      </w:pPr>
      <w:r w:rsidRPr="00155F80">
        <w:rPr>
          <w:sz w:val="22"/>
          <w:szCs w:val="22"/>
        </w:rPr>
        <w:t xml:space="preserve">Reformsko opredjeljenje je povećanje </w:t>
      </w:r>
      <w:r w:rsidR="000B12A9">
        <w:rPr>
          <w:sz w:val="22"/>
          <w:szCs w:val="22"/>
        </w:rPr>
        <w:t>učinkovitosti</w:t>
      </w:r>
      <w:r w:rsidRPr="00155F80">
        <w:rPr>
          <w:sz w:val="22"/>
          <w:szCs w:val="22"/>
        </w:rPr>
        <w:t xml:space="preserve"> i racionalizacija zdravstvene zaštite jačanjem primarne zdravstvene zaštite</w:t>
      </w:r>
      <w:r w:rsidRPr="00155F80">
        <w:rPr>
          <w:snapToGrid w:val="0"/>
          <w:sz w:val="22"/>
          <w:szCs w:val="22"/>
        </w:rPr>
        <w:t xml:space="preserve"> s naglaskom na promociji zdravlja i prevenciji, </w:t>
      </w:r>
      <w:r w:rsidRPr="00155F80">
        <w:rPr>
          <w:sz w:val="22"/>
          <w:szCs w:val="22"/>
        </w:rPr>
        <w:t>što treba da prati racionalizacija specijalističko-kon</w:t>
      </w:r>
      <w:r w:rsidR="000B12A9">
        <w:rPr>
          <w:sz w:val="22"/>
          <w:szCs w:val="22"/>
        </w:rPr>
        <w:t>z</w:t>
      </w:r>
      <w:r w:rsidRPr="00155F80">
        <w:rPr>
          <w:sz w:val="22"/>
          <w:szCs w:val="22"/>
        </w:rPr>
        <w:t>ulativne i bolničke zaštite.</w:t>
      </w:r>
      <w:r w:rsidRPr="00155F80">
        <w:rPr>
          <w:snapToGrid w:val="0"/>
          <w:sz w:val="22"/>
          <w:szCs w:val="22"/>
        </w:rPr>
        <w:t xml:space="preserve"> I</w:t>
      </w:r>
      <w:r w:rsidRPr="00155F80">
        <w:rPr>
          <w:sz w:val="22"/>
          <w:szCs w:val="22"/>
        </w:rPr>
        <w:t>mplementacija reformskih opredjeljenja</w:t>
      </w:r>
      <w:r w:rsidRPr="00155F80">
        <w:rPr>
          <w:snapToGrid w:val="0"/>
          <w:sz w:val="22"/>
          <w:szCs w:val="22"/>
        </w:rPr>
        <w:t xml:space="preserve"> je podržana usvajanjem značajnih</w:t>
      </w:r>
      <w:r w:rsidRPr="00155F80">
        <w:rPr>
          <w:sz w:val="22"/>
          <w:szCs w:val="22"/>
        </w:rPr>
        <w:t xml:space="preserve"> zakonskih i podzakonskih akata i strateških dokumenata. </w:t>
      </w:r>
    </w:p>
    <w:p w:rsidR="00D878AE" w:rsidRPr="00155F80" w:rsidRDefault="00D878AE" w:rsidP="00D878AE">
      <w:pPr>
        <w:pStyle w:val="Tekst0"/>
        <w:spacing w:line="276" w:lineRule="auto"/>
        <w:rPr>
          <w:sz w:val="22"/>
          <w:szCs w:val="22"/>
        </w:rPr>
      </w:pPr>
      <w:r w:rsidRPr="00155F80">
        <w:rPr>
          <w:sz w:val="22"/>
          <w:szCs w:val="22"/>
        </w:rPr>
        <w:t xml:space="preserve">Reforma primarne zdravstvene zaštite je bazirana </w:t>
      </w:r>
      <w:r>
        <w:rPr>
          <w:sz w:val="22"/>
          <w:szCs w:val="22"/>
        </w:rPr>
        <w:t xml:space="preserve">na </w:t>
      </w:r>
      <w:r w:rsidRPr="00155F80">
        <w:rPr>
          <w:sz w:val="22"/>
          <w:szCs w:val="22"/>
        </w:rPr>
        <w:t xml:space="preserve">implementaciji obiteljske medicine (OM) i jačanju službi u zajednici, što se u prvom redu odnosi na službe za zdravstvenu zaštitu djece i žena, zatim na mentalnu rehabilitaciju u zajednici, fizikalnu rehabilitaciju u zajednici, hitnu medicinsku pomoć, sestrinstvo u zajednici, stomatološku zaštitu i dijagnostiku.  </w:t>
      </w:r>
    </w:p>
    <w:p w:rsidR="00D878AE" w:rsidRPr="00155F80" w:rsidRDefault="00D878AE" w:rsidP="00D878AE">
      <w:pPr>
        <w:pStyle w:val="Tekst0"/>
        <w:spacing w:line="276" w:lineRule="auto"/>
        <w:rPr>
          <w:sz w:val="22"/>
          <w:szCs w:val="22"/>
        </w:rPr>
      </w:pPr>
      <w:r w:rsidRPr="00155F80">
        <w:rPr>
          <w:sz w:val="22"/>
          <w:szCs w:val="22"/>
        </w:rPr>
        <w:t>Implementacijom strateških ciljeva su postignuti značajni pomaci u implementac</w:t>
      </w:r>
      <w:r>
        <w:rPr>
          <w:sz w:val="22"/>
          <w:szCs w:val="22"/>
        </w:rPr>
        <w:t>iji obiteljske medicine. Unapr</w:t>
      </w:r>
      <w:r w:rsidRPr="00155F80">
        <w:rPr>
          <w:sz w:val="22"/>
          <w:szCs w:val="22"/>
        </w:rPr>
        <w:t>eđenje infrastruktur</w:t>
      </w:r>
      <w:r w:rsidR="000B12A9">
        <w:rPr>
          <w:sz w:val="22"/>
          <w:szCs w:val="22"/>
        </w:rPr>
        <w:t>e</w:t>
      </w:r>
      <w:r w:rsidRPr="00155F80">
        <w:rPr>
          <w:sz w:val="22"/>
          <w:szCs w:val="22"/>
        </w:rPr>
        <w:t xml:space="preserve"> doprin</w:t>
      </w:r>
      <w:r w:rsidR="00C1309C">
        <w:rPr>
          <w:sz w:val="22"/>
          <w:szCs w:val="22"/>
        </w:rPr>
        <w:t>i</w:t>
      </w:r>
      <w:r w:rsidRPr="00155F80">
        <w:rPr>
          <w:sz w:val="22"/>
          <w:szCs w:val="22"/>
        </w:rPr>
        <w:t xml:space="preserve">jelo je prepoznatljivom ambijentu ambulanti obiteljske medicine, te su osigurani standardni uvjeti neophodni za proces rada. Paralelno s ovim rađeno je </w:t>
      </w:r>
      <w:r>
        <w:rPr>
          <w:sz w:val="22"/>
          <w:szCs w:val="22"/>
        </w:rPr>
        <w:t xml:space="preserve">na </w:t>
      </w:r>
      <w:r w:rsidRPr="00155F80">
        <w:rPr>
          <w:sz w:val="22"/>
          <w:szCs w:val="22"/>
        </w:rPr>
        <w:t xml:space="preserve">edukaciji iz </w:t>
      </w:r>
      <w:r w:rsidR="000B12A9">
        <w:rPr>
          <w:sz w:val="22"/>
          <w:szCs w:val="22"/>
        </w:rPr>
        <w:t>područja</w:t>
      </w:r>
      <w:r w:rsidRPr="00155F80">
        <w:rPr>
          <w:sz w:val="22"/>
          <w:szCs w:val="22"/>
        </w:rPr>
        <w:t xml:space="preserve"> obiteljske medicine, što se odnosi na program dodatne edukacije (PAT), kao i dvogodišnji i trogodišnji programi specijalizacije. </w:t>
      </w:r>
    </w:p>
    <w:p w:rsidR="00D878AE" w:rsidRPr="00155F80" w:rsidRDefault="00D878AE" w:rsidP="00D878AE">
      <w:pPr>
        <w:pStyle w:val="Tekst0"/>
        <w:spacing w:line="276" w:lineRule="auto"/>
        <w:rPr>
          <w:sz w:val="22"/>
          <w:szCs w:val="22"/>
        </w:rPr>
      </w:pPr>
      <w:r w:rsidRPr="00155F80">
        <w:rPr>
          <w:sz w:val="22"/>
          <w:szCs w:val="22"/>
        </w:rPr>
        <w:t>Usvajanje odgovarajuće legislative je doprin</w:t>
      </w:r>
      <w:r w:rsidR="00C1309C">
        <w:rPr>
          <w:sz w:val="22"/>
          <w:szCs w:val="22"/>
        </w:rPr>
        <w:t>i</w:t>
      </w:r>
      <w:r w:rsidRPr="00155F80">
        <w:rPr>
          <w:sz w:val="22"/>
          <w:szCs w:val="22"/>
        </w:rPr>
        <w:t>jelo boljem funkcioni</w:t>
      </w:r>
      <w:r w:rsidR="00C1309C">
        <w:rPr>
          <w:sz w:val="22"/>
          <w:szCs w:val="22"/>
        </w:rPr>
        <w:t>r</w:t>
      </w:r>
      <w:r w:rsidRPr="00155F80">
        <w:rPr>
          <w:sz w:val="22"/>
          <w:szCs w:val="22"/>
        </w:rPr>
        <w:t xml:space="preserve">anju centara za mentalno zdravlje u zajednici i centara za fizikalnu rehabilitaciju, te su nastavljene aktivnosti usmjerene na jačanje </w:t>
      </w:r>
      <w:r w:rsidRPr="00155F80">
        <w:rPr>
          <w:sz w:val="22"/>
          <w:szCs w:val="22"/>
        </w:rPr>
        <w:lastRenderedPageBreak/>
        <w:t>sestrinstva u zajednici, koje su se najviše odnosil</w:t>
      </w:r>
      <w:r w:rsidR="006A6356">
        <w:rPr>
          <w:sz w:val="22"/>
          <w:szCs w:val="22"/>
        </w:rPr>
        <w:t>e na pripremu dodatne edukacije</w:t>
      </w:r>
      <w:r w:rsidRPr="00155F80">
        <w:rPr>
          <w:sz w:val="22"/>
          <w:szCs w:val="22"/>
        </w:rPr>
        <w:t xml:space="preserve"> za polivalentne patronažne sestre.</w:t>
      </w:r>
    </w:p>
    <w:p w:rsidR="00D878AE" w:rsidRPr="00155F80" w:rsidRDefault="00D878AE" w:rsidP="00D878AE">
      <w:pPr>
        <w:pStyle w:val="Tekst0"/>
        <w:spacing w:line="276" w:lineRule="auto"/>
        <w:rPr>
          <w:sz w:val="22"/>
          <w:szCs w:val="22"/>
          <w:highlight w:val="yellow"/>
          <w:lang w:val="en-US"/>
        </w:rPr>
      </w:pPr>
      <w:r w:rsidRPr="00155F80">
        <w:rPr>
          <w:sz w:val="22"/>
          <w:szCs w:val="22"/>
        </w:rPr>
        <w:t xml:space="preserve">U cilju implementacije ciljeva Politike i </w:t>
      </w:r>
      <w:r w:rsidRPr="00155F80">
        <w:rPr>
          <w:sz w:val="22"/>
          <w:szCs w:val="22"/>
          <w:lang w:val="bs-Latn-BA"/>
        </w:rPr>
        <w:t xml:space="preserve">Strateškog plana za unapređenje ranog rasta i razvoja djece u FBiH, koji se odnose na </w:t>
      </w:r>
      <w:r w:rsidR="00B146E8">
        <w:rPr>
          <w:sz w:val="22"/>
          <w:szCs w:val="22"/>
        </w:rPr>
        <w:t>unapređenje</w:t>
      </w:r>
      <w:r w:rsidRPr="00155F80">
        <w:rPr>
          <w:sz w:val="22"/>
          <w:szCs w:val="22"/>
        </w:rPr>
        <w:t xml:space="preserve"> usluga u </w:t>
      </w:r>
      <w:r w:rsidR="00C15C3A">
        <w:rPr>
          <w:sz w:val="22"/>
          <w:szCs w:val="22"/>
        </w:rPr>
        <w:t>području</w:t>
      </w:r>
      <w:r w:rsidRPr="00155F80">
        <w:rPr>
          <w:sz w:val="22"/>
          <w:szCs w:val="22"/>
        </w:rPr>
        <w:t xml:space="preserve"> ranog rasta i razvoja djece, t</w:t>
      </w:r>
      <w:r w:rsidR="00C15C3A">
        <w:rPr>
          <w:sz w:val="22"/>
          <w:szCs w:val="22"/>
        </w:rPr>
        <w:t>ije</w:t>
      </w:r>
      <w:r w:rsidRPr="00155F80">
        <w:rPr>
          <w:sz w:val="22"/>
          <w:szCs w:val="22"/>
        </w:rPr>
        <w:t>kom 2015. godine je razvijen</w:t>
      </w:r>
      <w:r w:rsidRPr="00155F80">
        <w:rPr>
          <w:rFonts w:eastAsiaTheme="minorHAnsi"/>
          <w:sz w:val="22"/>
          <w:szCs w:val="22"/>
        </w:rPr>
        <w:t xml:space="preserve"> </w:t>
      </w:r>
      <w:r w:rsidRPr="00155F80">
        <w:rPr>
          <w:sz w:val="22"/>
          <w:szCs w:val="22"/>
        </w:rPr>
        <w:t>Curriculum</w:t>
      </w:r>
      <w:r w:rsidRPr="00155F80">
        <w:rPr>
          <w:rFonts w:eastAsiaTheme="minorHAnsi"/>
          <w:sz w:val="22"/>
          <w:szCs w:val="22"/>
        </w:rPr>
        <w:t xml:space="preserve"> za Osnovni program za rano prepoznavanje odstupanja od tipičnog razvoja, te je </w:t>
      </w:r>
      <w:r w:rsidRPr="00155F80">
        <w:rPr>
          <w:sz w:val="22"/>
          <w:szCs w:val="22"/>
        </w:rPr>
        <w:t>s</w:t>
      </w:r>
      <w:r w:rsidR="00C15C3A">
        <w:rPr>
          <w:sz w:val="22"/>
          <w:szCs w:val="22"/>
        </w:rPr>
        <w:t>u</w:t>
      </w:r>
      <w:r w:rsidRPr="00155F80">
        <w:rPr>
          <w:sz w:val="22"/>
          <w:szCs w:val="22"/>
        </w:rPr>
        <w:t>klad</w:t>
      </w:r>
      <w:r w:rsidR="00C15C3A">
        <w:rPr>
          <w:sz w:val="22"/>
          <w:szCs w:val="22"/>
        </w:rPr>
        <w:t>no</w:t>
      </w:r>
      <w:r w:rsidRPr="00155F80">
        <w:rPr>
          <w:sz w:val="22"/>
          <w:szCs w:val="22"/>
        </w:rPr>
        <w:t xml:space="preserve"> Pravilnik</w:t>
      </w:r>
      <w:r w:rsidR="00C15C3A">
        <w:rPr>
          <w:sz w:val="22"/>
          <w:szCs w:val="22"/>
        </w:rPr>
        <w:t>u</w:t>
      </w:r>
      <w:r w:rsidRPr="00155F80">
        <w:rPr>
          <w:sz w:val="22"/>
          <w:szCs w:val="22"/>
        </w:rPr>
        <w:t xml:space="preserve"> koji reguli</w:t>
      </w:r>
      <w:r w:rsidR="00C15C3A">
        <w:rPr>
          <w:sz w:val="22"/>
          <w:szCs w:val="22"/>
        </w:rPr>
        <w:t>ra</w:t>
      </w:r>
      <w:r w:rsidRPr="00155F80">
        <w:rPr>
          <w:sz w:val="22"/>
          <w:szCs w:val="22"/>
        </w:rPr>
        <w:t xml:space="preserve"> edukaciju u ovo</w:t>
      </w:r>
      <w:r w:rsidR="00C15C3A">
        <w:rPr>
          <w:sz w:val="22"/>
          <w:szCs w:val="22"/>
        </w:rPr>
        <w:t>m području</w:t>
      </w:r>
      <w:r w:rsidRPr="00155F80">
        <w:rPr>
          <w:sz w:val="22"/>
          <w:szCs w:val="22"/>
        </w:rPr>
        <w:t>, uspješno realiz</w:t>
      </w:r>
      <w:r w:rsidR="00C15C3A">
        <w:rPr>
          <w:sz w:val="22"/>
          <w:szCs w:val="22"/>
        </w:rPr>
        <w:t>ir</w:t>
      </w:r>
      <w:r w:rsidR="00B146E8">
        <w:rPr>
          <w:sz w:val="22"/>
          <w:szCs w:val="22"/>
        </w:rPr>
        <w:t>a</w:t>
      </w:r>
      <w:r w:rsidRPr="00155F80">
        <w:rPr>
          <w:sz w:val="22"/>
          <w:szCs w:val="22"/>
        </w:rPr>
        <w:t xml:space="preserve">na obuka za prvu generaciju </w:t>
      </w:r>
      <w:r w:rsidRPr="00155F80">
        <w:rPr>
          <w:rFonts w:eastAsiaTheme="minorHAnsi"/>
          <w:sz w:val="22"/>
          <w:szCs w:val="22"/>
        </w:rPr>
        <w:t xml:space="preserve">od 25 profesionalaca iz zdravstvenog, obrazovnog i socijalnog sektora sa područja cijele FBiH. </w:t>
      </w:r>
      <w:r w:rsidRPr="00BE1C06">
        <w:rPr>
          <w:rFonts w:eastAsiaTheme="minorHAnsi"/>
          <w:sz w:val="22"/>
          <w:szCs w:val="22"/>
        </w:rPr>
        <w:t>(18, 19, 20)</w:t>
      </w:r>
      <w:r w:rsidRPr="00155F80">
        <w:rPr>
          <w:rFonts w:eastAsiaTheme="minorHAnsi"/>
          <w:sz w:val="22"/>
          <w:szCs w:val="22"/>
        </w:rPr>
        <w:t xml:space="preserve">  </w:t>
      </w:r>
    </w:p>
    <w:p w:rsidR="00D878AE" w:rsidRPr="00155F80" w:rsidRDefault="00D878AE" w:rsidP="00D878AE">
      <w:pPr>
        <w:pStyle w:val="Tekst0"/>
        <w:spacing w:line="276" w:lineRule="auto"/>
        <w:rPr>
          <w:sz w:val="22"/>
          <w:szCs w:val="22"/>
        </w:rPr>
      </w:pPr>
      <w:r w:rsidRPr="00B74F84">
        <w:rPr>
          <w:sz w:val="22"/>
          <w:szCs w:val="22"/>
        </w:rPr>
        <w:t>Međutim,</w:t>
      </w:r>
      <w:r w:rsidRPr="006F1E4C">
        <w:rPr>
          <w:color w:val="00B050"/>
          <w:sz w:val="22"/>
          <w:szCs w:val="22"/>
        </w:rPr>
        <w:t xml:space="preserve"> </w:t>
      </w:r>
      <w:r w:rsidRPr="00155F80">
        <w:rPr>
          <w:sz w:val="22"/>
          <w:szCs w:val="22"/>
        </w:rPr>
        <w:t>treba napomenuti da je i pored značajnog broja dodatno educiranih u zdravstvenim ustanovama, te unaprijeđene infrastrukture, implementacija reformskih opredjeljenja je otežana. Razlozi su brojni, od eviden</w:t>
      </w:r>
      <w:r w:rsidR="00B74F84">
        <w:rPr>
          <w:sz w:val="22"/>
          <w:szCs w:val="22"/>
        </w:rPr>
        <w:t>tn</w:t>
      </w:r>
      <w:r w:rsidRPr="00155F80">
        <w:rPr>
          <w:sz w:val="22"/>
          <w:szCs w:val="22"/>
        </w:rPr>
        <w:t xml:space="preserve">og problema nedostajućeg kadra i stalne fluktuacije </w:t>
      </w:r>
      <w:r w:rsidR="00B74F84">
        <w:rPr>
          <w:sz w:val="22"/>
          <w:szCs w:val="22"/>
        </w:rPr>
        <w:t>u</w:t>
      </w:r>
      <w:r w:rsidRPr="00155F80">
        <w:rPr>
          <w:sz w:val="22"/>
          <w:szCs w:val="22"/>
        </w:rPr>
        <w:t>poslenih, sporog procesa reorganizacije službi unutar domova zdravlja, te ne</w:t>
      </w:r>
      <w:r w:rsidR="00751A8F">
        <w:rPr>
          <w:sz w:val="22"/>
          <w:szCs w:val="22"/>
        </w:rPr>
        <w:t>poticajnih</w:t>
      </w:r>
      <w:r w:rsidRPr="00155F80">
        <w:rPr>
          <w:sz w:val="22"/>
          <w:szCs w:val="22"/>
        </w:rPr>
        <w:t xml:space="preserve"> mehanizama plaćanja.</w:t>
      </w:r>
    </w:p>
    <w:p w:rsidR="00D878AE" w:rsidRPr="00155F80" w:rsidRDefault="00D878AE" w:rsidP="00D878AE">
      <w:pPr>
        <w:spacing w:line="276" w:lineRule="auto"/>
        <w:rPr>
          <w:rFonts w:ascii="Times New Roman" w:hAnsi="Times New Roman"/>
          <w:lang w:bidi="ta-IN"/>
        </w:rPr>
      </w:pPr>
    </w:p>
    <w:p w:rsidR="00D878AE" w:rsidRPr="00155F80" w:rsidRDefault="00D878AE" w:rsidP="00D878AE">
      <w:pPr>
        <w:spacing w:line="276" w:lineRule="auto"/>
        <w:rPr>
          <w:rFonts w:ascii="Times New Roman" w:hAnsi="Times New Roman"/>
          <w:lang w:bidi="ta-IN"/>
        </w:rPr>
      </w:pPr>
      <w:r w:rsidRPr="00155F80">
        <w:rPr>
          <w:rFonts w:ascii="Times New Roman" w:hAnsi="Times New Roman"/>
          <w:lang w:bidi="ta-IN"/>
        </w:rPr>
        <w:t>Jedna od najznačajniji funkcija u zdravstvenom s</w:t>
      </w:r>
      <w:r w:rsidR="00B74F84">
        <w:rPr>
          <w:rFonts w:ascii="Times New Roman" w:hAnsi="Times New Roman"/>
          <w:lang w:bidi="ta-IN"/>
        </w:rPr>
        <w:t xml:space="preserve">ustavu </w:t>
      </w:r>
      <w:r w:rsidRPr="00155F80">
        <w:rPr>
          <w:rFonts w:ascii="Times New Roman" w:hAnsi="Times New Roman"/>
          <w:lang w:bidi="ta-IN"/>
        </w:rPr>
        <w:t xml:space="preserve">je upravljanje zdravstvenim ustanovama, odnosno svim njihovim resursima (kadar, prostor,oprema), jer od toga direktno zavisi </w:t>
      </w:r>
      <w:r w:rsidR="00B74F84">
        <w:rPr>
          <w:rFonts w:ascii="Times New Roman" w:hAnsi="Times New Roman"/>
          <w:lang w:bidi="ta-IN"/>
        </w:rPr>
        <w:t>učinkovitost</w:t>
      </w:r>
      <w:r w:rsidRPr="00155F80">
        <w:rPr>
          <w:rFonts w:ascii="Times New Roman" w:hAnsi="Times New Roman"/>
          <w:lang w:bidi="ta-IN"/>
        </w:rPr>
        <w:t xml:space="preserve"> i efektivnost samog s</w:t>
      </w:r>
      <w:r w:rsidR="00C651BA">
        <w:rPr>
          <w:rFonts w:ascii="Times New Roman" w:hAnsi="Times New Roman"/>
          <w:lang w:bidi="ta-IN"/>
        </w:rPr>
        <w:t>ustava</w:t>
      </w:r>
      <w:r w:rsidRPr="00155F80">
        <w:rPr>
          <w:rFonts w:ascii="Times New Roman" w:hAnsi="Times New Roman"/>
          <w:lang w:bidi="ta-IN"/>
        </w:rPr>
        <w:t>.</w:t>
      </w:r>
    </w:p>
    <w:p w:rsidR="00D878AE" w:rsidRPr="00155F80" w:rsidRDefault="00D878AE" w:rsidP="00D878AE">
      <w:pPr>
        <w:spacing w:line="276" w:lineRule="auto"/>
        <w:rPr>
          <w:rFonts w:ascii="Times New Roman" w:hAnsi="Times New Roman"/>
          <w:lang w:bidi="ta-IN"/>
        </w:rPr>
      </w:pPr>
      <w:r w:rsidRPr="00155F80">
        <w:rPr>
          <w:rFonts w:ascii="Times New Roman" w:hAnsi="Times New Roman"/>
          <w:lang w:bidi="ta-IN"/>
        </w:rPr>
        <w:t>Na temelju nekoliko istraživanja provedenih u FBiH, konstatirano je da je jedna od slabijih karika zdravstvenog s</w:t>
      </w:r>
      <w:r w:rsidR="00B74F84">
        <w:rPr>
          <w:rFonts w:ascii="Times New Roman" w:hAnsi="Times New Roman"/>
          <w:lang w:bidi="ta-IN"/>
        </w:rPr>
        <w:t>ustava</w:t>
      </w:r>
      <w:r w:rsidRPr="00155F80">
        <w:rPr>
          <w:rFonts w:ascii="Times New Roman" w:hAnsi="Times New Roman"/>
          <w:lang w:bidi="ta-IN"/>
        </w:rPr>
        <w:t xml:space="preserve"> upravo nedovoljno poznavanje neophodnih znanja i vještina upravljanja od strane rukovodi</w:t>
      </w:r>
      <w:r w:rsidR="00B74F84">
        <w:rPr>
          <w:rFonts w:ascii="Times New Roman" w:hAnsi="Times New Roman"/>
          <w:lang w:bidi="ta-IN"/>
        </w:rPr>
        <w:t>telja</w:t>
      </w:r>
      <w:r w:rsidRPr="00155F80">
        <w:rPr>
          <w:rFonts w:ascii="Times New Roman" w:hAnsi="Times New Roman"/>
          <w:lang w:bidi="ta-IN"/>
        </w:rPr>
        <w:t xml:space="preserve"> zdravstvenih ustanova. </w:t>
      </w:r>
    </w:p>
    <w:p w:rsidR="00D878AE" w:rsidRDefault="00D878AE" w:rsidP="00D878AE">
      <w:pPr>
        <w:spacing w:before="240" w:after="120" w:line="276" w:lineRule="auto"/>
        <w:contextualSpacing/>
        <w:rPr>
          <w:rFonts w:ascii="Times New Roman" w:hAnsi="Times New Roman"/>
        </w:rPr>
      </w:pPr>
      <w:r w:rsidRPr="00155F80">
        <w:rPr>
          <w:rFonts w:ascii="Times New Roman" w:hAnsi="Times New Roman"/>
          <w:lang w:val="pl-PL" w:bidi="ta-IN"/>
        </w:rPr>
        <w:t xml:space="preserve">To je razlog zbog čega je još od 2010. godine zakonska obveza da </w:t>
      </w:r>
      <w:r w:rsidR="00B74F84">
        <w:rPr>
          <w:rFonts w:ascii="Times New Roman" w:hAnsi="Times New Roman"/>
          <w:lang w:val="pl-PL" w:bidi="ta-IN"/>
        </w:rPr>
        <w:t>ravnatelji</w:t>
      </w:r>
      <w:r w:rsidRPr="00155F80">
        <w:rPr>
          <w:rFonts w:ascii="Times New Roman" w:hAnsi="Times New Roman"/>
          <w:lang w:val="pl-PL" w:bidi="ta-IN"/>
        </w:rPr>
        <w:t xml:space="preserve"> zdravstvenih ustanova, kao u</w:t>
      </w:r>
      <w:r w:rsidR="00B74F84">
        <w:rPr>
          <w:rFonts w:ascii="Times New Roman" w:hAnsi="Times New Roman"/>
          <w:lang w:val="pl-PL" w:bidi="ta-IN"/>
        </w:rPr>
        <w:t>vjet</w:t>
      </w:r>
      <w:r w:rsidRPr="00155F80">
        <w:rPr>
          <w:rFonts w:ascii="Times New Roman" w:hAnsi="Times New Roman"/>
          <w:lang w:val="pl-PL" w:bidi="ta-IN"/>
        </w:rPr>
        <w:t xml:space="preserve"> za obavljanje te funkcije moraju imati certifikat o završenoj edukaciji iz zdravstvenog menadžmenta.</w:t>
      </w:r>
      <w:r>
        <w:rPr>
          <w:rFonts w:ascii="Times New Roman" w:hAnsi="Times New Roman"/>
          <w:lang w:val="pl-PL" w:bidi="ta-IN"/>
        </w:rPr>
        <w:t xml:space="preserve"> (</w:t>
      </w:r>
      <w:r w:rsidRPr="008E52C4">
        <w:rPr>
          <w:rFonts w:ascii="Times New Roman" w:hAnsi="Times New Roman"/>
        </w:rPr>
        <w:t xml:space="preserve">Zakon o zdravstvenoj zaštiti, </w:t>
      </w:r>
      <w:r w:rsidR="00B74F84">
        <w:rPr>
          <w:rFonts w:ascii="Times New Roman" w:hAnsi="Times New Roman"/>
        </w:rPr>
        <w:t>“</w:t>
      </w:r>
      <w:r w:rsidRPr="008E52C4">
        <w:rPr>
          <w:rFonts w:ascii="Times New Roman" w:hAnsi="Times New Roman"/>
        </w:rPr>
        <w:t xml:space="preserve">Sl. novine </w:t>
      </w:r>
      <w:r w:rsidR="00B74F84">
        <w:rPr>
          <w:rFonts w:ascii="Times New Roman" w:hAnsi="Times New Roman"/>
        </w:rPr>
        <w:t xml:space="preserve">FBiH” </w:t>
      </w:r>
      <w:r w:rsidRPr="008E52C4">
        <w:rPr>
          <w:rFonts w:ascii="Times New Roman" w:hAnsi="Times New Roman"/>
        </w:rPr>
        <w:t>br. 46/10</w:t>
      </w:r>
      <w:r>
        <w:rPr>
          <w:rFonts w:ascii="Times New Roman" w:hAnsi="Times New Roman"/>
        </w:rPr>
        <w:t xml:space="preserve"> 9 75/13)</w:t>
      </w:r>
    </w:p>
    <w:p w:rsidR="00D878AE" w:rsidRPr="00155F80" w:rsidRDefault="00D878AE" w:rsidP="00D878AE">
      <w:pPr>
        <w:spacing w:line="276" w:lineRule="auto"/>
        <w:rPr>
          <w:rFonts w:ascii="Times New Roman" w:hAnsi="Times New Roman"/>
          <w:lang w:val="pl-PL" w:bidi="ta-IN"/>
        </w:rPr>
      </w:pPr>
      <w:r w:rsidRPr="00155F80">
        <w:rPr>
          <w:rFonts w:ascii="Times New Roman" w:hAnsi="Times New Roman"/>
          <w:lang w:val="pl-PL" w:bidi="ta-IN"/>
        </w:rPr>
        <w:t xml:space="preserve">Jedna od mogućnosti </w:t>
      </w:r>
      <w:r>
        <w:rPr>
          <w:rFonts w:ascii="Times New Roman" w:hAnsi="Times New Roman"/>
          <w:lang w:val="pl-PL" w:bidi="ta-IN"/>
        </w:rPr>
        <w:t xml:space="preserve">za </w:t>
      </w:r>
      <w:r w:rsidRPr="00155F80">
        <w:rPr>
          <w:rFonts w:ascii="Times New Roman" w:hAnsi="Times New Roman"/>
          <w:lang w:val="pl-PL" w:bidi="ta-IN"/>
        </w:rPr>
        <w:t xml:space="preserve">dobivanje spomenutog certifikata je i završena kontinuirana profesionalna edukacija iz zdravstvenog menadžmenta (KPE), koja se u tri </w:t>
      </w:r>
      <w:r w:rsidR="00B74F84">
        <w:rPr>
          <w:rFonts w:ascii="Times New Roman" w:hAnsi="Times New Roman"/>
          <w:lang w:val="pl-PL" w:bidi="ta-IN"/>
        </w:rPr>
        <w:t>razine</w:t>
      </w:r>
      <w:r w:rsidRPr="00155F80">
        <w:rPr>
          <w:rFonts w:ascii="Times New Roman" w:hAnsi="Times New Roman"/>
          <w:lang w:val="pl-PL" w:bidi="ta-IN"/>
        </w:rPr>
        <w:t xml:space="preserve"> edukacije provodi od 2012.</w:t>
      </w:r>
      <w:r>
        <w:rPr>
          <w:rFonts w:ascii="Times New Roman" w:hAnsi="Times New Roman"/>
          <w:lang w:val="pl-PL" w:bidi="ta-IN"/>
        </w:rPr>
        <w:t xml:space="preserve"> </w:t>
      </w:r>
      <w:r w:rsidRPr="00155F80">
        <w:rPr>
          <w:rFonts w:ascii="Times New Roman" w:hAnsi="Times New Roman"/>
          <w:lang w:val="pl-PL" w:bidi="ta-IN"/>
        </w:rPr>
        <w:t>godine.</w:t>
      </w:r>
    </w:p>
    <w:p w:rsidR="00D878AE" w:rsidRPr="00155F80" w:rsidRDefault="00D878AE" w:rsidP="00D878AE">
      <w:pPr>
        <w:spacing w:line="276" w:lineRule="auto"/>
        <w:rPr>
          <w:rFonts w:ascii="Times New Roman" w:hAnsi="Times New Roman"/>
        </w:rPr>
      </w:pPr>
      <w:r w:rsidRPr="00155F80">
        <w:rPr>
          <w:rFonts w:ascii="Times New Roman" w:hAnsi="Times New Roman"/>
        </w:rPr>
        <w:t xml:space="preserve">Sredinom 2015. godine, na temelju evaluacije primjedbi i prijedloga polaznika edukacije iz prethodnih godina, te zahtjeva federalnog ministra zdravstva, urađen je redizajn Curriculum-a KPE. </w:t>
      </w:r>
    </w:p>
    <w:p w:rsidR="00D878AE" w:rsidRPr="00155F80" w:rsidRDefault="00D878AE" w:rsidP="00D878AE">
      <w:pPr>
        <w:spacing w:line="276" w:lineRule="auto"/>
        <w:rPr>
          <w:rFonts w:ascii="Times New Roman" w:hAnsi="Times New Roman"/>
        </w:rPr>
      </w:pPr>
      <w:r w:rsidRPr="00155F80">
        <w:rPr>
          <w:rFonts w:ascii="Times New Roman" w:hAnsi="Times New Roman"/>
        </w:rPr>
        <w:t>Također na prijedlog federalnog ministra zdravstva, u redizajn Curriculuma, organizaciju i provedbu nastave, uključeni su, osim Zavoda za javno zdravstvo FBiH i Ekonomskog fakulteta Univerziteta u Sarajevu i ostali ekonomski i medic</w:t>
      </w:r>
      <w:r w:rsidR="0069577B">
        <w:rPr>
          <w:rFonts w:ascii="Times New Roman" w:hAnsi="Times New Roman"/>
        </w:rPr>
        <w:t>inski fakulteti sa Univerziteta</w:t>
      </w:r>
      <w:r w:rsidRPr="00155F80">
        <w:rPr>
          <w:rFonts w:ascii="Times New Roman" w:hAnsi="Times New Roman"/>
        </w:rPr>
        <w:t xml:space="preserve"> koja u svojem sastavu imaju oba ta fakulteta, kao i Agencija za kontrolu kvaliteta u zdravstvu F</w:t>
      </w:r>
      <w:r>
        <w:rPr>
          <w:rFonts w:ascii="Times New Roman" w:hAnsi="Times New Roman"/>
        </w:rPr>
        <w:t>ederacije</w:t>
      </w:r>
      <w:r w:rsidRPr="00155F80">
        <w:rPr>
          <w:rFonts w:ascii="Times New Roman" w:hAnsi="Times New Roman"/>
        </w:rPr>
        <w:t xml:space="preserve"> BiH</w:t>
      </w:r>
      <w:r w:rsidRPr="00FD4C13">
        <w:rPr>
          <w:rFonts w:ascii="Times New Roman" w:hAnsi="Times New Roman"/>
        </w:rPr>
        <w:t xml:space="preserve"> </w:t>
      </w:r>
      <w:r>
        <w:rPr>
          <w:rFonts w:ascii="Times New Roman" w:hAnsi="Times New Roman"/>
        </w:rPr>
        <w:t>(AKAZ</w:t>
      </w:r>
      <w:r w:rsidRPr="00155F80">
        <w:rPr>
          <w:rFonts w:ascii="Times New Roman" w:hAnsi="Times New Roman"/>
        </w:rPr>
        <w:t>).</w:t>
      </w:r>
    </w:p>
    <w:p w:rsidR="00D878AE" w:rsidRPr="00155F80" w:rsidRDefault="00D878AE" w:rsidP="00D878AE">
      <w:pPr>
        <w:spacing w:line="276" w:lineRule="auto"/>
        <w:rPr>
          <w:rFonts w:ascii="Times New Roman" w:hAnsi="Times New Roman"/>
        </w:rPr>
      </w:pPr>
      <w:r w:rsidRPr="00155F80">
        <w:rPr>
          <w:rFonts w:ascii="Times New Roman" w:hAnsi="Times New Roman"/>
        </w:rPr>
        <w:t>Novi ciklus KPE, po novom C</w:t>
      </w:r>
      <w:r>
        <w:rPr>
          <w:rFonts w:ascii="Times New Roman" w:hAnsi="Times New Roman"/>
        </w:rPr>
        <w:t xml:space="preserve">urriculum-u, započeo je u </w:t>
      </w:r>
      <w:r w:rsidR="00B74F84">
        <w:rPr>
          <w:rFonts w:ascii="Times New Roman" w:hAnsi="Times New Roman"/>
        </w:rPr>
        <w:t>rujnu</w:t>
      </w:r>
      <w:r w:rsidRPr="00155F80">
        <w:rPr>
          <w:rFonts w:ascii="Times New Roman" w:hAnsi="Times New Roman"/>
        </w:rPr>
        <w:t xml:space="preserve"> 2015. godine.</w:t>
      </w:r>
    </w:p>
    <w:p w:rsidR="00D878AE" w:rsidRPr="00155F80" w:rsidRDefault="00D878AE" w:rsidP="00D878AE">
      <w:pPr>
        <w:spacing w:line="276" w:lineRule="auto"/>
        <w:rPr>
          <w:rFonts w:ascii="Times New Roman" w:hAnsi="Times New Roman"/>
        </w:rPr>
      </w:pPr>
      <w:r w:rsidRPr="00155F80">
        <w:rPr>
          <w:rFonts w:ascii="Times New Roman" w:hAnsi="Times New Roman"/>
        </w:rPr>
        <w:t>Od 2012.</w:t>
      </w:r>
      <w:r>
        <w:rPr>
          <w:rFonts w:ascii="Times New Roman" w:hAnsi="Times New Roman"/>
        </w:rPr>
        <w:t xml:space="preserve"> </w:t>
      </w:r>
      <w:r w:rsidRPr="00155F80">
        <w:rPr>
          <w:rFonts w:ascii="Times New Roman" w:hAnsi="Times New Roman"/>
        </w:rPr>
        <w:t>godine, kada je KPE počela, pa do kraja 2015.</w:t>
      </w:r>
      <w:r>
        <w:rPr>
          <w:rFonts w:ascii="Times New Roman" w:hAnsi="Times New Roman"/>
        </w:rPr>
        <w:t xml:space="preserve"> </w:t>
      </w:r>
      <w:r w:rsidRPr="00155F80">
        <w:rPr>
          <w:rFonts w:ascii="Times New Roman" w:hAnsi="Times New Roman"/>
        </w:rPr>
        <w:t>godine, KPE osnovn</w:t>
      </w:r>
      <w:r w:rsidR="00B74F84">
        <w:rPr>
          <w:rFonts w:ascii="Times New Roman" w:hAnsi="Times New Roman"/>
        </w:rPr>
        <w:t>e razine</w:t>
      </w:r>
      <w:r w:rsidRPr="00155F80">
        <w:rPr>
          <w:rFonts w:ascii="Times New Roman" w:hAnsi="Times New Roman"/>
        </w:rPr>
        <w:t xml:space="preserve"> edukacije završila su 289 polaznika, edukaciju srednje </w:t>
      </w:r>
      <w:r w:rsidR="00B74F84">
        <w:rPr>
          <w:rFonts w:ascii="Times New Roman" w:hAnsi="Times New Roman"/>
        </w:rPr>
        <w:t>razine</w:t>
      </w:r>
      <w:r w:rsidRPr="00155F80">
        <w:rPr>
          <w:rFonts w:ascii="Times New Roman" w:hAnsi="Times New Roman"/>
        </w:rPr>
        <w:t xml:space="preserve"> edukacije završila su 287 polaznika, a edukaciju napredn</w:t>
      </w:r>
      <w:r w:rsidR="00B74F84">
        <w:rPr>
          <w:rFonts w:ascii="Times New Roman" w:hAnsi="Times New Roman"/>
        </w:rPr>
        <w:t>e razine</w:t>
      </w:r>
      <w:r>
        <w:rPr>
          <w:rFonts w:ascii="Times New Roman" w:hAnsi="Times New Roman"/>
        </w:rPr>
        <w:t xml:space="preserve"> </w:t>
      </w:r>
      <w:r w:rsidRPr="00155F80">
        <w:rPr>
          <w:rFonts w:ascii="Times New Roman" w:hAnsi="Times New Roman"/>
        </w:rPr>
        <w:t>(top menadžeri) 223, od toga u 2015</w:t>
      </w:r>
      <w:r>
        <w:rPr>
          <w:rFonts w:ascii="Times New Roman" w:hAnsi="Times New Roman"/>
        </w:rPr>
        <w:t xml:space="preserve"> </w:t>
      </w:r>
      <w:r w:rsidRPr="00155F80">
        <w:rPr>
          <w:rFonts w:ascii="Times New Roman" w:hAnsi="Times New Roman"/>
        </w:rPr>
        <w:t>.godini osnovn</w:t>
      </w:r>
      <w:r w:rsidR="00B74F84">
        <w:rPr>
          <w:rFonts w:ascii="Times New Roman" w:hAnsi="Times New Roman"/>
        </w:rPr>
        <w:t>u</w:t>
      </w:r>
      <w:r w:rsidRPr="00155F80">
        <w:rPr>
          <w:rFonts w:ascii="Times New Roman" w:hAnsi="Times New Roman"/>
        </w:rPr>
        <w:t xml:space="preserve"> </w:t>
      </w:r>
      <w:r w:rsidR="00B74F84">
        <w:rPr>
          <w:rFonts w:ascii="Times New Roman" w:hAnsi="Times New Roman"/>
        </w:rPr>
        <w:t>razinu</w:t>
      </w:r>
      <w:r w:rsidRPr="00155F80">
        <w:rPr>
          <w:rFonts w:ascii="Times New Roman" w:hAnsi="Times New Roman"/>
        </w:rPr>
        <w:t xml:space="preserve"> 68, srednj</w:t>
      </w:r>
      <w:r w:rsidR="00B74F84">
        <w:rPr>
          <w:rFonts w:ascii="Times New Roman" w:hAnsi="Times New Roman"/>
        </w:rPr>
        <w:t>u</w:t>
      </w:r>
      <w:r w:rsidRPr="00155F80">
        <w:rPr>
          <w:rFonts w:ascii="Times New Roman" w:hAnsi="Times New Roman"/>
        </w:rPr>
        <w:t xml:space="preserve"> 75 i napredn</w:t>
      </w:r>
      <w:r w:rsidR="00B74F84">
        <w:rPr>
          <w:rFonts w:ascii="Times New Roman" w:hAnsi="Times New Roman"/>
        </w:rPr>
        <w:t>u</w:t>
      </w:r>
      <w:r w:rsidRPr="00155F80">
        <w:rPr>
          <w:rFonts w:ascii="Times New Roman" w:hAnsi="Times New Roman"/>
        </w:rPr>
        <w:t xml:space="preserve"> </w:t>
      </w:r>
      <w:r w:rsidR="00B74F84">
        <w:rPr>
          <w:rFonts w:ascii="Times New Roman" w:hAnsi="Times New Roman"/>
        </w:rPr>
        <w:t>razinu</w:t>
      </w:r>
      <w:r w:rsidRPr="00155F80">
        <w:rPr>
          <w:rFonts w:ascii="Times New Roman" w:hAnsi="Times New Roman"/>
        </w:rPr>
        <w:t xml:space="preserve"> 80.</w:t>
      </w:r>
    </w:p>
    <w:p w:rsidR="00D878AE" w:rsidRPr="00155F80" w:rsidRDefault="00D878AE" w:rsidP="00D878AE">
      <w:pPr>
        <w:spacing w:line="276" w:lineRule="auto"/>
        <w:rPr>
          <w:rFonts w:ascii="Times New Roman" w:hAnsi="Times New Roman"/>
        </w:rPr>
      </w:pPr>
    </w:p>
    <w:p w:rsidR="00D878AE" w:rsidRPr="00155F80" w:rsidRDefault="00D878AE" w:rsidP="00D878AE">
      <w:pPr>
        <w:spacing w:line="276" w:lineRule="auto"/>
        <w:rPr>
          <w:rFonts w:ascii="Times New Roman" w:hAnsi="Times New Roman"/>
          <w:lang w:val="de-DE"/>
        </w:rPr>
      </w:pPr>
      <w:r w:rsidRPr="00155F80">
        <w:rPr>
          <w:rFonts w:ascii="Times New Roman" w:hAnsi="Times New Roman"/>
          <w:lang w:val="de-DE"/>
        </w:rPr>
        <w:t>U 2015. godini je Agencije za kvalitet</w:t>
      </w:r>
      <w:r w:rsidR="00B74F84">
        <w:rPr>
          <w:rFonts w:ascii="Times New Roman" w:hAnsi="Times New Roman"/>
          <w:lang w:val="de-DE"/>
        </w:rPr>
        <w:t>u</w:t>
      </w:r>
      <w:r w:rsidRPr="00155F80">
        <w:rPr>
          <w:rFonts w:ascii="Times New Roman" w:hAnsi="Times New Roman"/>
          <w:lang w:val="de-DE"/>
        </w:rPr>
        <w:t xml:space="preserve"> i akreditaciju u zdravstvu u FBiH (AKAZ) ostvarila najbolje rezultate od svog osnivanja. Realiziran je vanjski pregled Pshijatrijske bolnice Kantona Sarajevo, koja je postala i prva akreditirana bolnica u Bosni i Hercegovini u cjelini sa svim službama i organizaci</w:t>
      </w:r>
      <w:r w:rsidR="00B74F84">
        <w:rPr>
          <w:rFonts w:ascii="Times New Roman" w:hAnsi="Times New Roman"/>
          <w:lang w:val="de-DE"/>
        </w:rPr>
        <w:t>jskim</w:t>
      </w:r>
      <w:r w:rsidRPr="00155F80">
        <w:rPr>
          <w:rFonts w:ascii="Times New Roman" w:hAnsi="Times New Roman"/>
          <w:lang w:val="de-DE"/>
        </w:rPr>
        <w:t xml:space="preserve"> jedinicama. Također, u sklopu suradnje s UNICEF</w:t>
      </w:r>
      <w:r w:rsidRPr="00155F80">
        <w:rPr>
          <w:rFonts w:ascii="Cambria Math" w:hAnsi="Cambria Math" w:cs="Cambria Math"/>
          <w:lang w:val="de-DE"/>
        </w:rPr>
        <w:t>‐</w:t>
      </w:r>
      <w:r w:rsidRPr="00155F80">
        <w:rPr>
          <w:rFonts w:ascii="Times New Roman" w:hAnsi="Times New Roman"/>
          <w:lang w:val="de-DE"/>
        </w:rPr>
        <w:t xml:space="preserve">om BiH izvršen je vanjski pregled u ukupno četiri bolnice u FBiH (Tešanj, Orašje, Brčko i Jajce), te je u ovoj godini dodijeljena fokusirana akreditacija – „bolnice prijatelji beba“ za ukupno 15 bolnica/rodilišta u Federaciji BiH i u Brčko distriktu. </w:t>
      </w:r>
    </w:p>
    <w:p w:rsidR="00D878AE" w:rsidRPr="00155F80" w:rsidRDefault="00D878AE" w:rsidP="00D878AE">
      <w:pPr>
        <w:spacing w:line="276" w:lineRule="auto"/>
        <w:rPr>
          <w:rFonts w:ascii="Times New Roman" w:hAnsi="Times New Roman"/>
          <w:lang w:val="de-DE"/>
        </w:rPr>
      </w:pPr>
    </w:p>
    <w:p w:rsidR="00D878AE" w:rsidRPr="00155F80" w:rsidRDefault="00D878AE" w:rsidP="00D878AE">
      <w:pPr>
        <w:spacing w:line="276" w:lineRule="auto"/>
        <w:rPr>
          <w:rFonts w:ascii="Times New Roman" w:hAnsi="Times New Roman"/>
        </w:rPr>
      </w:pPr>
      <w:r w:rsidRPr="00155F80">
        <w:rPr>
          <w:rFonts w:ascii="Times New Roman" w:hAnsi="Times New Roman"/>
          <w:lang w:val="de-DE"/>
        </w:rPr>
        <w:t xml:space="preserve">U 2015. godini akreditacijski status je dodijeljen za sedam centara za mentalno zdravlje (CMZ), te je ukupan broj akreditiranih centara za mentalno zdravlje 20 u FBiH. U ovoj godini je obavljeno i osam </w:t>
      </w:r>
      <w:r w:rsidRPr="00155F80">
        <w:rPr>
          <w:rFonts w:ascii="Times New Roman" w:hAnsi="Times New Roman"/>
          <w:lang w:val="de-DE"/>
        </w:rPr>
        <w:lastRenderedPageBreak/>
        <w:t xml:space="preserve">nadzornih pregleda CMZ koji su stekli akreditacijski status u prethodnom </w:t>
      </w:r>
      <w:r w:rsidR="00B74F84">
        <w:rPr>
          <w:rFonts w:ascii="Times New Roman" w:hAnsi="Times New Roman"/>
          <w:lang w:val="de-DE"/>
        </w:rPr>
        <w:t>razdoblju</w:t>
      </w:r>
      <w:r w:rsidRPr="00155F80">
        <w:rPr>
          <w:rFonts w:ascii="Times New Roman" w:hAnsi="Times New Roman"/>
          <w:lang w:val="de-DE"/>
        </w:rPr>
        <w:t xml:space="preserve">. </w:t>
      </w:r>
      <w:r w:rsidRPr="00155F80">
        <w:rPr>
          <w:rFonts w:ascii="Times New Roman" w:hAnsi="Times New Roman"/>
        </w:rPr>
        <w:t>Akreditacijski status su stekla tri drop</w:t>
      </w:r>
      <w:r w:rsidRPr="00155F80">
        <w:rPr>
          <w:rFonts w:ascii="Cambria Math" w:hAnsi="Cambria Math" w:cs="Cambria Math"/>
        </w:rPr>
        <w:t>‐</w:t>
      </w:r>
      <w:r w:rsidRPr="00155F80">
        <w:rPr>
          <w:rFonts w:ascii="Times New Roman" w:hAnsi="Times New Roman"/>
        </w:rPr>
        <w:t>in centra iz sastava Asocijacije Margina u 2015. godini u Tuzli, Mostaru i Zenici.</w:t>
      </w:r>
    </w:p>
    <w:p w:rsidR="00D878AE" w:rsidRPr="00155F80" w:rsidRDefault="00D878AE" w:rsidP="00D878AE">
      <w:pPr>
        <w:spacing w:line="276" w:lineRule="auto"/>
        <w:rPr>
          <w:rFonts w:ascii="Times New Roman" w:hAnsi="Times New Roman"/>
        </w:rPr>
      </w:pPr>
      <w:r w:rsidRPr="00155F80">
        <w:rPr>
          <w:rFonts w:ascii="Times New Roman" w:hAnsi="Times New Roman"/>
        </w:rPr>
        <w:t xml:space="preserve">U </w:t>
      </w:r>
      <w:r>
        <w:rPr>
          <w:rFonts w:ascii="Times New Roman" w:hAnsi="Times New Roman"/>
        </w:rPr>
        <w:t>2015. godini</w:t>
      </w:r>
      <w:r w:rsidRPr="00155F80">
        <w:rPr>
          <w:rFonts w:ascii="Times New Roman" w:hAnsi="Times New Roman"/>
        </w:rPr>
        <w:t xml:space="preserve"> je AKAZ započeo sa </w:t>
      </w:r>
      <w:r w:rsidR="00B74F84">
        <w:rPr>
          <w:rFonts w:ascii="Times New Roman" w:hAnsi="Times New Roman"/>
        </w:rPr>
        <w:t>c</w:t>
      </w:r>
      <w:r w:rsidRPr="00155F80">
        <w:rPr>
          <w:rFonts w:ascii="Times New Roman" w:hAnsi="Times New Roman"/>
        </w:rPr>
        <w:t>ertifikacijom (s</w:t>
      </w:r>
      <w:r w:rsidR="00B74F84">
        <w:rPr>
          <w:rFonts w:ascii="Times New Roman" w:hAnsi="Times New Roman"/>
        </w:rPr>
        <w:t>ustav</w:t>
      </w:r>
      <w:r w:rsidRPr="00155F80">
        <w:rPr>
          <w:rFonts w:ascii="Times New Roman" w:hAnsi="Times New Roman"/>
        </w:rPr>
        <w:t xml:space="preserve"> sigurnosnih standarda) zdravstvenih ustanova. Izvršen je pregled i dodijeljena </w:t>
      </w:r>
      <w:r w:rsidR="00B74F84">
        <w:rPr>
          <w:rFonts w:ascii="Times New Roman" w:hAnsi="Times New Roman"/>
        </w:rPr>
        <w:t>c</w:t>
      </w:r>
      <w:r w:rsidRPr="00155F80">
        <w:rPr>
          <w:rFonts w:ascii="Times New Roman" w:hAnsi="Times New Roman"/>
        </w:rPr>
        <w:t>ertifikacija z</w:t>
      </w:r>
      <w:r w:rsidR="0069577B">
        <w:rPr>
          <w:rFonts w:ascii="Times New Roman" w:hAnsi="Times New Roman"/>
        </w:rPr>
        <w:t xml:space="preserve">a 99 timova/ambulanti </w:t>
      </w:r>
      <w:r w:rsidR="00B74F84">
        <w:rPr>
          <w:rFonts w:ascii="Times New Roman" w:hAnsi="Times New Roman"/>
        </w:rPr>
        <w:t>obiteljske</w:t>
      </w:r>
      <w:r w:rsidRPr="00155F80">
        <w:rPr>
          <w:rFonts w:ascii="Times New Roman" w:hAnsi="Times New Roman"/>
        </w:rPr>
        <w:t xml:space="preserve"> medicine iz sastava JU Dom zdavlja Kantona Sarajevo kao i 17 </w:t>
      </w:r>
      <w:r w:rsidR="00B74F84">
        <w:rPr>
          <w:rFonts w:ascii="Times New Roman" w:hAnsi="Times New Roman"/>
        </w:rPr>
        <w:t>ljekarni</w:t>
      </w:r>
      <w:r w:rsidRPr="00155F80">
        <w:rPr>
          <w:rFonts w:ascii="Times New Roman" w:hAnsi="Times New Roman"/>
        </w:rPr>
        <w:t xml:space="preserve"> – zdravstvenih ustanova. </w:t>
      </w:r>
    </w:p>
    <w:p w:rsidR="00D878AE" w:rsidRPr="00155F80" w:rsidRDefault="00D878AE" w:rsidP="00D878AE">
      <w:pPr>
        <w:spacing w:line="276" w:lineRule="auto"/>
        <w:rPr>
          <w:rFonts w:ascii="Times New Roman" w:hAnsi="Times New Roman"/>
        </w:rPr>
      </w:pPr>
      <w:r w:rsidRPr="00155F80">
        <w:rPr>
          <w:rFonts w:ascii="Times New Roman" w:hAnsi="Times New Roman"/>
        </w:rPr>
        <w:t xml:space="preserve">Pored ovih aktivnosti, u edukativne programe i obuke AKAZ-a </w:t>
      </w:r>
      <w:r w:rsidR="00C861DA">
        <w:rPr>
          <w:rFonts w:ascii="Times New Roman" w:hAnsi="Times New Roman"/>
        </w:rPr>
        <w:t>je</w:t>
      </w:r>
      <w:r w:rsidRPr="00155F80">
        <w:rPr>
          <w:rFonts w:ascii="Times New Roman" w:hAnsi="Times New Roman"/>
        </w:rPr>
        <w:t xml:space="preserve"> bil</w:t>
      </w:r>
      <w:r w:rsidR="00C861DA">
        <w:rPr>
          <w:rFonts w:ascii="Times New Roman" w:hAnsi="Times New Roman"/>
        </w:rPr>
        <w:t>o</w:t>
      </w:r>
      <w:r w:rsidRPr="00155F80">
        <w:rPr>
          <w:rFonts w:ascii="Times New Roman" w:hAnsi="Times New Roman"/>
        </w:rPr>
        <w:t xml:space="preserve"> uključen</w:t>
      </w:r>
      <w:r w:rsidR="00C861DA">
        <w:rPr>
          <w:rFonts w:ascii="Times New Roman" w:hAnsi="Times New Roman"/>
        </w:rPr>
        <w:t>o</w:t>
      </w:r>
      <w:r w:rsidRPr="00155F80">
        <w:rPr>
          <w:rFonts w:ascii="Times New Roman" w:hAnsi="Times New Roman"/>
        </w:rPr>
        <w:t xml:space="preserve"> 533 zdravstven</w:t>
      </w:r>
      <w:r w:rsidR="00C861DA">
        <w:rPr>
          <w:rFonts w:ascii="Times New Roman" w:hAnsi="Times New Roman"/>
        </w:rPr>
        <w:t>a</w:t>
      </w:r>
      <w:r w:rsidRPr="00155F80">
        <w:rPr>
          <w:rFonts w:ascii="Times New Roman" w:hAnsi="Times New Roman"/>
        </w:rPr>
        <w:t xml:space="preserve"> </w:t>
      </w:r>
      <w:r w:rsidR="00C861DA">
        <w:rPr>
          <w:rFonts w:ascii="Times New Roman" w:hAnsi="Times New Roman"/>
        </w:rPr>
        <w:t>djelatnika</w:t>
      </w:r>
      <w:r w:rsidRPr="00155F80">
        <w:rPr>
          <w:rFonts w:ascii="Times New Roman" w:hAnsi="Times New Roman"/>
        </w:rPr>
        <w:t xml:space="preserve"> </w:t>
      </w:r>
      <w:r>
        <w:rPr>
          <w:rFonts w:ascii="Times New Roman" w:hAnsi="Times New Roman"/>
        </w:rPr>
        <w:t>i zdravstvenih s</w:t>
      </w:r>
      <w:r w:rsidR="00B74F84">
        <w:rPr>
          <w:rFonts w:ascii="Times New Roman" w:hAnsi="Times New Roman"/>
        </w:rPr>
        <w:t>u</w:t>
      </w:r>
      <w:r>
        <w:rPr>
          <w:rFonts w:ascii="Times New Roman" w:hAnsi="Times New Roman"/>
        </w:rPr>
        <w:t>radnika. Takođ</w:t>
      </w:r>
      <w:r w:rsidRPr="00155F80">
        <w:rPr>
          <w:rFonts w:ascii="Times New Roman" w:hAnsi="Times New Roman"/>
        </w:rPr>
        <w:t xml:space="preserve">er, obavljeno je i 186 facilitatorskih posjeta u 15 zdravstvenih ustanova. </w:t>
      </w:r>
    </w:p>
    <w:p w:rsidR="00D878AE" w:rsidRPr="00155F80" w:rsidRDefault="00D878AE" w:rsidP="00D878AE">
      <w:pPr>
        <w:spacing w:line="276" w:lineRule="auto"/>
        <w:rPr>
          <w:rFonts w:ascii="Times New Roman" w:hAnsi="Times New Roman"/>
        </w:rPr>
      </w:pPr>
      <w:r w:rsidRPr="00155F80">
        <w:rPr>
          <w:rFonts w:ascii="Times New Roman" w:hAnsi="Times New Roman"/>
        </w:rPr>
        <w:t xml:space="preserve">AKAZ je u 2015. godini razvio </w:t>
      </w:r>
      <w:r w:rsidR="00B74F84">
        <w:rPr>
          <w:rFonts w:ascii="Times New Roman" w:hAnsi="Times New Roman"/>
        </w:rPr>
        <w:t>c</w:t>
      </w:r>
      <w:r w:rsidRPr="00155F80">
        <w:rPr>
          <w:rFonts w:ascii="Times New Roman" w:hAnsi="Times New Roman"/>
        </w:rPr>
        <w:t xml:space="preserve">ertifikacijske i akreditacijske standarde za kantonalne </w:t>
      </w:r>
      <w:r>
        <w:rPr>
          <w:rFonts w:ascii="Times New Roman" w:hAnsi="Times New Roman"/>
        </w:rPr>
        <w:t xml:space="preserve">zavode za javno zdravstvo, </w:t>
      </w:r>
      <w:r w:rsidRPr="00155F80">
        <w:rPr>
          <w:rFonts w:ascii="Times New Roman" w:hAnsi="Times New Roman"/>
        </w:rPr>
        <w:t xml:space="preserve">te uradio reviziju i pripremio nacrt jedinstvenog seta </w:t>
      </w:r>
      <w:r w:rsidR="00B74F84">
        <w:rPr>
          <w:rFonts w:ascii="Times New Roman" w:hAnsi="Times New Roman"/>
        </w:rPr>
        <w:t>c</w:t>
      </w:r>
      <w:r w:rsidRPr="00155F80">
        <w:rPr>
          <w:rFonts w:ascii="Times New Roman" w:hAnsi="Times New Roman"/>
        </w:rPr>
        <w:t>ertifikacijskih i akreditacijskih standard</w:t>
      </w:r>
      <w:r>
        <w:rPr>
          <w:rFonts w:ascii="Times New Roman" w:hAnsi="Times New Roman"/>
        </w:rPr>
        <w:t>a za centre za mentalno zdravlje</w:t>
      </w:r>
      <w:r w:rsidRPr="00155F80">
        <w:rPr>
          <w:rFonts w:ascii="Times New Roman" w:hAnsi="Times New Roman"/>
        </w:rPr>
        <w:t>.</w:t>
      </w:r>
    </w:p>
    <w:p w:rsidR="00D878AE" w:rsidRPr="00155F80" w:rsidRDefault="00D878AE" w:rsidP="00D878AE">
      <w:pPr>
        <w:pStyle w:val="Tekst0"/>
        <w:spacing w:line="276" w:lineRule="auto"/>
        <w:rPr>
          <w:sz w:val="22"/>
          <w:szCs w:val="22"/>
        </w:rPr>
      </w:pPr>
      <w:bookmarkStart w:id="338" w:name="_Toc390781139"/>
    </w:p>
    <w:p w:rsidR="00D878AE" w:rsidRPr="00155F80" w:rsidRDefault="00D878AE" w:rsidP="00D878AE">
      <w:pPr>
        <w:pStyle w:val="Poglavlje2"/>
        <w:spacing w:line="276" w:lineRule="auto"/>
      </w:pPr>
      <w:bookmarkStart w:id="339" w:name="_Toc456095936"/>
      <w:r w:rsidRPr="00155F80">
        <w:t xml:space="preserve">5.1 </w:t>
      </w:r>
      <w:r w:rsidR="0075437E">
        <w:t>Za</w:t>
      </w:r>
      <w:r w:rsidRPr="00155F80">
        <w:t>poslen</w:t>
      </w:r>
      <w:r w:rsidR="0075437E">
        <w:t>i</w:t>
      </w:r>
      <w:r w:rsidRPr="00155F80">
        <w:t xml:space="preserve"> u zdravstvu</w:t>
      </w:r>
      <w:bookmarkEnd w:id="338"/>
      <w:bookmarkEnd w:id="339"/>
      <w:r w:rsidRPr="00155F80">
        <w:t xml:space="preserve"> </w:t>
      </w:r>
    </w:p>
    <w:p w:rsidR="00D878AE" w:rsidRPr="00155F80" w:rsidRDefault="00D878AE" w:rsidP="00D878AE">
      <w:pPr>
        <w:pStyle w:val="Tekst0"/>
        <w:spacing w:line="276" w:lineRule="auto"/>
        <w:rPr>
          <w:sz w:val="22"/>
          <w:szCs w:val="22"/>
        </w:rPr>
      </w:pPr>
      <w:r w:rsidRPr="00155F80">
        <w:rPr>
          <w:sz w:val="22"/>
          <w:szCs w:val="22"/>
        </w:rPr>
        <w:t>Prema poda</w:t>
      </w:r>
      <w:r w:rsidR="00B74F84">
        <w:rPr>
          <w:sz w:val="22"/>
          <w:szCs w:val="22"/>
        </w:rPr>
        <w:t>t</w:t>
      </w:r>
      <w:r w:rsidRPr="00155F80">
        <w:rPr>
          <w:sz w:val="22"/>
          <w:szCs w:val="22"/>
        </w:rPr>
        <w:t xml:space="preserve">cima redovite zdravstvene statistike koji se odnose na javni sektor zdravstvene zaštite, u zdravstvenim ustanovama u Federaciji BiH je u 2015. godini bilo ukupno 26.435 </w:t>
      </w:r>
      <w:r w:rsidR="00B74F84">
        <w:rPr>
          <w:sz w:val="22"/>
          <w:szCs w:val="22"/>
        </w:rPr>
        <w:t>u</w:t>
      </w:r>
      <w:r w:rsidRPr="00155F80">
        <w:rPr>
          <w:sz w:val="22"/>
          <w:szCs w:val="22"/>
        </w:rPr>
        <w:t xml:space="preserve">poslenih (stopa 1.132/100.000 stanovnika), što u odnosu na 2010. godinu predstavlja povećanje za 3,4%. </w:t>
      </w:r>
    </w:p>
    <w:p w:rsidR="00D878AE" w:rsidRPr="00155F80" w:rsidRDefault="00D878AE" w:rsidP="00D878AE">
      <w:pPr>
        <w:pStyle w:val="Tekst0"/>
        <w:spacing w:line="276" w:lineRule="auto"/>
        <w:rPr>
          <w:sz w:val="22"/>
          <w:szCs w:val="22"/>
        </w:rPr>
      </w:pPr>
      <w:r w:rsidRPr="00155F80">
        <w:rPr>
          <w:sz w:val="22"/>
          <w:szCs w:val="22"/>
        </w:rPr>
        <w:t>Prema poda</w:t>
      </w:r>
      <w:r w:rsidR="00B74F84">
        <w:rPr>
          <w:sz w:val="22"/>
          <w:szCs w:val="22"/>
        </w:rPr>
        <w:t>t</w:t>
      </w:r>
      <w:r w:rsidRPr="00155F80">
        <w:rPr>
          <w:sz w:val="22"/>
          <w:szCs w:val="22"/>
        </w:rPr>
        <w:t xml:space="preserve">cima Zavoda zdravstvenog osiguranja i reosiguranja FBiH, u zavodima zdravstvenog osiguranja u Federaciji BiH je u 2015. godini bilo </w:t>
      </w:r>
      <w:r w:rsidR="0075437E">
        <w:rPr>
          <w:sz w:val="22"/>
          <w:szCs w:val="22"/>
        </w:rPr>
        <w:t>u</w:t>
      </w:r>
      <w:r w:rsidRPr="00155F80">
        <w:rPr>
          <w:sz w:val="22"/>
          <w:szCs w:val="22"/>
        </w:rPr>
        <w:t xml:space="preserve">posleno 833 </w:t>
      </w:r>
      <w:r w:rsidR="00C861DA">
        <w:rPr>
          <w:sz w:val="22"/>
          <w:szCs w:val="22"/>
        </w:rPr>
        <w:t>djelatnika</w:t>
      </w:r>
      <w:r w:rsidRPr="00155F80">
        <w:rPr>
          <w:sz w:val="22"/>
          <w:szCs w:val="22"/>
        </w:rPr>
        <w:t>.</w:t>
      </w:r>
    </w:p>
    <w:p w:rsidR="00D878AE" w:rsidRPr="00155F80" w:rsidRDefault="00D878AE" w:rsidP="00D878AE">
      <w:pPr>
        <w:pStyle w:val="Tekst0"/>
        <w:spacing w:line="276" w:lineRule="auto"/>
        <w:rPr>
          <w:iCs/>
          <w:lang w:val="bs-Latn-BA" w:eastAsia="bs-Latn-BA"/>
        </w:rPr>
      </w:pPr>
      <w:r w:rsidRPr="00155F80">
        <w:rPr>
          <w:sz w:val="22"/>
          <w:szCs w:val="22"/>
        </w:rPr>
        <w:t xml:space="preserve">U odnosu na 2010. godinu, u 2015. godini je broj zdravstvenih </w:t>
      </w:r>
      <w:r w:rsidR="007A0601">
        <w:rPr>
          <w:sz w:val="22"/>
          <w:szCs w:val="22"/>
        </w:rPr>
        <w:t>djelatnika</w:t>
      </w:r>
      <w:r w:rsidRPr="00155F80">
        <w:rPr>
          <w:sz w:val="22"/>
          <w:szCs w:val="22"/>
        </w:rPr>
        <w:t xml:space="preserve"> povećan za 5,1%, broj </w:t>
      </w:r>
      <w:r w:rsidRPr="00D878AE">
        <w:rPr>
          <w:sz w:val="22"/>
          <w:szCs w:val="22"/>
        </w:rPr>
        <w:t>zdravstvenih s</w:t>
      </w:r>
      <w:r w:rsidR="007A0601">
        <w:rPr>
          <w:sz w:val="22"/>
          <w:szCs w:val="22"/>
        </w:rPr>
        <w:t>u</w:t>
      </w:r>
      <w:r w:rsidRPr="00D878AE">
        <w:rPr>
          <w:sz w:val="22"/>
          <w:szCs w:val="22"/>
        </w:rPr>
        <w:t>radnika je povećan za 10,9%, a broj administrativnih i tehničkih radnika smanjen za</w:t>
      </w:r>
      <w:r w:rsidRPr="00155F80">
        <w:rPr>
          <w:sz w:val="22"/>
          <w:szCs w:val="22"/>
        </w:rPr>
        <w:t xml:space="preserve"> 1,6%. </w:t>
      </w:r>
      <w:r w:rsidRPr="00155F80">
        <w:br w:type="page"/>
      </w:r>
    </w:p>
    <w:p w:rsidR="00D878AE" w:rsidRDefault="00D878AE" w:rsidP="00D878AE">
      <w:pPr>
        <w:pStyle w:val="refererere"/>
        <w:jc w:val="left"/>
      </w:pPr>
      <w:r w:rsidRPr="00155F80">
        <w:lastRenderedPageBreak/>
        <w:t xml:space="preserve">Grafikon 89: </w:t>
      </w:r>
      <w:r w:rsidR="007A0601">
        <w:t>U</w:t>
      </w:r>
      <w:r w:rsidRPr="00155F80">
        <w:t xml:space="preserve">posleni u zdravstvenim ustanovama u Federaciji BiH, </w:t>
      </w:r>
      <w:r w:rsidR="007A0601">
        <w:t>razdoblje</w:t>
      </w:r>
      <w:r w:rsidRPr="00155F80">
        <w:t xml:space="preserve"> 2010.</w:t>
      </w:r>
      <w:r>
        <w:t xml:space="preserve">-2015. godina, stopa na 100.000 </w:t>
      </w:r>
      <w:r w:rsidRPr="00155F80">
        <w:t>stanovnika</w:t>
      </w:r>
    </w:p>
    <w:p w:rsidR="00D878AE" w:rsidRDefault="00D878AE" w:rsidP="00D878AE">
      <w:pPr>
        <w:pStyle w:val="refererere"/>
        <w:jc w:val="left"/>
      </w:pPr>
      <w:r>
        <w:rPr>
          <w:noProof/>
          <w:lang w:val="bs-Latn-BA" w:eastAsia="bs-Latn-BA"/>
        </w:rPr>
        <w:drawing>
          <wp:inline distT="0" distB="0" distL="0" distR="0" wp14:anchorId="25F28FAD" wp14:editId="657EB4BD">
            <wp:extent cx="5770880" cy="1828800"/>
            <wp:effectExtent l="0" t="0" r="1270" b="0"/>
            <wp:docPr id="63" name="Chart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rsidR="00D878AE" w:rsidRDefault="00D878AE" w:rsidP="00D878AE">
      <w:pPr>
        <w:pStyle w:val="refererere"/>
        <w:jc w:val="left"/>
      </w:pPr>
    </w:p>
    <w:p w:rsidR="00D878AE" w:rsidRPr="00155F80" w:rsidRDefault="00D878AE" w:rsidP="003066C2">
      <w:pPr>
        <w:pStyle w:val="Tekst0"/>
        <w:spacing w:before="0" w:line="276" w:lineRule="auto"/>
        <w:rPr>
          <w:sz w:val="22"/>
          <w:szCs w:val="22"/>
        </w:rPr>
      </w:pPr>
      <w:r w:rsidRPr="00155F80">
        <w:rPr>
          <w:sz w:val="22"/>
          <w:szCs w:val="22"/>
        </w:rPr>
        <w:t>Slično pre</w:t>
      </w:r>
      <w:r w:rsidR="007A0601">
        <w:rPr>
          <w:sz w:val="22"/>
          <w:szCs w:val="22"/>
        </w:rPr>
        <w:t>t</w:t>
      </w:r>
      <w:r w:rsidRPr="00155F80">
        <w:rPr>
          <w:sz w:val="22"/>
          <w:szCs w:val="22"/>
        </w:rPr>
        <w:t xml:space="preserve">hodnim godinama, u 2015. godini su zdravstveni </w:t>
      </w:r>
      <w:r w:rsidR="007A0601">
        <w:rPr>
          <w:sz w:val="22"/>
          <w:szCs w:val="22"/>
        </w:rPr>
        <w:t>djelatnici</w:t>
      </w:r>
      <w:r w:rsidRPr="00155F80">
        <w:rPr>
          <w:sz w:val="22"/>
          <w:szCs w:val="22"/>
        </w:rPr>
        <w:t xml:space="preserve"> činili 71,4% ukupno </w:t>
      </w:r>
      <w:r w:rsidR="007A0601">
        <w:rPr>
          <w:sz w:val="22"/>
          <w:szCs w:val="22"/>
        </w:rPr>
        <w:t>u</w:t>
      </w:r>
      <w:r w:rsidRPr="00155F80">
        <w:rPr>
          <w:sz w:val="22"/>
          <w:szCs w:val="22"/>
        </w:rPr>
        <w:t>poslenih u zdravstvu, zdravstveni s</w:t>
      </w:r>
      <w:r w:rsidR="007A0601">
        <w:rPr>
          <w:sz w:val="22"/>
          <w:szCs w:val="22"/>
        </w:rPr>
        <w:t>u</w:t>
      </w:r>
      <w:r w:rsidRPr="00155F80">
        <w:rPr>
          <w:sz w:val="22"/>
          <w:szCs w:val="22"/>
        </w:rPr>
        <w:t>radnici su imali u</w:t>
      </w:r>
      <w:r w:rsidR="00FE3B0D">
        <w:rPr>
          <w:sz w:val="22"/>
          <w:szCs w:val="22"/>
        </w:rPr>
        <w:t>dio</w:t>
      </w:r>
      <w:r w:rsidRPr="00155F80">
        <w:rPr>
          <w:sz w:val="22"/>
          <w:szCs w:val="22"/>
        </w:rPr>
        <w:t xml:space="preserve"> od 1,5%, a adminstrativni i tehnički </w:t>
      </w:r>
      <w:r w:rsidR="007A0601">
        <w:rPr>
          <w:sz w:val="22"/>
          <w:szCs w:val="22"/>
        </w:rPr>
        <w:t>djelatnici</w:t>
      </w:r>
      <w:r w:rsidRPr="00155F80">
        <w:rPr>
          <w:sz w:val="22"/>
          <w:szCs w:val="22"/>
        </w:rPr>
        <w:t xml:space="preserve"> su bili zastupljeni s 27,0%.</w:t>
      </w:r>
    </w:p>
    <w:p w:rsidR="00D878AE" w:rsidRPr="00155F80" w:rsidRDefault="00D878AE" w:rsidP="00D878AE">
      <w:pPr>
        <w:pStyle w:val="NoSpacing"/>
        <w:spacing w:line="276" w:lineRule="auto"/>
        <w:rPr>
          <w:sz w:val="22"/>
          <w:szCs w:val="22"/>
        </w:rPr>
      </w:pPr>
    </w:p>
    <w:p w:rsidR="00D878AE" w:rsidRDefault="00D878AE" w:rsidP="00D878AE">
      <w:pPr>
        <w:pStyle w:val="refererere"/>
        <w:rPr>
          <w:i/>
          <w:noProof/>
          <w:lang w:val="en-US"/>
        </w:rPr>
      </w:pPr>
      <w:r w:rsidRPr="00155F80">
        <w:t xml:space="preserve">Grafikon 90: </w:t>
      </w:r>
      <w:r w:rsidR="007A0601">
        <w:t>U</w:t>
      </w:r>
      <w:r w:rsidRPr="00155F80">
        <w:t>posleni</w:t>
      </w:r>
      <w:r>
        <w:t xml:space="preserve"> u zdravstvu u Federaciji BIH, </w:t>
      </w:r>
      <w:r w:rsidR="007A0601">
        <w:t>razdoblje</w:t>
      </w:r>
      <w:r>
        <w:t xml:space="preserve"> 2010.-2015. </w:t>
      </w:r>
      <w:r w:rsidRPr="00155F80">
        <w:t>godina, in</w:t>
      </w:r>
      <w:r>
        <w:t>d</w:t>
      </w:r>
      <w:r w:rsidRPr="00155F80">
        <w:t xml:space="preserve">eks </w:t>
      </w:r>
      <w:r w:rsidR="00F8495E">
        <w:t>struk</w:t>
      </w:r>
      <w:r>
        <w:t>ture</w:t>
      </w:r>
    </w:p>
    <w:p w:rsidR="00D878AE" w:rsidRPr="00155F80" w:rsidRDefault="00D878AE" w:rsidP="00D878AE">
      <w:pPr>
        <w:pStyle w:val="refererere"/>
        <w:rPr>
          <w:i/>
        </w:rPr>
      </w:pPr>
      <w:r>
        <w:rPr>
          <w:noProof/>
          <w:lang w:val="bs-Latn-BA" w:eastAsia="bs-Latn-BA"/>
        </w:rPr>
        <w:drawing>
          <wp:inline distT="0" distB="0" distL="0" distR="0" wp14:anchorId="48E8AF25" wp14:editId="2193FB48">
            <wp:extent cx="5600700" cy="2125683"/>
            <wp:effectExtent l="0" t="0" r="0" b="8255"/>
            <wp:docPr id="84" name="Chart 8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rsidR="00D878AE" w:rsidRPr="00155F80" w:rsidRDefault="00D878AE" w:rsidP="00D878AE">
      <w:pPr>
        <w:spacing w:line="276" w:lineRule="auto"/>
        <w:rPr>
          <w:rFonts w:ascii="Times New Roman" w:hAnsi="Times New Roman"/>
          <w:highlight w:val="yellow"/>
          <w:lang w:val="bs-Latn-BA"/>
        </w:rPr>
      </w:pPr>
    </w:p>
    <w:p w:rsidR="00D878AE" w:rsidRPr="00155F80" w:rsidRDefault="00D878AE" w:rsidP="003066C2">
      <w:pPr>
        <w:pStyle w:val="Tekst0"/>
        <w:spacing w:line="276" w:lineRule="auto"/>
        <w:rPr>
          <w:iCs/>
          <w:lang w:val="bs-Latn-BA" w:eastAsia="bs-Latn-BA"/>
        </w:rPr>
      </w:pPr>
      <w:r w:rsidRPr="00155F80">
        <w:rPr>
          <w:sz w:val="22"/>
          <w:szCs w:val="22"/>
        </w:rPr>
        <w:t xml:space="preserve">U </w:t>
      </w:r>
      <w:r w:rsidR="007A0601">
        <w:rPr>
          <w:sz w:val="22"/>
          <w:szCs w:val="22"/>
        </w:rPr>
        <w:t>razdoblju</w:t>
      </w:r>
      <w:r w:rsidRPr="00155F80">
        <w:rPr>
          <w:sz w:val="22"/>
          <w:szCs w:val="22"/>
        </w:rPr>
        <w:t xml:space="preserve"> 2010.-2015. godine je evidentiran lagani trend povećanja </w:t>
      </w:r>
      <w:r w:rsidR="007A0601">
        <w:rPr>
          <w:sz w:val="22"/>
          <w:szCs w:val="22"/>
        </w:rPr>
        <w:t>u</w:t>
      </w:r>
      <w:r w:rsidRPr="00155F80">
        <w:rPr>
          <w:sz w:val="22"/>
          <w:szCs w:val="22"/>
        </w:rPr>
        <w:t xml:space="preserve">poslenih zdravstvenih </w:t>
      </w:r>
      <w:r w:rsidR="007A0601">
        <w:rPr>
          <w:sz w:val="22"/>
          <w:szCs w:val="22"/>
        </w:rPr>
        <w:t>djelatnika</w:t>
      </w:r>
      <w:r w:rsidRPr="00155F80">
        <w:rPr>
          <w:sz w:val="22"/>
          <w:szCs w:val="22"/>
        </w:rPr>
        <w:t>. Na 100.000 stanovnika u 2015. godini u Federaciji BiH</w:t>
      </w:r>
      <w:r>
        <w:rPr>
          <w:sz w:val="22"/>
          <w:szCs w:val="22"/>
        </w:rPr>
        <w:t xml:space="preserve"> je</w:t>
      </w:r>
      <w:r w:rsidRPr="00155F80">
        <w:rPr>
          <w:sz w:val="22"/>
          <w:szCs w:val="22"/>
        </w:rPr>
        <w:t xml:space="preserve"> bilo 204 doktora medicine, 25 doktora stomatologije, 14 magistara farmacije i 566 medicinskih sestara/tehničara.  </w:t>
      </w:r>
    </w:p>
    <w:p w:rsidR="00D878AE" w:rsidRPr="003066C2" w:rsidRDefault="00D878AE" w:rsidP="003066C2">
      <w:pPr>
        <w:pStyle w:val="grafikon"/>
      </w:pPr>
      <w:r w:rsidRPr="003066C2">
        <w:t xml:space="preserve">Grafikon 91: Zdravstveni </w:t>
      </w:r>
      <w:r w:rsidR="007A0601">
        <w:t>djelatnici u Federaciji BiH,</w:t>
      </w:r>
      <w:r w:rsidRPr="003066C2">
        <w:t xml:space="preserve"> </w:t>
      </w:r>
      <w:r w:rsidR="007A0601">
        <w:t>razdoblje</w:t>
      </w:r>
      <w:r w:rsidRPr="003066C2">
        <w:t xml:space="preserve"> 2010.-2015. godina, stopa na 100.000 stanovnika</w:t>
      </w:r>
    </w:p>
    <w:p w:rsidR="00D878AE" w:rsidRPr="00155F80" w:rsidRDefault="00D878AE" w:rsidP="00D878AE">
      <w:pPr>
        <w:spacing w:line="276" w:lineRule="auto"/>
        <w:jc w:val="center"/>
        <w:rPr>
          <w:rFonts w:ascii="Times New Roman" w:hAnsi="Times New Roman"/>
          <w:highlight w:val="yellow"/>
          <w:lang w:val="bs-Latn-BA"/>
        </w:rPr>
      </w:pPr>
      <w:r w:rsidRPr="00155F80">
        <w:rPr>
          <w:rFonts w:ascii="Times New Roman" w:hAnsi="Times New Roman"/>
          <w:noProof/>
          <w:lang w:val="bs-Latn-BA" w:eastAsia="bs-Latn-BA"/>
        </w:rPr>
        <w:drawing>
          <wp:inline distT="0" distB="0" distL="0" distR="0" wp14:anchorId="451BAEA8" wp14:editId="52083108">
            <wp:extent cx="5735782" cy="2185035"/>
            <wp:effectExtent l="0" t="0" r="17780" b="5715"/>
            <wp:docPr id="131"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rsidR="00D878AE" w:rsidRPr="00155F80" w:rsidRDefault="00D878AE" w:rsidP="00D878AE">
      <w:pPr>
        <w:spacing w:line="276" w:lineRule="auto"/>
        <w:rPr>
          <w:rFonts w:ascii="Times New Roman" w:hAnsi="Times New Roman"/>
        </w:rPr>
      </w:pPr>
      <w:r w:rsidRPr="00155F80">
        <w:rPr>
          <w:rFonts w:ascii="Times New Roman" w:hAnsi="Times New Roman"/>
        </w:rPr>
        <w:lastRenderedPageBreak/>
        <w:t>Slično predhodnim g</w:t>
      </w:r>
      <w:r>
        <w:rPr>
          <w:rFonts w:ascii="Times New Roman" w:hAnsi="Times New Roman"/>
        </w:rPr>
        <w:t>odinama, većina  magistara farma</w:t>
      </w:r>
      <w:r w:rsidRPr="00155F80">
        <w:rPr>
          <w:rFonts w:ascii="Times New Roman" w:hAnsi="Times New Roman"/>
        </w:rPr>
        <w:t>cije (90,7%), doktora stomatologije (67,0%) i doktora medici</w:t>
      </w:r>
      <w:r w:rsidR="0069577B">
        <w:rPr>
          <w:rFonts w:ascii="Times New Roman" w:hAnsi="Times New Roman"/>
        </w:rPr>
        <w:t>ne ( 60,9%) u Federaciji BiH je</w:t>
      </w:r>
      <w:r w:rsidRPr="00155F80">
        <w:rPr>
          <w:rFonts w:ascii="Times New Roman" w:hAnsi="Times New Roman"/>
        </w:rPr>
        <w:t xml:space="preserve"> bila ženskog spola.</w:t>
      </w:r>
    </w:p>
    <w:p w:rsidR="00D878AE" w:rsidRPr="00155F80" w:rsidRDefault="00D878AE" w:rsidP="00D878AE">
      <w:pPr>
        <w:spacing w:line="276" w:lineRule="auto"/>
        <w:rPr>
          <w:lang w:val="bs-Latn-BA"/>
        </w:rPr>
      </w:pPr>
    </w:p>
    <w:p w:rsidR="00D878AE" w:rsidRDefault="00D878AE" w:rsidP="00D878AE">
      <w:pPr>
        <w:spacing w:line="276" w:lineRule="auto"/>
        <w:rPr>
          <w:rFonts w:ascii="Times New Roman" w:hAnsi="Times New Roman"/>
        </w:rPr>
      </w:pPr>
      <w:r w:rsidRPr="00155F80">
        <w:rPr>
          <w:rFonts w:ascii="Times New Roman" w:hAnsi="Times New Roman"/>
        </w:rPr>
        <w:t>Starosna struktura doktora medicine je nepovoljna, tako je u 2015. godini četvrtina doktora medicine (25,5%) bilo starosti 55 i više godina,  uz preko četvrtinu doktora starosti 45-54 godine (26,2%). Među magistrima farmacije je petina (20,6%) bila starosti 55 i više godina, te je trećina (33,3%) starosti 45-54 godine.</w:t>
      </w:r>
      <w:r>
        <w:rPr>
          <w:rFonts w:ascii="Times New Roman" w:hAnsi="Times New Roman"/>
        </w:rPr>
        <w:t xml:space="preserve"> Dobna struktura doktora stomatologije je povoljnija, sa tri petine doktora (60,2%) starosti ispod 45 godina. </w:t>
      </w:r>
    </w:p>
    <w:p w:rsidR="00D878AE" w:rsidRPr="00155F80" w:rsidRDefault="00D878AE" w:rsidP="00D878AE">
      <w:pPr>
        <w:spacing w:line="276" w:lineRule="auto"/>
        <w:rPr>
          <w:rFonts w:ascii="Times New Roman" w:hAnsi="Times New Roman"/>
          <w:lang w:val="bs-Latn-BA"/>
        </w:rPr>
      </w:pPr>
      <w:r w:rsidRPr="005C1D12">
        <w:rPr>
          <w:rFonts w:ascii="Times New Roman" w:hAnsi="Times New Roman"/>
        </w:rPr>
        <w:t>Najmanj</w:t>
      </w:r>
      <w:r w:rsidR="007A0601">
        <w:rPr>
          <w:rFonts w:ascii="Times New Roman" w:hAnsi="Times New Roman"/>
        </w:rPr>
        <w:t>i</w:t>
      </w:r>
      <w:r w:rsidRPr="005C1D12">
        <w:rPr>
          <w:rFonts w:ascii="Times New Roman" w:hAnsi="Times New Roman"/>
        </w:rPr>
        <w:t xml:space="preserve"> </w:t>
      </w:r>
      <w:r w:rsidR="007A0601">
        <w:rPr>
          <w:rFonts w:ascii="Times New Roman" w:hAnsi="Times New Roman"/>
        </w:rPr>
        <w:t>udio</w:t>
      </w:r>
      <w:r w:rsidRPr="005C1D12">
        <w:rPr>
          <w:rFonts w:ascii="Times New Roman" w:hAnsi="Times New Roman"/>
        </w:rPr>
        <w:t xml:space="preserve"> starijih od 55 godina imaju </w:t>
      </w:r>
      <w:r>
        <w:rPr>
          <w:rFonts w:ascii="Times New Roman" w:hAnsi="Times New Roman"/>
        </w:rPr>
        <w:t>ostali</w:t>
      </w:r>
      <w:r w:rsidRPr="005C1D12">
        <w:rPr>
          <w:rFonts w:ascii="Times New Roman" w:hAnsi="Times New Roman"/>
        </w:rPr>
        <w:t xml:space="preserve"> zdravstveni </w:t>
      </w:r>
      <w:r w:rsidR="007A0601">
        <w:rPr>
          <w:rFonts w:ascii="Times New Roman" w:hAnsi="Times New Roman"/>
        </w:rPr>
        <w:t>djelatnici</w:t>
      </w:r>
      <w:r w:rsidRPr="005C1D12">
        <w:rPr>
          <w:rFonts w:ascii="Times New Roman" w:hAnsi="Times New Roman"/>
        </w:rPr>
        <w:t xml:space="preserve"> sa visokom, višom i srednjom stručnom spremom (12,7%).</w:t>
      </w:r>
      <w:r w:rsidRPr="00155F80">
        <w:rPr>
          <w:rFonts w:ascii="Times New Roman" w:hAnsi="Times New Roman"/>
        </w:rPr>
        <w:t xml:space="preserve"> </w:t>
      </w:r>
    </w:p>
    <w:p w:rsidR="00D878AE" w:rsidRPr="00155F80" w:rsidRDefault="00D878AE" w:rsidP="00D878AE">
      <w:pPr>
        <w:spacing w:line="276" w:lineRule="auto"/>
        <w:rPr>
          <w:color w:val="000000"/>
        </w:rPr>
      </w:pPr>
    </w:p>
    <w:p w:rsidR="00D878AE" w:rsidRPr="005332DE" w:rsidRDefault="00D878AE" w:rsidP="00D878AE">
      <w:pPr>
        <w:pStyle w:val="refererere"/>
      </w:pPr>
      <w:r w:rsidRPr="005332DE">
        <w:t>Grafikon 92:</w:t>
      </w:r>
      <w:r w:rsidRPr="005332DE">
        <w:rPr>
          <w:noProof/>
          <w:lang w:val="bs-Latn-BA" w:eastAsia="bs-Latn-BA"/>
        </w:rPr>
        <w:t xml:space="preserve"> </w:t>
      </w:r>
      <w:r w:rsidRPr="005332DE">
        <w:t xml:space="preserve">Zdravstveni </w:t>
      </w:r>
      <w:r w:rsidR="007A0601">
        <w:t>djelatnici</w:t>
      </w:r>
      <w:r w:rsidRPr="005332DE">
        <w:t xml:space="preserve"> u FBiH p</w:t>
      </w:r>
      <w:r>
        <w:t>rema starosti u 2015. godini, ideks strukture</w:t>
      </w:r>
    </w:p>
    <w:p w:rsidR="00D878AE" w:rsidRDefault="00D878AE" w:rsidP="00D878AE">
      <w:pPr>
        <w:spacing w:line="276" w:lineRule="auto"/>
        <w:rPr>
          <w:lang w:val="bs-Latn-BA"/>
        </w:rPr>
      </w:pPr>
      <w:r w:rsidRPr="00397F1D">
        <w:rPr>
          <w:noProof/>
          <w:lang w:val="bs-Latn-BA" w:eastAsia="bs-Latn-BA"/>
        </w:rPr>
        <w:drawing>
          <wp:inline distT="0" distB="0" distL="0" distR="0" wp14:anchorId="1F4DDD1F" wp14:editId="0928A03E">
            <wp:extent cx="5734050" cy="2553195"/>
            <wp:effectExtent l="0" t="0" r="0" b="0"/>
            <wp:docPr id="35" name="Chart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rsidR="00D878AE" w:rsidRPr="00155F80" w:rsidRDefault="00D878AE" w:rsidP="00D878AE">
      <w:pPr>
        <w:spacing w:line="276" w:lineRule="auto"/>
        <w:rPr>
          <w:lang w:val="bs-Latn-BA"/>
        </w:rPr>
      </w:pPr>
    </w:p>
    <w:p w:rsidR="00D878AE" w:rsidRPr="00155F80" w:rsidRDefault="00D878AE" w:rsidP="00D878AE">
      <w:pPr>
        <w:pStyle w:val="Tekst0"/>
        <w:spacing w:line="276" w:lineRule="auto"/>
        <w:rPr>
          <w:sz w:val="22"/>
          <w:szCs w:val="22"/>
        </w:rPr>
      </w:pPr>
      <w:r w:rsidRPr="00155F80">
        <w:rPr>
          <w:sz w:val="22"/>
          <w:szCs w:val="22"/>
        </w:rPr>
        <w:t>Blizu tri četvrtine svih doktora medicine u Federaciji BiH čine specijalisti raznih disciplina. Kao i prethodnih godina u 2015. godini je najveći p</w:t>
      </w:r>
      <w:r w:rsidR="007A0601">
        <w:rPr>
          <w:sz w:val="22"/>
          <w:szCs w:val="22"/>
        </w:rPr>
        <w:t>rocenat</w:t>
      </w:r>
      <w:r w:rsidRPr="00155F80">
        <w:rPr>
          <w:sz w:val="22"/>
          <w:szCs w:val="22"/>
        </w:rPr>
        <w:t xml:space="preserve"> doktora medicine specijalista bio u Tuzlanskom kantonu (81,3%) i Kantonu Sarajevo (78,7%), a najmanji u Kantonu 10 (47,6%). </w:t>
      </w:r>
    </w:p>
    <w:p w:rsidR="00D878AE" w:rsidRPr="00155F80" w:rsidRDefault="00D878AE" w:rsidP="00D878AE">
      <w:pPr>
        <w:pStyle w:val="NoSpacing"/>
        <w:spacing w:line="276" w:lineRule="auto"/>
        <w:rPr>
          <w:sz w:val="22"/>
          <w:szCs w:val="22"/>
        </w:rPr>
      </w:pPr>
    </w:p>
    <w:p w:rsidR="00D878AE" w:rsidRPr="00155F80" w:rsidRDefault="00D878AE" w:rsidP="00D878AE">
      <w:pPr>
        <w:pStyle w:val="refererere"/>
        <w:rPr>
          <w:i/>
        </w:rPr>
      </w:pPr>
      <w:r w:rsidRPr="00155F80">
        <w:lastRenderedPageBreak/>
        <w:t xml:space="preserve">Grafikon 93: Doktori medicine specijalisti u Federaciji BiH, u 2010. i 2015. godini, </w:t>
      </w:r>
      <w:r>
        <w:t xml:space="preserve">po kantonima, </w:t>
      </w:r>
      <w:r w:rsidRPr="00155F80">
        <w:t>indeks strukture</w:t>
      </w:r>
      <w:r w:rsidRPr="00155F80">
        <w:rPr>
          <w:i/>
          <w:noProof/>
          <w:lang w:val="bs-Latn-BA" w:eastAsia="bs-Latn-BA"/>
        </w:rPr>
        <w:drawing>
          <wp:inline distT="0" distB="0" distL="0" distR="0" wp14:anchorId="769823EA" wp14:editId="45A6CD75">
            <wp:extent cx="5727031" cy="2803525"/>
            <wp:effectExtent l="0" t="0" r="7620" b="15875"/>
            <wp:docPr id="132"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rsidR="00D878AE" w:rsidRPr="00D878AE" w:rsidRDefault="00D878AE" w:rsidP="00D878AE">
      <w:pPr>
        <w:spacing w:line="276" w:lineRule="auto"/>
        <w:rPr>
          <w:rFonts w:ascii="Times New Roman" w:hAnsi="Times New Roman"/>
          <w:lang w:val="bs-Latn-BA"/>
        </w:rPr>
      </w:pPr>
      <w:r w:rsidRPr="00D878AE">
        <w:rPr>
          <w:rFonts w:ascii="Times New Roman" w:hAnsi="Times New Roman"/>
          <w:lang w:val="bs-Latn-BA"/>
        </w:rPr>
        <w:t xml:space="preserve">Najveći broj doktora medicine specijalista svih disciplina u 2015. godini je bio starosti 45-54 godine (35,5%) i starosti 55 i više godina (34,3%). </w:t>
      </w:r>
    </w:p>
    <w:p w:rsidR="00D878AE" w:rsidRDefault="00D878AE" w:rsidP="00D878AE">
      <w:pPr>
        <w:spacing w:line="276" w:lineRule="auto"/>
        <w:rPr>
          <w:rFonts w:ascii="Times New Roman" w:hAnsi="Times New Roman"/>
          <w:lang w:val="bs-Latn-BA"/>
        </w:rPr>
      </w:pPr>
      <w:r w:rsidRPr="00D878AE">
        <w:rPr>
          <w:rFonts w:ascii="Times New Roman" w:hAnsi="Times New Roman"/>
          <w:lang w:val="bs-Latn-BA"/>
        </w:rPr>
        <w:t>P</w:t>
      </w:r>
      <w:r w:rsidR="007A0601">
        <w:rPr>
          <w:rFonts w:ascii="Times New Roman" w:hAnsi="Times New Roman"/>
          <w:lang w:val="bs-Latn-BA"/>
        </w:rPr>
        <w:t>r</w:t>
      </w:r>
      <w:r w:rsidRPr="00D878AE">
        <w:rPr>
          <w:rFonts w:ascii="Times New Roman" w:hAnsi="Times New Roman"/>
          <w:lang w:val="bs-Latn-BA"/>
        </w:rPr>
        <w:t>omatrano prema specijalnostima, najveć</w:t>
      </w:r>
      <w:r w:rsidR="00A5384A">
        <w:rPr>
          <w:rFonts w:ascii="Times New Roman" w:hAnsi="Times New Roman"/>
          <w:lang w:val="bs-Latn-BA"/>
        </w:rPr>
        <w:t>i udio</w:t>
      </w:r>
      <w:r w:rsidRPr="00D878AE">
        <w:rPr>
          <w:rFonts w:ascii="Times New Roman" w:hAnsi="Times New Roman"/>
          <w:lang w:val="bs-Latn-BA"/>
        </w:rPr>
        <w:t xml:space="preserve"> doktora starosti 55 i više godina je bilo među specijalistima školske medicine (84,2%)  i opće medicine (72,5%), što je s</w:t>
      </w:r>
      <w:r w:rsidR="00A5384A">
        <w:rPr>
          <w:rFonts w:ascii="Times New Roman" w:hAnsi="Times New Roman"/>
          <w:lang w:val="bs-Latn-BA"/>
        </w:rPr>
        <w:t>u</w:t>
      </w:r>
      <w:r w:rsidRPr="00D878AE">
        <w:rPr>
          <w:rFonts w:ascii="Times New Roman" w:hAnsi="Times New Roman"/>
          <w:lang w:val="bs-Latn-BA"/>
        </w:rPr>
        <w:t>klad</w:t>
      </w:r>
      <w:r w:rsidR="00A5384A">
        <w:rPr>
          <w:rFonts w:ascii="Times New Roman" w:hAnsi="Times New Roman"/>
          <w:lang w:val="bs-Latn-BA"/>
        </w:rPr>
        <w:t>no</w:t>
      </w:r>
      <w:r w:rsidRPr="00D878AE">
        <w:rPr>
          <w:rFonts w:ascii="Times New Roman" w:hAnsi="Times New Roman"/>
          <w:lang w:val="bs-Latn-BA"/>
        </w:rPr>
        <w:t xml:space="preserve"> reformsk</w:t>
      </w:r>
      <w:r w:rsidR="00A5384A">
        <w:rPr>
          <w:rFonts w:ascii="Times New Roman" w:hAnsi="Times New Roman"/>
          <w:lang w:val="bs-Latn-BA"/>
        </w:rPr>
        <w:t>o</w:t>
      </w:r>
      <w:r w:rsidRPr="00D878AE">
        <w:rPr>
          <w:rFonts w:ascii="Times New Roman" w:hAnsi="Times New Roman"/>
          <w:lang w:val="bs-Latn-BA"/>
        </w:rPr>
        <w:t>m opredjeljenj</w:t>
      </w:r>
      <w:r w:rsidR="00A5384A">
        <w:rPr>
          <w:rFonts w:ascii="Times New Roman" w:hAnsi="Times New Roman"/>
          <w:lang w:val="bs-Latn-BA"/>
        </w:rPr>
        <w:t>u</w:t>
      </w:r>
      <w:r w:rsidRPr="00D878AE">
        <w:rPr>
          <w:rFonts w:ascii="Times New Roman" w:hAnsi="Times New Roman"/>
          <w:lang w:val="bs-Latn-BA"/>
        </w:rPr>
        <w:t xml:space="preserve"> jačanja obiteljske medicine. </w:t>
      </w:r>
      <w:r w:rsidR="00A5384A">
        <w:rPr>
          <w:rFonts w:ascii="Times New Roman" w:hAnsi="Times New Roman"/>
          <w:lang w:val="bs-Latn-BA"/>
        </w:rPr>
        <w:t>Važan</w:t>
      </w:r>
      <w:r w:rsidRPr="00D878AE">
        <w:rPr>
          <w:rFonts w:ascii="Times New Roman" w:hAnsi="Times New Roman"/>
          <w:lang w:val="bs-Latn-BA"/>
        </w:rPr>
        <w:t xml:space="preserve"> je u</w:t>
      </w:r>
      <w:r w:rsidR="00A5384A">
        <w:rPr>
          <w:rFonts w:ascii="Times New Roman" w:hAnsi="Times New Roman"/>
          <w:lang w:val="bs-Latn-BA"/>
        </w:rPr>
        <w:t>dio</w:t>
      </w:r>
      <w:r w:rsidRPr="00D878AE">
        <w:rPr>
          <w:rFonts w:ascii="Times New Roman" w:hAnsi="Times New Roman"/>
          <w:lang w:val="bs-Latn-BA"/>
        </w:rPr>
        <w:t xml:space="preserve"> doktora starijih od 55 godina među specijalistima medicine rada (66,7%), radiologije (57,1%), pneumoftiziologije (54,5%), fizikalne medicine (47,6%), epidemiologije (47,2%) itd.</w:t>
      </w:r>
    </w:p>
    <w:p w:rsidR="00D878AE" w:rsidRPr="00EC077A" w:rsidRDefault="00D878AE" w:rsidP="00D878AE">
      <w:pPr>
        <w:spacing w:line="276" w:lineRule="auto"/>
        <w:rPr>
          <w:rFonts w:ascii="Times New Roman" w:hAnsi="Times New Roman"/>
          <w:lang w:val="bs-Latn-BA"/>
        </w:rPr>
      </w:pPr>
    </w:p>
    <w:p w:rsidR="00D878AE" w:rsidRPr="00155F80" w:rsidRDefault="00D878AE" w:rsidP="00D878AE">
      <w:pPr>
        <w:spacing w:line="276" w:lineRule="auto"/>
        <w:rPr>
          <w:rFonts w:ascii="Times New Roman" w:hAnsi="Times New Roman"/>
          <w:lang w:val="bs-Latn-BA"/>
        </w:rPr>
      </w:pPr>
      <w:r w:rsidRPr="00155F80">
        <w:rPr>
          <w:rFonts w:ascii="Times New Roman" w:hAnsi="Times New Roman"/>
        </w:rPr>
        <w:t>U odnosu na 2010. godinu nepovoljnija je starosna struktura specijalista obiteljske medicine, kojih je u 2015. godini blizu četvrtina (24,3%) bila starosti 55 i više godina,  uz preko polovinu doktora starosti 45-54 godine ( 53,3%).</w:t>
      </w:r>
    </w:p>
    <w:p w:rsidR="00D878AE" w:rsidRDefault="00D878AE" w:rsidP="00D878AE">
      <w:pPr>
        <w:pStyle w:val="refererere"/>
      </w:pPr>
    </w:p>
    <w:p w:rsidR="00D878AE" w:rsidRPr="00A4460F" w:rsidRDefault="00D878AE" w:rsidP="00D878AE">
      <w:pPr>
        <w:pStyle w:val="refererere"/>
      </w:pPr>
      <w:r w:rsidRPr="00A4460F">
        <w:t xml:space="preserve">Grafikon 94: Doktori medicine, specijalisti obiteljske medicine u FBiH prema starosti u </w:t>
      </w:r>
      <w:r>
        <w:t xml:space="preserve">2010. i </w:t>
      </w:r>
      <w:r w:rsidRPr="00A4460F">
        <w:t>2015. godini, indeks strukture</w:t>
      </w:r>
    </w:p>
    <w:p w:rsidR="00D878AE" w:rsidRPr="00155F80" w:rsidRDefault="00D878AE" w:rsidP="00D878AE">
      <w:pPr>
        <w:spacing w:line="276" w:lineRule="auto"/>
        <w:rPr>
          <w:rFonts w:ascii="Times New Roman" w:hAnsi="Times New Roman"/>
          <w:lang w:val="bs-Latn-BA"/>
        </w:rPr>
      </w:pPr>
      <w:r w:rsidRPr="00155F80">
        <w:rPr>
          <w:rFonts w:ascii="Times New Roman" w:hAnsi="Times New Roman"/>
          <w:noProof/>
          <w:lang w:val="bs-Latn-BA" w:eastAsia="bs-Latn-BA"/>
        </w:rPr>
        <w:drawing>
          <wp:inline distT="0" distB="0" distL="0" distR="0" wp14:anchorId="2B24C850" wp14:editId="3D25717D">
            <wp:extent cx="5562600" cy="2419350"/>
            <wp:effectExtent l="0" t="0" r="19050" b="19050"/>
            <wp:docPr id="5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rsidR="00D878AE" w:rsidRPr="00155F80" w:rsidRDefault="00D878AE" w:rsidP="00D878AE">
      <w:pPr>
        <w:spacing w:line="276" w:lineRule="auto"/>
        <w:rPr>
          <w:rFonts w:ascii="Times New Roman" w:hAnsi="Times New Roman"/>
        </w:rPr>
      </w:pPr>
    </w:p>
    <w:p w:rsidR="00D878AE" w:rsidRDefault="00D878AE" w:rsidP="00D878AE">
      <w:pPr>
        <w:spacing w:line="276" w:lineRule="auto"/>
        <w:rPr>
          <w:rFonts w:ascii="Times New Roman" w:hAnsi="Times New Roman"/>
        </w:rPr>
      </w:pPr>
      <w:r>
        <w:rPr>
          <w:rFonts w:ascii="Times New Roman" w:hAnsi="Times New Roman"/>
        </w:rPr>
        <w:t>U odnosu na 2010. g</w:t>
      </w:r>
      <w:r w:rsidRPr="00155F80">
        <w:rPr>
          <w:rFonts w:ascii="Times New Roman" w:hAnsi="Times New Roman"/>
        </w:rPr>
        <w:t>odinu je nepovoljnija i starosna struktura specijalista pedijatrije u FBiH, pa je u 2015. godini dvije petine pedijatara  (39,9%) bilo starosti 55 i više godina,  uz dodatnu četvrtinu doktora starosti 45-54 godine ( 25,8%).</w:t>
      </w:r>
      <w:r>
        <w:rPr>
          <w:rFonts w:ascii="Times New Roman" w:hAnsi="Times New Roman"/>
        </w:rPr>
        <w:t xml:space="preserve"> </w:t>
      </w:r>
    </w:p>
    <w:p w:rsidR="00D878AE" w:rsidRPr="00155F80" w:rsidRDefault="00D878AE" w:rsidP="00D878AE">
      <w:pPr>
        <w:spacing w:line="276" w:lineRule="auto"/>
        <w:rPr>
          <w:rFonts w:ascii="Times New Roman" w:hAnsi="Times New Roman"/>
          <w:color w:val="000000"/>
        </w:rPr>
      </w:pPr>
    </w:p>
    <w:p w:rsidR="00D878AE" w:rsidRPr="00B355CF" w:rsidRDefault="00D878AE" w:rsidP="00D878AE">
      <w:pPr>
        <w:pStyle w:val="refererere"/>
        <w:rPr>
          <w:lang w:val="bs-Latn-BA"/>
        </w:rPr>
      </w:pPr>
      <w:r w:rsidRPr="00B355CF">
        <w:rPr>
          <w:color w:val="000000"/>
        </w:rPr>
        <w:t xml:space="preserve">Grafikon 95: </w:t>
      </w:r>
      <w:r w:rsidRPr="00B355CF">
        <w:rPr>
          <w:lang w:val="bs-Latn-BA"/>
        </w:rPr>
        <w:t xml:space="preserve">Doktori medicine, specijalisti pedijatrije u FBiH prema starosti u 2010. i 2015. godini, </w:t>
      </w:r>
      <w:r w:rsidRPr="00B355CF">
        <w:t>indeks strukture</w:t>
      </w:r>
    </w:p>
    <w:p w:rsidR="00D878AE" w:rsidRPr="00155F80" w:rsidRDefault="00D878AE" w:rsidP="00D878AE">
      <w:pPr>
        <w:spacing w:line="276" w:lineRule="auto"/>
        <w:rPr>
          <w:rFonts w:ascii="Times New Roman" w:hAnsi="Times New Roman"/>
          <w:lang w:val="bs-Latn-BA"/>
        </w:rPr>
      </w:pPr>
      <w:r w:rsidRPr="00155F80">
        <w:rPr>
          <w:rFonts w:ascii="Times New Roman" w:hAnsi="Times New Roman"/>
          <w:noProof/>
          <w:lang w:val="bs-Latn-BA" w:eastAsia="bs-Latn-BA"/>
        </w:rPr>
        <w:drawing>
          <wp:inline distT="0" distB="0" distL="0" distR="0" wp14:anchorId="607FACBD" wp14:editId="1D12B0D2">
            <wp:extent cx="5835650" cy="2410691"/>
            <wp:effectExtent l="0" t="0" r="12700" b="8890"/>
            <wp:docPr id="83"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rsidR="00D878AE" w:rsidRPr="00155F80" w:rsidRDefault="00D878AE" w:rsidP="00D878AE">
      <w:pPr>
        <w:pStyle w:val="Tekst0"/>
        <w:spacing w:line="276" w:lineRule="auto"/>
        <w:rPr>
          <w:sz w:val="22"/>
          <w:szCs w:val="22"/>
        </w:rPr>
      </w:pPr>
      <w:r w:rsidRPr="00155F80">
        <w:rPr>
          <w:sz w:val="22"/>
          <w:szCs w:val="22"/>
        </w:rPr>
        <w:t xml:space="preserve">U promatranom </w:t>
      </w:r>
      <w:r w:rsidR="00283697">
        <w:rPr>
          <w:sz w:val="22"/>
          <w:szCs w:val="22"/>
        </w:rPr>
        <w:t>razdoblju</w:t>
      </w:r>
      <w:r w:rsidRPr="00155F80">
        <w:rPr>
          <w:sz w:val="22"/>
          <w:szCs w:val="22"/>
        </w:rPr>
        <w:t xml:space="preserve"> je registr</w:t>
      </w:r>
      <w:r w:rsidR="00283697">
        <w:rPr>
          <w:sz w:val="22"/>
          <w:szCs w:val="22"/>
        </w:rPr>
        <w:t>iran</w:t>
      </w:r>
      <w:r w:rsidRPr="00155F80">
        <w:rPr>
          <w:sz w:val="22"/>
          <w:szCs w:val="22"/>
        </w:rPr>
        <w:t xml:space="preserve"> porast </w:t>
      </w:r>
      <w:r w:rsidR="00283697">
        <w:rPr>
          <w:sz w:val="22"/>
          <w:szCs w:val="22"/>
        </w:rPr>
        <w:t>u</w:t>
      </w:r>
      <w:r w:rsidRPr="00155F80">
        <w:rPr>
          <w:sz w:val="22"/>
          <w:szCs w:val="22"/>
        </w:rPr>
        <w:t>poslenih sa završenim fakultetom zdravstvenih studija, sa u</w:t>
      </w:r>
      <w:r w:rsidR="00283697">
        <w:rPr>
          <w:sz w:val="22"/>
          <w:szCs w:val="22"/>
        </w:rPr>
        <w:t>djelom</w:t>
      </w:r>
      <w:r w:rsidRPr="00155F80">
        <w:rPr>
          <w:sz w:val="22"/>
          <w:szCs w:val="22"/>
        </w:rPr>
        <w:t xml:space="preserve"> od 2,4% u ukupno </w:t>
      </w:r>
      <w:r w:rsidR="00283697">
        <w:rPr>
          <w:sz w:val="22"/>
          <w:szCs w:val="22"/>
        </w:rPr>
        <w:t>u</w:t>
      </w:r>
      <w:r w:rsidRPr="00155F80">
        <w:rPr>
          <w:sz w:val="22"/>
          <w:szCs w:val="22"/>
        </w:rPr>
        <w:t xml:space="preserve">poslenim u zdravstvu u 2015. godini. </w:t>
      </w:r>
    </w:p>
    <w:p w:rsidR="00D878AE" w:rsidRPr="00155F80" w:rsidRDefault="00D878AE" w:rsidP="00D878AE">
      <w:pPr>
        <w:pStyle w:val="NoSpacing"/>
        <w:spacing w:line="276" w:lineRule="auto"/>
        <w:rPr>
          <w:sz w:val="22"/>
          <w:szCs w:val="22"/>
        </w:rPr>
      </w:pPr>
    </w:p>
    <w:p w:rsidR="00D878AE" w:rsidRPr="00155F80" w:rsidRDefault="00D878AE" w:rsidP="00D878AE">
      <w:pPr>
        <w:pStyle w:val="refererere"/>
        <w:jc w:val="left"/>
        <w:rPr>
          <w:i/>
        </w:rPr>
      </w:pPr>
      <w:r w:rsidRPr="00155F80">
        <w:t xml:space="preserve">Grafikon 96: Zdravstveni </w:t>
      </w:r>
      <w:r w:rsidR="00283697">
        <w:t>djelatnici</w:t>
      </w:r>
      <w:r w:rsidRPr="00155F80">
        <w:t xml:space="preserve"> sa završenim fakultetom zdravstvenih studija, </w:t>
      </w:r>
      <w:r w:rsidR="00283697">
        <w:t>u razdoblju</w:t>
      </w:r>
      <w:r w:rsidRPr="00155F80">
        <w:t xml:space="preserve"> 2010.-2015. godina, indeks strukture</w:t>
      </w:r>
      <w:r w:rsidRPr="00155F80">
        <w:rPr>
          <w:i/>
          <w:noProof/>
          <w:lang w:val="bs-Latn-BA" w:eastAsia="bs-Latn-BA"/>
        </w:rPr>
        <w:drawing>
          <wp:inline distT="0" distB="0" distL="0" distR="0" wp14:anchorId="711619D0" wp14:editId="77E9433C">
            <wp:extent cx="5678805" cy="2054431"/>
            <wp:effectExtent l="0" t="0" r="17145" b="3175"/>
            <wp:docPr id="133"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rsidR="00D878AE" w:rsidRPr="00155F80" w:rsidRDefault="00D878AE" w:rsidP="00D878AE">
      <w:pPr>
        <w:pStyle w:val="Heading2"/>
        <w:spacing w:line="276" w:lineRule="auto"/>
        <w:rPr>
          <w:rFonts w:ascii="Times New Roman" w:hAnsi="Times New Roman" w:cs="Times New Roman"/>
          <w:sz w:val="22"/>
          <w:szCs w:val="22"/>
        </w:rPr>
      </w:pPr>
      <w:bookmarkStart w:id="340" w:name="_Toc390781140"/>
    </w:p>
    <w:p w:rsidR="00D878AE" w:rsidRPr="00155F80" w:rsidRDefault="00D878AE" w:rsidP="00D878AE">
      <w:pPr>
        <w:pStyle w:val="Poglavlje2"/>
        <w:spacing w:line="276" w:lineRule="auto"/>
      </w:pPr>
      <w:bookmarkStart w:id="341" w:name="_Toc456095937"/>
      <w:r w:rsidRPr="00155F80">
        <w:t>5.2  Primarna zdravstvena zaštita</w:t>
      </w:r>
      <w:bookmarkEnd w:id="340"/>
      <w:bookmarkEnd w:id="341"/>
    </w:p>
    <w:p w:rsidR="00D878AE" w:rsidRPr="00155F80" w:rsidRDefault="00D878AE" w:rsidP="00D878AE">
      <w:pPr>
        <w:spacing w:line="276" w:lineRule="auto"/>
        <w:rPr>
          <w:rFonts w:ascii="Times New Roman" w:hAnsi="Times New Roman"/>
          <w:lang w:val="bs-Latn-BA"/>
        </w:rPr>
      </w:pPr>
    </w:p>
    <w:p w:rsidR="00D878AE" w:rsidRPr="0075527F" w:rsidRDefault="00283697" w:rsidP="00D878AE">
      <w:pPr>
        <w:spacing w:line="276" w:lineRule="auto"/>
        <w:rPr>
          <w:rFonts w:ascii="Times New Roman" w:hAnsi="Times New Roman"/>
          <w:b/>
          <w:bCs/>
          <w:iCs/>
          <w:highlight w:val="lightGray"/>
          <w:lang w:val="bs-Latn-BA"/>
        </w:rPr>
      </w:pPr>
      <w:r>
        <w:rPr>
          <w:rFonts w:ascii="Times New Roman" w:hAnsi="Times New Roman"/>
          <w:b/>
          <w:lang w:val="bs-Latn-BA"/>
        </w:rPr>
        <w:t>Zemljopisne</w:t>
      </w:r>
      <w:r w:rsidR="00D878AE" w:rsidRPr="0075527F">
        <w:rPr>
          <w:rFonts w:ascii="Times New Roman" w:hAnsi="Times New Roman"/>
          <w:b/>
          <w:bCs/>
          <w:iCs/>
          <w:lang w:val="bs-Latn-BA"/>
        </w:rPr>
        <w:t xml:space="preserve"> lokacije (ambulante) u PZZ</w:t>
      </w:r>
      <w:r w:rsidR="00D878AE" w:rsidRPr="0075527F">
        <w:rPr>
          <w:rFonts w:ascii="Times New Roman" w:hAnsi="Times New Roman"/>
          <w:b/>
          <w:bCs/>
          <w:iCs/>
          <w:highlight w:val="lightGray"/>
          <w:lang w:val="bs-Latn-BA"/>
        </w:rPr>
        <w:t xml:space="preserve"> </w:t>
      </w:r>
    </w:p>
    <w:p w:rsidR="00D878AE" w:rsidRPr="00155F80" w:rsidRDefault="00283697" w:rsidP="00D878AE">
      <w:pPr>
        <w:pStyle w:val="Tekst0"/>
        <w:spacing w:line="276" w:lineRule="auto"/>
        <w:rPr>
          <w:sz w:val="22"/>
          <w:szCs w:val="22"/>
        </w:rPr>
      </w:pPr>
      <w:r>
        <w:rPr>
          <w:sz w:val="22"/>
          <w:szCs w:val="22"/>
        </w:rPr>
        <w:t>Važana</w:t>
      </w:r>
      <w:r w:rsidR="00D878AE" w:rsidRPr="00155F80">
        <w:rPr>
          <w:sz w:val="22"/>
          <w:szCs w:val="22"/>
        </w:rPr>
        <w:t xml:space="preserve"> cilj reforme zdravstvenog s</w:t>
      </w:r>
      <w:r>
        <w:rPr>
          <w:sz w:val="22"/>
          <w:szCs w:val="22"/>
        </w:rPr>
        <w:t xml:space="preserve">ustava </w:t>
      </w:r>
      <w:r w:rsidR="00D878AE" w:rsidRPr="00155F80">
        <w:rPr>
          <w:sz w:val="22"/>
          <w:szCs w:val="22"/>
        </w:rPr>
        <w:t>u FBiH je poboljšanje dostupnosti primarne zdravstvene zaštite. Prema poda</w:t>
      </w:r>
      <w:r>
        <w:rPr>
          <w:sz w:val="22"/>
          <w:szCs w:val="22"/>
        </w:rPr>
        <w:t>t</w:t>
      </w:r>
      <w:r w:rsidR="00D878AE" w:rsidRPr="00155F80">
        <w:rPr>
          <w:sz w:val="22"/>
          <w:szCs w:val="22"/>
        </w:rPr>
        <w:t xml:space="preserve">cima redovite zdravstvene statistike za 2015. godinu, stanovništvo Federacije BiH je primarnu zdravstvenu zaštitiu ostvarivalo u okviru 993 </w:t>
      </w:r>
      <w:r>
        <w:rPr>
          <w:sz w:val="22"/>
          <w:szCs w:val="22"/>
        </w:rPr>
        <w:t>zemljopisne</w:t>
      </w:r>
      <w:r w:rsidR="00D878AE" w:rsidRPr="00155F80">
        <w:rPr>
          <w:sz w:val="22"/>
          <w:szCs w:val="22"/>
        </w:rPr>
        <w:t xml:space="preserve"> lokacije/ambulante, što u odnosu na 2010. godinu predstavlja povećan</w:t>
      </w:r>
      <w:r w:rsidR="0069577B">
        <w:rPr>
          <w:sz w:val="22"/>
          <w:szCs w:val="22"/>
        </w:rPr>
        <w:t>j</w:t>
      </w:r>
      <w:r w:rsidR="00D878AE" w:rsidRPr="00155F80">
        <w:rPr>
          <w:sz w:val="22"/>
          <w:szCs w:val="22"/>
        </w:rPr>
        <w:t xml:space="preserve">e broja ambulanti za 5,9%. </w:t>
      </w:r>
    </w:p>
    <w:p w:rsidR="00D878AE" w:rsidRPr="00155F80" w:rsidRDefault="00D878AE" w:rsidP="00D878AE">
      <w:pPr>
        <w:spacing w:line="276" w:lineRule="auto"/>
        <w:rPr>
          <w:rFonts w:ascii="Times New Roman" w:hAnsi="Times New Roman"/>
          <w:lang w:val="bs-Latn-BA"/>
        </w:rPr>
      </w:pPr>
    </w:p>
    <w:p w:rsidR="00D878AE" w:rsidRDefault="00D878AE" w:rsidP="00D878AE">
      <w:pPr>
        <w:spacing w:line="276" w:lineRule="auto"/>
        <w:rPr>
          <w:rFonts w:ascii="Times New Roman" w:hAnsi="Times New Roman"/>
        </w:rPr>
      </w:pPr>
      <w:r w:rsidRPr="00155F80">
        <w:rPr>
          <w:rFonts w:ascii="Times New Roman" w:hAnsi="Times New Roman"/>
          <w:lang w:val="bs-Latn-BA"/>
        </w:rPr>
        <w:t>Rezultati istraživanja su pokazali da g</w:t>
      </w:r>
      <w:r w:rsidRPr="00155F80">
        <w:rPr>
          <w:rFonts w:ascii="Times New Roman" w:hAnsi="Times New Roman"/>
          <w:lang w:val="bs-Latn-BA" w:eastAsia="de-DE"/>
        </w:rPr>
        <w:t xml:space="preserve">otovo polovina stanovništva u FBiH stanuje na udaljenosti manjoj od 1500m </w:t>
      </w:r>
      <w:r w:rsidRPr="00155F80">
        <w:rPr>
          <w:rFonts w:ascii="Times New Roman" w:hAnsi="Times New Roman"/>
          <w:lang w:val="bs-Latn-BA"/>
        </w:rPr>
        <w:t>od najbliže ambulante u kojoj ostvaruje usluge obiteljske medicine (48%), za blizu dvije petine stanovništva (38%) ova udaljenost iznosi između 1.500 i 5.000m, te 13% stanovništva stanuje na udaljenosti većoj od 5.000m od najbliže ambulante.</w:t>
      </w:r>
      <w:r w:rsidRPr="00155F80">
        <w:rPr>
          <w:rFonts w:ascii="Times New Roman" w:hAnsi="Times New Roman"/>
          <w:color w:val="FF0000"/>
          <w:lang w:val="bs-Latn-BA"/>
        </w:rPr>
        <w:t xml:space="preserve"> </w:t>
      </w:r>
      <w:r w:rsidRPr="003C0D4E">
        <w:rPr>
          <w:rFonts w:ascii="Times New Roman" w:hAnsi="Times New Roman"/>
        </w:rPr>
        <w:t>(9)</w:t>
      </w:r>
    </w:p>
    <w:p w:rsidR="00D878AE" w:rsidRPr="00155F80" w:rsidRDefault="00D878AE" w:rsidP="00D878AE">
      <w:pPr>
        <w:spacing w:line="276" w:lineRule="auto"/>
        <w:rPr>
          <w:rFonts w:ascii="Times New Roman" w:hAnsi="Times New Roman"/>
          <w:iCs/>
          <w:noProof/>
          <w:lang w:val="bs-Latn-BA" w:eastAsia="bs-Latn-BA"/>
        </w:rPr>
      </w:pPr>
    </w:p>
    <w:p w:rsidR="00D878AE" w:rsidRPr="00155F80" w:rsidRDefault="00D878AE" w:rsidP="00D878AE">
      <w:pPr>
        <w:pStyle w:val="refererere"/>
      </w:pPr>
      <w:r w:rsidRPr="00155F80">
        <w:t>Grafikon 97: Udaljenost stanovništva od najbliže ambulante obiteljske medicine u Federaciji BiH</w:t>
      </w:r>
    </w:p>
    <w:p w:rsidR="00D878AE" w:rsidRPr="00155F80" w:rsidRDefault="00D878AE" w:rsidP="00D878AE">
      <w:pPr>
        <w:spacing w:line="276" w:lineRule="auto"/>
        <w:ind w:right="72"/>
        <w:jc w:val="center"/>
        <w:rPr>
          <w:rFonts w:ascii="Times New Roman" w:hAnsi="Times New Roman"/>
          <w:lang w:val="bs-Latn-BA"/>
        </w:rPr>
      </w:pPr>
      <w:r w:rsidRPr="00155F80">
        <w:rPr>
          <w:rFonts w:ascii="Times New Roman" w:hAnsi="Times New Roman"/>
          <w:noProof/>
          <w:lang w:val="bs-Latn-BA" w:eastAsia="bs-Latn-BA"/>
        </w:rPr>
        <w:lastRenderedPageBreak/>
        <w:drawing>
          <wp:inline distT="0" distB="0" distL="0" distR="0" wp14:anchorId="4AC54C9B" wp14:editId="0E18C13C">
            <wp:extent cx="5630545" cy="1793174"/>
            <wp:effectExtent l="0" t="0" r="8255" b="17145"/>
            <wp:docPr id="134"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rsidR="00D878AE" w:rsidRPr="003066C2" w:rsidRDefault="00D878AE" w:rsidP="00250204">
      <w:pPr>
        <w:pStyle w:val="TEKST"/>
        <w:rPr>
          <w:i/>
        </w:rPr>
      </w:pPr>
      <w:r w:rsidRPr="003066C2">
        <w:t>Izvor: Studija o stanju zdravlja odrasloga stanovništva u Federaciji Bosne i Hercegovine 2012.</w:t>
      </w:r>
    </w:p>
    <w:p w:rsidR="0075440C" w:rsidRDefault="0075440C" w:rsidP="00D878AE">
      <w:pPr>
        <w:spacing w:line="276" w:lineRule="auto"/>
        <w:rPr>
          <w:rFonts w:ascii="Times New Roman" w:hAnsi="Times New Roman"/>
          <w:b/>
          <w:bCs/>
          <w:iCs/>
          <w:lang w:val="bs-Latn-BA"/>
        </w:rPr>
      </w:pPr>
    </w:p>
    <w:p w:rsidR="00D878AE" w:rsidRPr="00155F80" w:rsidRDefault="00D878AE" w:rsidP="00D878AE">
      <w:pPr>
        <w:spacing w:line="276" w:lineRule="auto"/>
        <w:rPr>
          <w:rFonts w:ascii="Times New Roman" w:hAnsi="Times New Roman"/>
          <w:b/>
          <w:bCs/>
          <w:iCs/>
          <w:lang w:val="bs-Latn-BA"/>
        </w:rPr>
      </w:pPr>
      <w:r w:rsidRPr="00155F80">
        <w:rPr>
          <w:rFonts w:ascii="Times New Roman" w:hAnsi="Times New Roman"/>
          <w:b/>
          <w:bCs/>
          <w:iCs/>
          <w:lang w:val="bs-Latn-BA"/>
        </w:rPr>
        <w:t>Zdravstveni radnici u PZZ</w:t>
      </w:r>
    </w:p>
    <w:p w:rsidR="00D878AE" w:rsidRPr="00D878AE" w:rsidRDefault="00D878AE" w:rsidP="00D878AE">
      <w:pPr>
        <w:pStyle w:val="Tekst0"/>
        <w:spacing w:line="276" w:lineRule="auto"/>
        <w:rPr>
          <w:sz w:val="22"/>
          <w:szCs w:val="22"/>
        </w:rPr>
      </w:pPr>
      <w:r w:rsidRPr="00155F80">
        <w:rPr>
          <w:sz w:val="22"/>
          <w:szCs w:val="22"/>
        </w:rPr>
        <w:t>Prema poda</w:t>
      </w:r>
      <w:r w:rsidR="00283697">
        <w:rPr>
          <w:sz w:val="22"/>
          <w:szCs w:val="22"/>
        </w:rPr>
        <w:t>t</w:t>
      </w:r>
      <w:r w:rsidRPr="00155F80">
        <w:rPr>
          <w:sz w:val="22"/>
          <w:szCs w:val="22"/>
        </w:rPr>
        <w:t xml:space="preserve">cima redovite zdravstvene statistike za 2015. godinu, u Federaciji BIH je u primarnoj zdravstvenoj zaštiti (obiteljska medicina, opća medicina, pedijatrija, školska medicina, pneumoftiziološka zaštita, medicina rada, hitna pomoć, patronaža) radila trećina ukupnog broja </w:t>
      </w:r>
      <w:r w:rsidR="00283697">
        <w:rPr>
          <w:sz w:val="22"/>
          <w:szCs w:val="22"/>
        </w:rPr>
        <w:t>u</w:t>
      </w:r>
      <w:r w:rsidRPr="00D878AE">
        <w:rPr>
          <w:sz w:val="22"/>
          <w:szCs w:val="22"/>
        </w:rPr>
        <w:t xml:space="preserve">poslenih doktora medicine (33,0%), te preko petine ukupnih medicinskih sestara/tehničara (22,4%). </w:t>
      </w:r>
    </w:p>
    <w:p w:rsidR="00D878AE" w:rsidRDefault="00D878AE" w:rsidP="00D878AE">
      <w:pPr>
        <w:spacing w:line="276" w:lineRule="auto"/>
        <w:rPr>
          <w:rFonts w:ascii="Times New Roman" w:hAnsi="Times New Roman"/>
          <w:lang w:val="bs-Latn-BA"/>
        </w:rPr>
      </w:pPr>
      <w:r w:rsidRPr="00D878AE">
        <w:rPr>
          <w:rFonts w:ascii="Times New Roman" w:hAnsi="Times New Roman"/>
          <w:lang w:val="bs-Latn-BA"/>
        </w:rPr>
        <w:t>Primarnu zdravstvenu zaštitu je na 100.000 stanovnika o</w:t>
      </w:r>
      <w:r w:rsidR="00283697">
        <w:rPr>
          <w:rFonts w:ascii="Times New Roman" w:hAnsi="Times New Roman"/>
          <w:lang w:val="bs-Latn-BA"/>
        </w:rPr>
        <w:t>siguravalo</w:t>
      </w:r>
      <w:r w:rsidRPr="00D878AE">
        <w:rPr>
          <w:rFonts w:ascii="Times New Roman" w:hAnsi="Times New Roman"/>
          <w:lang w:val="bs-Latn-BA"/>
        </w:rPr>
        <w:t xml:space="preserve"> </w:t>
      </w:r>
      <w:r w:rsidRPr="00D878AE">
        <w:rPr>
          <w:rFonts w:ascii="Times New Roman" w:hAnsi="Times New Roman"/>
          <w:color w:val="000000"/>
          <w:lang w:val="bs-Latn-BA"/>
        </w:rPr>
        <w:t>67</w:t>
      </w:r>
      <w:r w:rsidRPr="00D878AE">
        <w:rPr>
          <w:rFonts w:ascii="Times New Roman" w:hAnsi="Times New Roman"/>
          <w:lang w:val="bs-Latn-BA"/>
        </w:rPr>
        <w:t xml:space="preserve"> doktora medicine i 127 medicinskih sestara/tehničara, a na jednog doktora medicine su u prosjeku radile dvije medicinske sestre/tehničara (1,9).</w:t>
      </w:r>
      <w:r w:rsidR="0075440C">
        <w:rPr>
          <w:rFonts w:ascii="Times New Roman" w:hAnsi="Times New Roman"/>
          <w:lang w:val="bs-Latn-BA"/>
        </w:rPr>
        <w:t xml:space="preserve"> </w:t>
      </w:r>
      <w:r w:rsidRPr="00D878AE">
        <w:rPr>
          <w:rFonts w:ascii="Times New Roman" w:hAnsi="Times New Roman"/>
          <w:lang w:val="bs-Latn-BA"/>
        </w:rPr>
        <w:t xml:space="preserve">U </w:t>
      </w:r>
      <w:r w:rsidR="00283697">
        <w:rPr>
          <w:rFonts w:ascii="Times New Roman" w:hAnsi="Times New Roman"/>
          <w:lang w:val="bs-Latn-BA"/>
        </w:rPr>
        <w:t>us</w:t>
      </w:r>
      <w:r w:rsidRPr="00D878AE">
        <w:rPr>
          <w:rFonts w:ascii="Times New Roman" w:hAnsi="Times New Roman"/>
          <w:lang w:val="bs-Latn-BA"/>
        </w:rPr>
        <w:t>pore</w:t>
      </w:r>
      <w:r w:rsidR="00283697">
        <w:rPr>
          <w:rFonts w:ascii="Times New Roman" w:hAnsi="Times New Roman"/>
          <w:lang w:val="bs-Latn-BA"/>
        </w:rPr>
        <w:t>dbi</w:t>
      </w:r>
      <w:r w:rsidRPr="00D878AE">
        <w:rPr>
          <w:rFonts w:ascii="Times New Roman" w:hAnsi="Times New Roman"/>
          <w:lang w:val="bs-Latn-BA"/>
        </w:rPr>
        <w:t xml:space="preserve"> sa 2010. godinom broj doktora medicine u PZZ je povećan za 6,8%, dok je broj medicinskih sestara/tehničara smanjen za 3,9%.</w:t>
      </w:r>
    </w:p>
    <w:p w:rsidR="00D878AE" w:rsidRPr="00155F80" w:rsidRDefault="00D878AE" w:rsidP="00D878AE">
      <w:pPr>
        <w:spacing w:line="276" w:lineRule="auto"/>
        <w:rPr>
          <w:rFonts w:ascii="Times New Roman" w:hAnsi="Times New Roman"/>
          <w:color w:val="000000"/>
          <w:lang w:val="bs-Latn-BA"/>
        </w:rPr>
      </w:pPr>
    </w:p>
    <w:p w:rsidR="00D878AE" w:rsidRDefault="00D878AE" w:rsidP="00D878AE">
      <w:pPr>
        <w:pStyle w:val="refererere"/>
        <w:jc w:val="left"/>
      </w:pPr>
      <w:r w:rsidRPr="00155F80">
        <w:t xml:space="preserve">Grafikon 98: </w:t>
      </w:r>
      <w:r w:rsidRPr="00155F80">
        <w:rPr>
          <w:bCs/>
        </w:rPr>
        <w:t xml:space="preserve">Doktori medicine </w:t>
      </w:r>
      <w:r w:rsidRPr="00155F80">
        <w:t xml:space="preserve">i medicinske sestre/tehničari u PZZ u Federaciji BiH, </w:t>
      </w:r>
      <w:r w:rsidR="00283697">
        <w:t>razdoblje</w:t>
      </w:r>
      <w:r w:rsidRPr="00155F80">
        <w:t xml:space="preserve"> 2010.-2015. godina, stopa na 100.000 stanovnika</w:t>
      </w:r>
    </w:p>
    <w:p w:rsidR="00D878AE" w:rsidRDefault="00D878AE" w:rsidP="00D878AE">
      <w:pPr>
        <w:pStyle w:val="refererere"/>
        <w:jc w:val="left"/>
      </w:pPr>
      <w:r>
        <w:rPr>
          <w:noProof/>
          <w:lang w:val="bs-Latn-BA" w:eastAsia="bs-Latn-BA"/>
        </w:rPr>
        <w:drawing>
          <wp:inline distT="0" distB="0" distL="0" distR="0" wp14:anchorId="66B9D5FD" wp14:editId="025337C9">
            <wp:extent cx="5753100" cy="2066306"/>
            <wp:effectExtent l="0" t="0" r="0" b="10160"/>
            <wp:docPr id="79" name="Chart 7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rsidR="00D878AE" w:rsidRDefault="00D878AE" w:rsidP="00D878AE">
      <w:pPr>
        <w:pStyle w:val="refererere"/>
        <w:jc w:val="left"/>
      </w:pPr>
    </w:p>
    <w:p w:rsidR="00D878AE" w:rsidRPr="00155F80" w:rsidRDefault="00D878AE" w:rsidP="00D878AE">
      <w:pPr>
        <w:pStyle w:val="Tekst0"/>
        <w:spacing w:line="276" w:lineRule="auto"/>
        <w:rPr>
          <w:sz w:val="22"/>
          <w:szCs w:val="22"/>
        </w:rPr>
      </w:pPr>
      <w:r w:rsidRPr="00155F80">
        <w:rPr>
          <w:sz w:val="22"/>
          <w:szCs w:val="22"/>
        </w:rPr>
        <w:t>Poda</w:t>
      </w:r>
      <w:r w:rsidR="00283697">
        <w:rPr>
          <w:sz w:val="22"/>
          <w:szCs w:val="22"/>
        </w:rPr>
        <w:t>t</w:t>
      </w:r>
      <w:r w:rsidRPr="00155F80">
        <w:rPr>
          <w:sz w:val="22"/>
          <w:szCs w:val="22"/>
        </w:rPr>
        <w:t>ci redovite zdravstvene statistike ukazuju na prisutne razlike u pokrivenosti stanovništva timovima primarne zdravstvene zaštite. Tako je u 2015. godini najveći broj doktora medicine bio u Kantonu Sarajevo (82/100.000) i Tuzlanskom kantonu (78/100.000), dok je najmanji broj doktora bio u Unsko-sanskom kantonu (44/100.000) i Kantonu 10 i (49/100.000).</w:t>
      </w:r>
    </w:p>
    <w:p w:rsidR="00D878AE" w:rsidRPr="00155F80" w:rsidRDefault="00D878AE" w:rsidP="00D878AE">
      <w:pPr>
        <w:pStyle w:val="Tekst0"/>
        <w:spacing w:line="276" w:lineRule="auto"/>
        <w:rPr>
          <w:sz w:val="22"/>
          <w:szCs w:val="22"/>
        </w:rPr>
      </w:pPr>
      <w:r w:rsidRPr="00155F80">
        <w:rPr>
          <w:sz w:val="22"/>
          <w:szCs w:val="22"/>
        </w:rPr>
        <w:t xml:space="preserve">Po jednom doktoru medicine u PPZ u FBiH je u 2015. u prosjeku bilo 1.484 stanovnika, s najvećim brojem stanovnika po jednom doktoru u Kantonu 10, a najmanjim u Kantonu Sarajevo. </w:t>
      </w:r>
    </w:p>
    <w:p w:rsidR="0075440C" w:rsidRDefault="00D878AE" w:rsidP="00D878AE">
      <w:pPr>
        <w:pStyle w:val="Tekst0"/>
        <w:spacing w:line="276" w:lineRule="auto"/>
        <w:rPr>
          <w:sz w:val="22"/>
          <w:szCs w:val="22"/>
        </w:rPr>
      </w:pPr>
      <w:r w:rsidRPr="00155F80">
        <w:rPr>
          <w:sz w:val="22"/>
          <w:szCs w:val="22"/>
        </w:rPr>
        <w:t xml:space="preserve">U </w:t>
      </w:r>
      <w:r w:rsidR="00283697">
        <w:rPr>
          <w:sz w:val="22"/>
          <w:szCs w:val="22"/>
        </w:rPr>
        <w:t xml:space="preserve">usporedbi </w:t>
      </w:r>
      <w:r w:rsidRPr="00155F80">
        <w:rPr>
          <w:sz w:val="22"/>
          <w:szCs w:val="22"/>
        </w:rPr>
        <w:t xml:space="preserve">sa 2010. godinom, u 2015. godini je u tri kantona Federacije BiH evidentiran veći broj stanovnika po jednom doktoru medicine u PZZ: Srednjebosanski, Hercegovačko-neretvanski i Kanton </w:t>
      </w:r>
      <w:r w:rsidRPr="00D878AE">
        <w:rPr>
          <w:sz w:val="22"/>
          <w:szCs w:val="22"/>
        </w:rPr>
        <w:t>Sarajevo, što je posljedica smanjenja broja doktora u ovim kantonima.</w:t>
      </w:r>
      <w:r w:rsidRPr="00155F80">
        <w:rPr>
          <w:sz w:val="22"/>
          <w:szCs w:val="22"/>
        </w:rPr>
        <w:t xml:space="preserve"> </w:t>
      </w:r>
    </w:p>
    <w:p w:rsidR="0075440C" w:rsidRPr="00155F80" w:rsidRDefault="0075440C" w:rsidP="00D878AE">
      <w:pPr>
        <w:pStyle w:val="Tekst0"/>
        <w:spacing w:line="276" w:lineRule="auto"/>
        <w:rPr>
          <w:sz w:val="22"/>
          <w:szCs w:val="22"/>
        </w:rPr>
      </w:pPr>
    </w:p>
    <w:p w:rsidR="00D878AE" w:rsidRPr="00155F80" w:rsidRDefault="00D878AE" w:rsidP="0075440C">
      <w:pPr>
        <w:pStyle w:val="refererere"/>
        <w:rPr>
          <w:highlight w:val="yellow"/>
          <w:lang w:val="bs-Latn-BA"/>
        </w:rPr>
      </w:pPr>
      <w:r w:rsidRPr="00155F80">
        <w:t>Grafikon 99: Broj stanovnika po jednom doktoru medicine u PZZ u Federaciji BiH, u 2010. i 2015. godini</w:t>
      </w:r>
      <w:r w:rsidRPr="00155F80">
        <w:rPr>
          <w:noProof/>
          <w:lang w:val="bs-Latn-BA" w:eastAsia="bs-Latn-BA"/>
        </w:rPr>
        <w:drawing>
          <wp:inline distT="0" distB="0" distL="0" distR="0" wp14:anchorId="4D8FCA93" wp14:editId="205B37DB">
            <wp:extent cx="6008370" cy="2624447"/>
            <wp:effectExtent l="0" t="0" r="11430" b="5080"/>
            <wp:docPr id="136"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rsidR="00D878AE" w:rsidRPr="005332DE" w:rsidRDefault="00D878AE" w:rsidP="00D878AE">
      <w:pPr>
        <w:pStyle w:val="NoSpacing"/>
        <w:spacing w:line="276" w:lineRule="auto"/>
        <w:jc w:val="both"/>
        <w:rPr>
          <w:i/>
          <w:sz w:val="22"/>
          <w:szCs w:val="22"/>
          <w:lang w:val="bs-Latn-BA" w:eastAsia="de-DE"/>
        </w:rPr>
      </w:pPr>
      <w:r w:rsidRPr="005332DE">
        <w:rPr>
          <w:i/>
          <w:sz w:val="22"/>
          <w:szCs w:val="22"/>
          <w:lang w:val="bs-Latn-BA" w:eastAsia="de-DE"/>
        </w:rPr>
        <w:t>Obiteljska medicina</w:t>
      </w:r>
    </w:p>
    <w:p w:rsidR="00D878AE" w:rsidRPr="00155F80" w:rsidRDefault="00D878AE" w:rsidP="00D878AE">
      <w:pPr>
        <w:spacing w:after="200" w:line="276" w:lineRule="auto"/>
        <w:rPr>
          <w:rFonts w:ascii="Times New Roman" w:hAnsi="Times New Roman"/>
          <w:iCs/>
          <w:lang w:val="bs-Latn-BA" w:eastAsia="bs-Latn-BA"/>
        </w:rPr>
      </w:pPr>
      <w:r w:rsidRPr="00155F80">
        <w:rPr>
          <w:rFonts w:ascii="Times New Roman" w:hAnsi="Times New Roman"/>
          <w:lang w:val="bs-Latn-BA"/>
        </w:rPr>
        <w:t>Prema poda</w:t>
      </w:r>
      <w:r w:rsidR="00283697">
        <w:rPr>
          <w:rFonts w:ascii="Times New Roman" w:hAnsi="Times New Roman"/>
          <w:lang w:val="bs-Latn-BA"/>
        </w:rPr>
        <w:t>t</w:t>
      </w:r>
      <w:r w:rsidRPr="00155F80">
        <w:rPr>
          <w:rFonts w:ascii="Times New Roman" w:hAnsi="Times New Roman"/>
          <w:lang w:val="bs-Latn-BA"/>
        </w:rPr>
        <w:t>cima redovite zdravstvene statistik</w:t>
      </w:r>
      <w:r w:rsidR="00283697">
        <w:rPr>
          <w:rFonts w:ascii="Times New Roman" w:hAnsi="Times New Roman"/>
          <w:lang w:val="bs-Latn-BA"/>
        </w:rPr>
        <w:t>e</w:t>
      </w:r>
      <w:r w:rsidRPr="00155F80">
        <w:rPr>
          <w:rFonts w:ascii="Times New Roman" w:hAnsi="Times New Roman"/>
          <w:lang w:val="bs-Latn-BA"/>
        </w:rPr>
        <w:t xml:space="preserve"> za 2015. godinu,  preko polovine  svih doktora medicine (54,4%) i blizu polovine medicinskih sestara/tehničara (47,7%) </w:t>
      </w:r>
      <w:r w:rsidR="00283697">
        <w:rPr>
          <w:rFonts w:ascii="Times New Roman" w:hAnsi="Times New Roman"/>
          <w:lang w:val="bs-Latn-BA"/>
        </w:rPr>
        <w:t>u</w:t>
      </w:r>
      <w:r w:rsidRPr="00155F80">
        <w:rPr>
          <w:rFonts w:ascii="Times New Roman" w:hAnsi="Times New Roman"/>
          <w:lang w:val="bs-Latn-BA"/>
        </w:rPr>
        <w:t xml:space="preserve">poslenih u PZZ u Federaciji BiH je radilo u službama obiteljske medicine.   </w:t>
      </w:r>
    </w:p>
    <w:p w:rsidR="00D878AE" w:rsidRPr="00155F80" w:rsidRDefault="00D878AE" w:rsidP="00D878AE">
      <w:pPr>
        <w:pStyle w:val="Tekst0"/>
        <w:spacing w:line="276" w:lineRule="auto"/>
        <w:rPr>
          <w:sz w:val="22"/>
          <w:szCs w:val="22"/>
        </w:rPr>
      </w:pPr>
      <w:r w:rsidRPr="00155F80">
        <w:rPr>
          <w:sz w:val="22"/>
          <w:szCs w:val="22"/>
        </w:rPr>
        <w:t xml:space="preserve">Od ukupno 832 doktora medicine u ovim službama, dvije petine je imalo završenu specijalizaciju obiteljske medicine (41,1%), iznad polovine (51,8%) je imalo završenu dodatnu edukaciju iz </w:t>
      </w:r>
      <w:r w:rsidR="00283697">
        <w:rPr>
          <w:sz w:val="22"/>
          <w:szCs w:val="22"/>
        </w:rPr>
        <w:t>područja</w:t>
      </w:r>
      <w:r w:rsidRPr="00155F80">
        <w:rPr>
          <w:sz w:val="22"/>
          <w:szCs w:val="22"/>
        </w:rPr>
        <w:t xml:space="preserve"> obiteljske medicine (PAT), 3,6% doktora medicine je bilo na specijalizaciji, te 3,5% doktora medicine nije imalo edukaciju iz ov</w:t>
      </w:r>
      <w:r w:rsidR="00283697">
        <w:rPr>
          <w:sz w:val="22"/>
          <w:szCs w:val="22"/>
        </w:rPr>
        <w:t>og područja</w:t>
      </w:r>
      <w:r w:rsidRPr="00155F80">
        <w:rPr>
          <w:sz w:val="22"/>
          <w:szCs w:val="22"/>
        </w:rPr>
        <w:t xml:space="preserve">. </w:t>
      </w:r>
    </w:p>
    <w:p w:rsidR="00D878AE" w:rsidRPr="00155F80" w:rsidRDefault="00D878AE" w:rsidP="00D878AE">
      <w:pPr>
        <w:pStyle w:val="Tekst0"/>
        <w:spacing w:line="276" w:lineRule="auto"/>
        <w:rPr>
          <w:sz w:val="22"/>
          <w:szCs w:val="22"/>
        </w:rPr>
      </w:pPr>
      <w:r w:rsidRPr="00155F80">
        <w:rPr>
          <w:sz w:val="22"/>
          <w:szCs w:val="22"/>
        </w:rPr>
        <w:t xml:space="preserve">Završenu dodatnu edukaciju iz </w:t>
      </w:r>
      <w:r w:rsidR="00283697">
        <w:rPr>
          <w:sz w:val="22"/>
          <w:szCs w:val="22"/>
        </w:rPr>
        <w:t>područja</w:t>
      </w:r>
      <w:r w:rsidRPr="00155F80">
        <w:rPr>
          <w:sz w:val="22"/>
          <w:szCs w:val="22"/>
        </w:rPr>
        <w:t xml:space="preserve"> obiteljske medicine (PAT) je imalo 90,2% medicinskih sestara/tehničara od ukupno i 1.418 medicinskih sestara koje su radile u službama obiteljske medicine.</w:t>
      </w:r>
    </w:p>
    <w:p w:rsidR="00D878AE" w:rsidRPr="00155F80" w:rsidRDefault="00D878AE" w:rsidP="00D878AE">
      <w:pPr>
        <w:pStyle w:val="Tekst0"/>
        <w:spacing w:line="276" w:lineRule="auto"/>
        <w:rPr>
          <w:sz w:val="22"/>
          <w:szCs w:val="22"/>
          <w:lang w:eastAsia="de-DE"/>
        </w:rPr>
      </w:pPr>
      <w:r w:rsidRPr="00155F80">
        <w:rPr>
          <w:sz w:val="22"/>
          <w:szCs w:val="22"/>
          <w:lang w:eastAsia="de-DE"/>
        </w:rPr>
        <w:t xml:space="preserve">Rezultati istraživanja su pokazali da je svog obiteljskog </w:t>
      </w:r>
      <w:r w:rsidR="00283697">
        <w:rPr>
          <w:sz w:val="22"/>
          <w:szCs w:val="22"/>
          <w:lang w:eastAsia="de-DE"/>
        </w:rPr>
        <w:t>liječnika</w:t>
      </w:r>
      <w:r w:rsidRPr="00155F80">
        <w:rPr>
          <w:sz w:val="22"/>
          <w:szCs w:val="22"/>
          <w:lang w:eastAsia="de-DE"/>
        </w:rPr>
        <w:t xml:space="preserve"> tijekom prethodnih 12 mjeseci posjetilo ispod trećine stanovnika FBiH (32,1%), preko četvrtine stanovnika je kod svog obiteljskog </w:t>
      </w:r>
      <w:r w:rsidR="00283697">
        <w:rPr>
          <w:sz w:val="22"/>
          <w:szCs w:val="22"/>
          <w:lang w:eastAsia="de-DE"/>
        </w:rPr>
        <w:t>liječnika</w:t>
      </w:r>
      <w:r w:rsidRPr="00155F80">
        <w:rPr>
          <w:sz w:val="22"/>
          <w:szCs w:val="22"/>
          <w:lang w:eastAsia="de-DE"/>
        </w:rPr>
        <w:t xml:space="preserve"> bilo prije više od godinu dana (28,1%), dok 6,1% stanovnika nikada nije bilo kod obiteljskog </w:t>
      </w:r>
      <w:r w:rsidR="00283697">
        <w:rPr>
          <w:sz w:val="22"/>
          <w:szCs w:val="22"/>
          <w:lang w:eastAsia="de-DE"/>
        </w:rPr>
        <w:t>liječnika</w:t>
      </w:r>
      <w:r w:rsidRPr="00155F80">
        <w:rPr>
          <w:sz w:val="22"/>
          <w:szCs w:val="22"/>
          <w:lang w:eastAsia="de-DE"/>
        </w:rPr>
        <w:t xml:space="preserve">. Glavni razlog posljednjeg posjeta </w:t>
      </w:r>
      <w:r w:rsidR="00283697">
        <w:rPr>
          <w:sz w:val="22"/>
          <w:szCs w:val="22"/>
          <w:lang w:eastAsia="de-DE"/>
        </w:rPr>
        <w:t>liječniku</w:t>
      </w:r>
      <w:r w:rsidRPr="00155F80">
        <w:rPr>
          <w:sz w:val="22"/>
          <w:szCs w:val="22"/>
          <w:lang w:eastAsia="de-DE"/>
        </w:rPr>
        <w:t xml:space="preserve"> obiteljske medicine je za najveći p</w:t>
      </w:r>
      <w:r w:rsidR="00283697">
        <w:rPr>
          <w:sz w:val="22"/>
          <w:szCs w:val="22"/>
          <w:lang w:eastAsia="de-DE"/>
        </w:rPr>
        <w:t xml:space="preserve">rocenat </w:t>
      </w:r>
      <w:r w:rsidRPr="00155F80">
        <w:rPr>
          <w:sz w:val="22"/>
          <w:szCs w:val="22"/>
          <w:lang w:eastAsia="de-DE"/>
        </w:rPr>
        <w:t>stanovnika bila bolest (36,9%), dok je po iznad petine stanovnika kao glavni razlog posjeta navelo kontrolu zdravlja (22,5%) i propisivanje lijekova (22,1%).</w:t>
      </w:r>
      <w:r w:rsidRPr="00155F80">
        <w:rPr>
          <w:color w:val="FF0000"/>
          <w:sz w:val="22"/>
          <w:szCs w:val="22"/>
          <w:lang w:eastAsia="de-DE"/>
        </w:rPr>
        <w:t xml:space="preserve"> </w:t>
      </w:r>
      <w:r w:rsidRPr="003C0D4E">
        <w:rPr>
          <w:sz w:val="22"/>
          <w:szCs w:val="22"/>
          <w:lang w:eastAsia="de-DE"/>
        </w:rPr>
        <w:t>(</w:t>
      </w:r>
      <w:r w:rsidRPr="003C0D4E">
        <w:rPr>
          <w:sz w:val="22"/>
          <w:szCs w:val="22"/>
        </w:rPr>
        <w:t>9</w:t>
      </w:r>
      <w:r w:rsidRPr="003C0D4E">
        <w:rPr>
          <w:sz w:val="22"/>
          <w:szCs w:val="22"/>
          <w:lang w:eastAsia="de-DE"/>
        </w:rPr>
        <w:t>)</w:t>
      </w:r>
    </w:p>
    <w:p w:rsidR="00D878AE" w:rsidRPr="00155F80" w:rsidRDefault="00D878AE" w:rsidP="00D878AE">
      <w:pPr>
        <w:pStyle w:val="Tekst0"/>
        <w:spacing w:line="276" w:lineRule="auto"/>
        <w:rPr>
          <w:sz w:val="22"/>
          <w:szCs w:val="22"/>
          <w:lang w:eastAsia="de-DE"/>
        </w:rPr>
      </w:pPr>
    </w:p>
    <w:p w:rsidR="00D878AE" w:rsidRPr="005332DE" w:rsidRDefault="00D878AE" w:rsidP="00D878AE">
      <w:pPr>
        <w:pStyle w:val="NoSpacing"/>
        <w:spacing w:line="276" w:lineRule="auto"/>
        <w:jc w:val="both"/>
        <w:rPr>
          <w:i/>
          <w:sz w:val="22"/>
          <w:szCs w:val="22"/>
          <w:lang w:val="bs-Latn-BA" w:eastAsia="de-DE"/>
        </w:rPr>
      </w:pPr>
      <w:r w:rsidRPr="005332DE">
        <w:rPr>
          <w:i/>
          <w:sz w:val="22"/>
          <w:szCs w:val="22"/>
          <w:lang w:val="bs-Latn-BA" w:eastAsia="de-DE"/>
        </w:rPr>
        <w:t>Zdravstvena zaštita djece (0-6 godina)</w:t>
      </w:r>
    </w:p>
    <w:p w:rsidR="00D878AE" w:rsidRPr="00155F80" w:rsidRDefault="00D878AE" w:rsidP="00D878AE">
      <w:pPr>
        <w:pStyle w:val="NoSpacing"/>
        <w:spacing w:line="276" w:lineRule="auto"/>
        <w:jc w:val="both"/>
        <w:rPr>
          <w:sz w:val="22"/>
          <w:szCs w:val="22"/>
          <w:lang w:val="bs-Latn-BA" w:eastAsia="de-DE"/>
        </w:rPr>
      </w:pPr>
      <w:r w:rsidRPr="00155F80">
        <w:rPr>
          <w:sz w:val="22"/>
          <w:szCs w:val="22"/>
          <w:lang w:val="bs-Latn-BA"/>
        </w:rPr>
        <w:t>Prema poda</w:t>
      </w:r>
      <w:r w:rsidR="00283697">
        <w:rPr>
          <w:sz w:val="22"/>
          <w:szCs w:val="22"/>
          <w:lang w:val="bs-Latn-BA"/>
        </w:rPr>
        <w:t>t</w:t>
      </w:r>
      <w:r w:rsidRPr="00155F80">
        <w:rPr>
          <w:sz w:val="22"/>
          <w:szCs w:val="22"/>
          <w:lang w:val="bs-Latn-BA"/>
        </w:rPr>
        <w:t xml:space="preserve">cima redovite zdravstvene statistika za 2015. godinu,  u službama za </w:t>
      </w:r>
      <w:r w:rsidRPr="00155F80">
        <w:rPr>
          <w:sz w:val="22"/>
          <w:szCs w:val="22"/>
          <w:lang w:val="bs-Latn-BA" w:eastAsia="de-DE"/>
        </w:rPr>
        <w:t>zdravstvenu zaštit</w:t>
      </w:r>
      <w:r w:rsidR="00283697">
        <w:rPr>
          <w:sz w:val="22"/>
          <w:szCs w:val="22"/>
          <w:lang w:val="bs-Latn-BA" w:eastAsia="de-DE"/>
        </w:rPr>
        <w:t>u</w:t>
      </w:r>
      <w:r w:rsidRPr="00155F80">
        <w:rPr>
          <w:sz w:val="22"/>
          <w:szCs w:val="22"/>
          <w:lang w:val="bs-Latn-BA" w:eastAsia="de-DE"/>
        </w:rPr>
        <w:t xml:space="preserve"> djece </w:t>
      </w:r>
      <w:r w:rsidR="00283697">
        <w:rPr>
          <w:sz w:val="22"/>
          <w:szCs w:val="22"/>
          <w:lang w:val="bs-Latn-BA" w:eastAsia="de-DE"/>
        </w:rPr>
        <w:t>dobi</w:t>
      </w:r>
      <w:r w:rsidRPr="00155F80">
        <w:rPr>
          <w:sz w:val="22"/>
          <w:szCs w:val="22"/>
          <w:lang w:val="bs-Latn-BA" w:eastAsia="de-DE"/>
        </w:rPr>
        <w:t xml:space="preserve"> 0-6 godina je radio</w:t>
      </w:r>
      <w:r w:rsidR="00283697">
        <w:rPr>
          <w:sz w:val="22"/>
          <w:szCs w:val="22"/>
          <w:lang w:val="bs-Latn-BA" w:eastAsia="de-DE"/>
        </w:rPr>
        <w:t xml:space="preserve"> </w:t>
      </w:r>
      <w:r w:rsidRPr="00155F80">
        <w:rPr>
          <w:sz w:val="22"/>
          <w:szCs w:val="22"/>
          <w:lang w:val="bs-Latn-BA" w:eastAsia="de-DE"/>
        </w:rPr>
        <w:t>131 doktor medicine i 252 medicinske sestre/tehničara.</w:t>
      </w:r>
    </w:p>
    <w:p w:rsidR="00D878AE" w:rsidRPr="00155F80" w:rsidRDefault="00D878AE" w:rsidP="00D878AE">
      <w:pPr>
        <w:pStyle w:val="Tekst0"/>
        <w:spacing w:line="276" w:lineRule="auto"/>
      </w:pPr>
      <w:r w:rsidRPr="00155F80">
        <w:t xml:space="preserve">Doktori medicine su u najvećem procentu bili specijalisti pedijatrije (89,3%), ostalo su bili specijalisti drugih disciplina (2,3%) i doktori medicine bez završene specijalizacije (8,4%). </w:t>
      </w:r>
    </w:p>
    <w:p w:rsidR="00D878AE" w:rsidRDefault="00D878AE" w:rsidP="00D878AE">
      <w:pPr>
        <w:spacing w:line="276" w:lineRule="auto"/>
        <w:rPr>
          <w:rFonts w:ascii="Times New Roman" w:hAnsi="Times New Roman"/>
          <w:lang w:val="bs-Latn-BA"/>
        </w:rPr>
      </w:pPr>
      <w:r w:rsidRPr="00155F80">
        <w:rPr>
          <w:rFonts w:ascii="Times New Roman" w:hAnsi="Times New Roman"/>
          <w:lang w:val="bs-Latn-BA"/>
        </w:rPr>
        <w:t xml:space="preserve">U 2015. godini </w:t>
      </w:r>
      <w:r w:rsidRPr="00155F80">
        <w:rPr>
          <w:rFonts w:ascii="Times New Roman" w:hAnsi="Times New Roman"/>
        </w:rPr>
        <w:t xml:space="preserve">je po jednom </w:t>
      </w:r>
      <w:r w:rsidRPr="00155F80">
        <w:rPr>
          <w:rFonts w:ascii="Times New Roman" w:hAnsi="Times New Roman"/>
          <w:lang w:val="bs-Latn-BA"/>
        </w:rPr>
        <w:t xml:space="preserve">doktoru medicine u zdravstvenoj zaštiti djece </w:t>
      </w:r>
      <w:r w:rsidR="00517A40">
        <w:rPr>
          <w:rFonts w:ascii="Times New Roman" w:hAnsi="Times New Roman"/>
          <w:lang w:val="bs-Latn-BA"/>
        </w:rPr>
        <w:t>dobi</w:t>
      </w:r>
      <w:r w:rsidRPr="00155F80">
        <w:rPr>
          <w:rFonts w:ascii="Times New Roman" w:hAnsi="Times New Roman"/>
          <w:lang w:val="bs-Latn-BA"/>
        </w:rPr>
        <w:t xml:space="preserve"> 0-6 godina u FBiH u prosjeku bilo 1</w:t>
      </w:r>
      <w:r>
        <w:rPr>
          <w:rFonts w:ascii="Times New Roman" w:hAnsi="Times New Roman"/>
          <w:lang w:val="bs-Latn-BA"/>
        </w:rPr>
        <w:t>.515</w:t>
      </w:r>
      <w:r w:rsidRPr="00155F80">
        <w:rPr>
          <w:rFonts w:ascii="Times New Roman" w:hAnsi="Times New Roman"/>
          <w:lang w:val="bs-Latn-BA"/>
        </w:rPr>
        <w:t xml:space="preserve"> djece (2010. godine: </w:t>
      </w:r>
      <w:r>
        <w:rPr>
          <w:rFonts w:ascii="Times New Roman" w:hAnsi="Times New Roman"/>
          <w:color w:val="000000"/>
        </w:rPr>
        <w:t xml:space="preserve">1.684 djece)  </w:t>
      </w:r>
      <w:r w:rsidRPr="00155F80">
        <w:rPr>
          <w:rFonts w:ascii="Times New Roman" w:hAnsi="Times New Roman"/>
          <w:lang w:val="bs-Latn-BA"/>
        </w:rPr>
        <w:t>uz prisutne razlike po kantonima.</w:t>
      </w:r>
    </w:p>
    <w:p w:rsidR="00D878AE" w:rsidRPr="00155F80" w:rsidRDefault="00D878AE" w:rsidP="00D878AE">
      <w:pPr>
        <w:spacing w:line="276" w:lineRule="auto"/>
        <w:rPr>
          <w:rFonts w:ascii="Times New Roman" w:hAnsi="Times New Roman"/>
          <w:lang w:val="bs-Latn-BA"/>
        </w:rPr>
      </w:pPr>
    </w:p>
    <w:p w:rsidR="00D878AE" w:rsidRPr="00155F80" w:rsidRDefault="00D878AE" w:rsidP="00D878AE">
      <w:pPr>
        <w:pStyle w:val="refererere"/>
        <w:rPr>
          <w:lang w:val="bs-Latn-BA"/>
        </w:rPr>
      </w:pPr>
      <w:r w:rsidRPr="00155F80">
        <w:rPr>
          <w:lang w:val="bs-Latn-BA"/>
        </w:rPr>
        <w:t>Grafikon 100: Broj djece po doktoru medicine u zdravstvenoj zaštiti djece (0-6 godina) zaštite u FBiH u 2015. godini</w:t>
      </w:r>
    </w:p>
    <w:p w:rsidR="00D878AE" w:rsidRPr="00155F80" w:rsidRDefault="00D878AE" w:rsidP="00D878AE">
      <w:pPr>
        <w:spacing w:line="276" w:lineRule="auto"/>
        <w:rPr>
          <w:rFonts w:ascii="Times New Roman" w:hAnsi="Times New Roman"/>
          <w:lang w:val="bs-Latn-BA"/>
        </w:rPr>
      </w:pPr>
      <w:r>
        <w:rPr>
          <w:noProof/>
          <w:lang w:val="bs-Latn-BA" w:eastAsia="bs-Latn-BA"/>
        </w:rPr>
        <w:lastRenderedPageBreak/>
        <w:drawing>
          <wp:inline distT="0" distB="0" distL="0" distR="0" wp14:anchorId="667A9DDB" wp14:editId="0906B779">
            <wp:extent cx="5781675" cy="2305050"/>
            <wp:effectExtent l="0" t="0" r="9525" b="0"/>
            <wp:docPr id="64" name="Chart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rsidR="00D878AE" w:rsidRPr="00155F80" w:rsidRDefault="00D878AE" w:rsidP="00D878AE">
      <w:pPr>
        <w:spacing w:line="276" w:lineRule="auto"/>
        <w:rPr>
          <w:rFonts w:ascii="Times New Roman" w:hAnsi="Times New Roman"/>
          <w:b/>
          <w:lang w:val="bs-Latn-BA"/>
        </w:rPr>
      </w:pPr>
    </w:p>
    <w:p w:rsidR="00D878AE" w:rsidRPr="00155F80" w:rsidRDefault="00D878AE" w:rsidP="00D878AE">
      <w:pPr>
        <w:spacing w:line="276" w:lineRule="auto"/>
        <w:rPr>
          <w:rFonts w:ascii="Times New Roman" w:hAnsi="Times New Roman"/>
          <w:b/>
          <w:lang w:val="bs-Latn-BA"/>
        </w:rPr>
      </w:pPr>
      <w:r w:rsidRPr="00155F80">
        <w:rPr>
          <w:rFonts w:ascii="Times New Roman" w:hAnsi="Times New Roman"/>
          <w:b/>
          <w:lang w:val="bs-Latn-BA"/>
        </w:rPr>
        <w:t>Posjete</w:t>
      </w:r>
    </w:p>
    <w:p w:rsidR="00D878AE" w:rsidRPr="00155F80" w:rsidRDefault="00D878AE" w:rsidP="00D878AE">
      <w:pPr>
        <w:pStyle w:val="Tekst0"/>
        <w:spacing w:line="276" w:lineRule="auto"/>
        <w:rPr>
          <w:sz w:val="22"/>
          <w:szCs w:val="22"/>
        </w:rPr>
      </w:pPr>
      <w:r w:rsidRPr="00155F80">
        <w:rPr>
          <w:sz w:val="22"/>
          <w:szCs w:val="22"/>
        </w:rPr>
        <w:t>Po jednom doktoru medicine je u primarnoj zdravstvenoj zaštiti u Federaciji BiH u 2015. godini u prosjeku ostvareno 29,4 posjet</w:t>
      </w:r>
      <w:r w:rsidRPr="00517A40">
        <w:rPr>
          <w:sz w:val="22"/>
          <w:szCs w:val="22"/>
        </w:rPr>
        <w:t>a</w:t>
      </w:r>
      <w:r w:rsidRPr="00155F80">
        <w:rPr>
          <w:sz w:val="22"/>
          <w:szCs w:val="22"/>
        </w:rPr>
        <w:t xml:space="preserve"> dnevno.</w:t>
      </w:r>
    </w:p>
    <w:p w:rsidR="00D878AE" w:rsidRPr="00155F80" w:rsidRDefault="00D878AE" w:rsidP="00D878AE">
      <w:pPr>
        <w:pStyle w:val="Tekst0"/>
        <w:spacing w:line="276" w:lineRule="auto"/>
        <w:rPr>
          <w:sz w:val="22"/>
          <w:szCs w:val="22"/>
        </w:rPr>
      </w:pPr>
      <w:r w:rsidRPr="00155F80">
        <w:rPr>
          <w:sz w:val="22"/>
          <w:szCs w:val="22"/>
        </w:rPr>
        <w:t>Po jednom stanovniku je kod doktora medicine u PZZ u Federaciji BiH u prosjeku ostvareno 4,6 posjeta, s najvećim brojem posjeta ostvarenim u Tuzlanskom kantonu (5,5), a najmanjim u Unsko-sanskom i Kantonu 10.</w:t>
      </w:r>
    </w:p>
    <w:p w:rsidR="00D878AE" w:rsidRDefault="00D878AE" w:rsidP="0075440C">
      <w:pPr>
        <w:pStyle w:val="Tekst0"/>
        <w:spacing w:after="240" w:line="276" w:lineRule="auto"/>
        <w:rPr>
          <w:sz w:val="22"/>
          <w:szCs w:val="22"/>
        </w:rPr>
      </w:pPr>
      <w:r w:rsidRPr="00155F80">
        <w:rPr>
          <w:sz w:val="22"/>
          <w:szCs w:val="22"/>
        </w:rPr>
        <w:t>Slično prethodnim godinama, u 2015. godini su na jednu prvu posjetu u PZZ u prosjeku ostvarene</w:t>
      </w:r>
      <w:r w:rsidRPr="00155F80">
        <w:rPr>
          <w:color w:val="FF0000"/>
          <w:sz w:val="22"/>
          <w:szCs w:val="22"/>
        </w:rPr>
        <w:t xml:space="preserve"> </w:t>
      </w:r>
      <w:r w:rsidRPr="00155F80">
        <w:rPr>
          <w:sz w:val="22"/>
          <w:szCs w:val="22"/>
        </w:rPr>
        <w:t>2,3 ponovne posjete.</w:t>
      </w:r>
    </w:p>
    <w:p w:rsidR="00D878AE" w:rsidRPr="00155F80" w:rsidRDefault="00D878AE" w:rsidP="00D878AE">
      <w:pPr>
        <w:pStyle w:val="refererere"/>
        <w:rPr>
          <w:i/>
        </w:rPr>
      </w:pPr>
      <w:r w:rsidRPr="00155F80">
        <w:t>Grafikon 101: Prosječan broj posjeta u PZZ  po stanovniku u Federaciji BiH, 2010. i 2015. godina</w:t>
      </w:r>
      <w:r w:rsidRPr="00155F80">
        <w:rPr>
          <w:i/>
          <w:noProof/>
          <w:lang w:val="bs-Latn-BA" w:eastAsia="bs-Latn-BA"/>
        </w:rPr>
        <w:drawing>
          <wp:inline distT="0" distB="0" distL="0" distR="0" wp14:anchorId="61B9596C" wp14:editId="1EA8747B">
            <wp:extent cx="5654675" cy="2185059"/>
            <wp:effectExtent l="0" t="0" r="3175" b="5715"/>
            <wp:docPr id="137"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rsidR="003E3695" w:rsidRDefault="003E3695" w:rsidP="00D878AE">
      <w:pPr>
        <w:spacing w:line="276" w:lineRule="auto"/>
        <w:rPr>
          <w:rFonts w:ascii="Times New Roman" w:hAnsi="Times New Roman"/>
          <w:b/>
          <w:lang w:val="bs-Latn-BA"/>
        </w:rPr>
      </w:pPr>
    </w:p>
    <w:p w:rsidR="00D878AE" w:rsidRPr="00155F80" w:rsidRDefault="00D878AE" w:rsidP="00D878AE">
      <w:pPr>
        <w:spacing w:line="276" w:lineRule="auto"/>
        <w:rPr>
          <w:rFonts w:ascii="Times New Roman" w:hAnsi="Times New Roman"/>
          <w:b/>
          <w:lang w:val="bs-Latn-BA"/>
        </w:rPr>
      </w:pPr>
      <w:r w:rsidRPr="00155F80">
        <w:rPr>
          <w:rFonts w:ascii="Times New Roman" w:hAnsi="Times New Roman"/>
          <w:b/>
          <w:lang w:val="bs-Latn-BA"/>
        </w:rPr>
        <w:t xml:space="preserve">Upućivanje specijalisti </w:t>
      </w:r>
    </w:p>
    <w:p w:rsidR="0075440C" w:rsidRPr="00155F80" w:rsidRDefault="00D878AE" w:rsidP="00250204">
      <w:pPr>
        <w:pStyle w:val="TEKST"/>
      </w:pPr>
      <w:r w:rsidRPr="00155F80">
        <w:t>Prema poda</w:t>
      </w:r>
      <w:r w:rsidR="00517A40">
        <w:t>t</w:t>
      </w:r>
      <w:r w:rsidRPr="00155F80">
        <w:t xml:space="preserve">cima </w:t>
      </w:r>
      <w:r>
        <w:t>redov</w:t>
      </w:r>
      <w:r w:rsidR="00C861DA">
        <w:t>it</w:t>
      </w:r>
      <w:r w:rsidRPr="003C5132">
        <w:t>e</w:t>
      </w:r>
      <w:r w:rsidRPr="00155F80">
        <w:t xml:space="preserve"> zdravstvene statistike, u </w:t>
      </w:r>
      <w:r w:rsidR="00517A40">
        <w:t>razdoblju</w:t>
      </w:r>
      <w:r w:rsidRPr="00155F80">
        <w:t xml:space="preserve"> od 2010.</w:t>
      </w:r>
      <w:r w:rsidR="00517A40">
        <w:t xml:space="preserve"> do </w:t>
      </w:r>
      <w:r w:rsidRPr="00155F80">
        <w:t xml:space="preserve">2015. godine zabilježen je visok procenat pacijenata upućenih specijalisti u odnosu na prve posjete u PZZ. Ovo je u suprotnosti sa strateškim opredjeljenjem razvoja primarne zdravstvene zaštite, prema kojem se oko 80% svih zahtjeva za zdravstvenom zaštitom treba zadovoljiti na </w:t>
      </w:r>
      <w:r w:rsidR="00517A40">
        <w:t>razini</w:t>
      </w:r>
      <w:r w:rsidRPr="00155F80">
        <w:t xml:space="preserve"> PZZ. </w:t>
      </w:r>
    </w:p>
    <w:p w:rsidR="00D878AE" w:rsidRPr="00155F80" w:rsidRDefault="00D878AE" w:rsidP="00D878AE">
      <w:pPr>
        <w:pStyle w:val="refererere"/>
      </w:pPr>
      <w:r w:rsidRPr="00155F80">
        <w:t xml:space="preserve">Grafikon 102: Procenat pacijenata upućenih specijalisti u odnosu na prve posjete u PZZ u Federaciji BiH, </w:t>
      </w:r>
      <w:r w:rsidR="00517A40">
        <w:t>razdoblje</w:t>
      </w:r>
      <w:r>
        <w:t xml:space="preserve"> 2010.-</w:t>
      </w:r>
      <w:r w:rsidRPr="00155F80">
        <w:t xml:space="preserve"> 2015. godina</w:t>
      </w:r>
    </w:p>
    <w:p w:rsidR="00D878AE" w:rsidRPr="00155F80" w:rsidRDefault="00D878AE" w:rsidP="00D878AE">
      <w:pPr>
        <w:spacing w:line="276" w:lineRule="auto"/>
        <w:jc w:val="center"/>
        <w:rPr>
          <w:rFonts w:ascii="Times New Roman" w:hAnsi="Times New Roman"/>
          <w:highlight w:val="yellow"/>
          <w:lang w:val="bs-Latn-BA"/>
        </w:rPr>
      </w:pPr>
      <w:r w:rsidRPr="00155F80">
        <w:rPr>
          <w:rFonts w:ascii="Times New Roman" w:hAnsi="Times New Roman"/>
          <w:noProof/>
          <w:lang w:val="bs-Latn-BA" w:eastAsia="bs-Latn-BA"/>
        </w:rPr>
        <w:lastRenderedPageBreak/>
        <w:drawing>
          <wp:inline distT="0" distB="0" distL="0" distR="0" wp14:anchorId="3F8949E8" wp14:editId="10E51E1A">
            <wp:extent cx="5605145" cy="2359025"/>
            <wp:effectExtent l="0" t="0" r="14605" b="3175"/>
            <wp:docPr id="138"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rsidR="00D878AE" w:rsidRDefault="00D878AE" w:rsidP="00D878AE">
      <w:pPr>
        <w:pStyle w:val="Tekst0"/>
        <w:spacing w:line="276" w:lineRule="auto"/>
        <w:rPr>
          <w:sz w:val="22"/>
          <w:szCs w:val="22"/>
          <w:lang w:eastAsia="de-DE"/>
        </w:rPr>
      </w:pPr>
      <w:r w:rsidRPr="00155F80">
        <w:rPr>
          <w:sz w:val="22"/>
          <w:szCs w:val="22"/>
          <w:lang w:eastAsia="de-DE"/>
        </w:rPr>
        <w:t>Rezultati istraživanja su pokazali da je po jednom stanovniku u FBiH tijekom posljednjih 12 mjeseci u prosjeku bilo 2,7 posjeta doktoru medicine specijalisti, pri čemu su najveći prosječan broj posjeta imali stanovnici dobi 65 i više godina (3,3 posjeta).</w:t>
      </w:r>
      <w:r w:rsidRPr="00155F80">
        <w:rPr>
          <w:color w:val="FF0000"/>
          <w:sz w:val="22"/>
          <w:szCs w:val="22"/>
          <w:lang w:eastAsia="de-DE"/>
        </w:rPr>
        <w:t xml:space="preserve"> </w:t>
      </w:r>
      <w:r w:rsidRPr="003C0D4E">
        <w:rPr>
          <w:sz w:val="22"/>
          <w:szCs w:val="22"/>
          <w:lang w:eastAsia="de-DE"/>
        </w:rPr>
        <w:t>(9)</w:t>
      </w:r>
    </w:p>
    <w:p w:rsidR="0075440C" w:rsidRDefault="0075440C" w:rsidP="00D878AE">
      <w:pPr>
        <w:pStyle w:val="Tekst0"/>
        <w:spacing w:line="276" w:lineRule="auto"/>
        <w:rPr>
          <w:sz w:val="22"/>
          <w:szCs w:val="22"/>
          <w:lang w:eastAsia="de-DE"/>
        </w:rPr>
      </w:pPr>
    </w:p>
    <w:p w:rsidR="0075440C" w:rsidRDefault="0075440C" w:rsidP="00D878AE">
      <w:pPr>
        <w:pStyle w:val="Tekst0"/>
        <w:spacing w:line="276" w:lineRule="auto"/>
        <w:rPr>
          <w:sz w:val="22"/>
          <w:szCs w:val="22"/>
          <w:lang w:eastAsia="de-DE"/>
        </w:rPr>
      </w:pPr>
    </w:p>
    <w:p w:rsidR="0075440C" w:rsidRDefault="0075440C" w:rsidP="00D878AE">
      <w:pPr>
        <w:pStyle w:val="Tekst0"/>
        <w:spacing w:line="276" w:lineRule="auto"/>
        <w:rPr>
          <w:sz w:val="22"/>
          <w:szCs w:val="22"/>
          <w:lang w:eastAsia="de-DE"/>
        </w:rPr>
      </w:pPr>
    </w:p>
    <w:p w:rsidR="00D878AE" w:rsidRPr="00155F80" w:rsidRDefault="00D878AE" w:rsidP="00D878AE">
      <w:pPr>
        <w:spacing w:line="276" w:lineRule="auto"/>
        <w:rPr>
          <w:rFonts w:ascii="Times New Roman" w:hAnsi="Times New Roman"/>
          <w:b/>
          <w:lang w:val="bs-Latn-BA"/>
        </w:rPr>
      </w:pPr>
      <w:r w:rsidRPr="00155F80">
        <w:rPr>
          <w:rFonts w:ascii="Times New Roman" w:hAnsi="Times New Roman"/>
          <w:b/>
          <w:lang w:val="bs-Latn-BA"/>
        </w:rPr>
        <w:t>Preventivne usluge</w:t>
      </w:r>
    </w:p>
    <w:p w:rsidR="00D878AE" w:rsidRPr="00155F80" w:rsidRDefault="00D878AE" w:rsidP="00D878AE">
      <w:pPr>
        <w:pStyle w:val="Tekst0"/>
        <w:spacing w:line="276" w:lineRule="auto"/>
        <w:rPr>
          <w:sz w:val="22"/>
          <w:szCs w:val="22"/>
        </w:rPr>
      </w:pPr>
      <w:r w:rsidRPr="00155F80">
        <w:rPr>
          <w:sz w:val="22"/>
          <w:szCs w:val="22"/>
        </w:rPr>
        <w:t>Strateško opredjeljenje razvoja zdravstva je jačanje promocije zdravlja i prevencije bolesti, što podržavaju i standardi i normativi zdravstvene zaštite</w:t>
      </w:r>
      <w:r>
        <w:rPr>
          <w:sz w:val="22"/>
          <w:szCs w:val="22"/>
        </w:rPr>
        <w:t>.</w:t>
      </w:r>
      <w:r w:rsidRPr="00155F80">
        <w:rPr>
          <w:sz w:val="22"/>
          <w:szCs w:val="22"/>
        </w:rPr>
        <w:t xml:space="preserve"> Poda</w:t>
      </w:r>
      <w:r w:rsidR="00517A40">
        <w:rPr>
          <w:sz w:val="22"/>
          <w:szCs w:val="22"/>
        </w:rPr>
        <w:t>t</w:t>
      </w:r>
      <w:r w:rsidRPr="00155F80">
        <w:rPr>
          <w:sz w:val="22"/>
          <w:szCs w:val="22"/>
        </w:rPr>
        <w:t>ci redovite statistike međutim ukazuju na trend pada udjela preventivnih usluga u odnosu na prve posjete u PZZ.</w:t>
      </w:r>
    </w:p>
    <w:p w:rsidR="00D878AE" w:rsidRPr="00155F80" w:rsidRDefault="00D878AE" w:rsidP="00D878AE">
      <w:pPr>
        <w:pStyle w:val="Tekst0"/>
        <w:spacing w:line="276" w:lineRule="auto"/>
        <w:rPr>
          <w:iCs/>
          <w:lang w:val="bs-Latn-BA" w:eastAsia="bs-Latn-BA"/>
        </w:rPr>
      </w:pPr>
    </w:p>
    <w:p w:rsidR="00D878AE" w:rsidRPr="00155F80" w:rsidRDefault="00D878AE" w:rsidP="00D878AE">
      <w:pPr>
        <w:pStyle w:val="refererere"/>
        <w:jc w:val="left"/>
      </w:pPr>
      <w:r w:rsidRPr="00155F80">
        <w:t xml:space="preserve">Grafikon 103: Procenat preventivnih  usluga u odnosu na prve posjete u PZZ u Federaciji BiH, </w:t>
      </w:r>
      <w:r w:rsidR="00517A40">
        <w:t>razdoblje</w:t>
      </w:r>
      <w:r w:rsidRPr="00155F80">
        <w:t xml:space="preserve"> 2010. -2015. godina</w:t>
      </w:r>
      <w:r w:rsidRPr="00155F80">
        <w:rPr>
          <w:noProof/>
          <w:lang w:val="bs-Latn-BA" w:eastAsia="bs-Latn-BA"/>
        </w:rPr>
        <w:drawing>
          <wp:inline distT="0" distB="0" distL="0" distR="0" wp14:anchorId="40C09699" wp14:editId="375E4C8A">
            <wp:extent cx="5652135" cy="2125659"/>
            <wp:effectExtent l="0" t="0" r="5715" b="8255"/>
            <wp:docPr id="139"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rsidR="00D878AE" w:rsidRPr="00155F80" w:rsidRDefault="00D878AE" w:rsidP="00D878AE">
      <w:pPr>
        <w:pStyle w:val="Tekst0"/>
        <w:spacing w:line="276" w:lineRule="auto"/>
        <w:rPr>
          <w:sz w:val="22"/>
          <w:szCs w:val="22"/>
          <w:lang w:eastAsia="de-DE"/>
        </w:rPr>
      </w:pPr>
      <w:r w:rsidRPr="00155F80">
        <w:rPr>
          <w:sz w:val="22"/>
          <w:szCs w:val="22"/>
        </w:rPr>
        <w:t>Poda</w:t>
      </w:r>
      <w:r w:rsidR="00517A40">
        <w:rPr>
          <w:sz w:val="22"/>
          <w:szCs w:val="22"/>
        </w:rPr>
        <w:t>t</w:t>
      </w:r>
      <w:r w:rsidRPr="00155F80">
        <w:rPr>
          <w:sz w:val="22"/>
          <w:szCs w:val="22"/>
        </w:rPr>
        <w:t xml:space="preserve">ci istraživanja su pokazali da je </w:t>
      </w:r>
      <w:r w:rsidRPr="00155F80">
        <w:rPr>
          <w:sz w:val="22"/>
          <w:szCs w:val="22"/>
          <w:lang w:eastAsia="de-DE"/>
        </w:rPr>
        <w:t xml:space="preserve">u zdravstvenim ustanovama u FBiH </w:t>
      </w:r>
      <w:r w:rsidRPr="00155F80">
        <w:rPr>
          <w:sz w:val="22"/>
          <w:szCs w:val="22"/>
        </w:rPr>
        <w:t>t</w:t>
      </w:r>
      <w:r w:rsidR="00517A40">
        <w:rPr>
          <w:sz w:val="22"/>
          <w:szCs w:val="22"/>
        </w:rPr>
        <w:t>ije</w:t>
      </w:r>
      <w:r w:rsidRPr="00155F80">
        <w:rPr>
          <w:sz w:val="22"/>
          <w:szCs w:val="22"/>
        </w:rPr>
        <w:t>kom</w:t>
      </w:r>
      <w:r w:rsidRPr="00155F80">
        <w:rPr>
          <w:sz w:val="22"/>
          <w:szCs w:val="22"/>
          <w:lang w:eastAsia="de-DE"/>
        </w:rPr>
        <w:t xml:space="preserve"> prethodnih 12 mjeseci približno polovini stanovnika dobi 18 i više godina izmjeren krvni </w:t>
      </w:r>
      <w:r w:rsidR="00517A40">
        <w:rPr>
          <w:sz w:val="22"/>
          <w:szCs w:val="22"/>
          <w:lang w:eastAsia="de-DE"/>
        </w:rPr>
        <w:t>tlak</w:t>
      </w:r>
      <w:r w:rsidRPr="00155F80">
        <w:rPr>
          <w:sz w:val="22"/>
          <w:szCs w:val="22"/>
          <w:lang w:eastAsia="de-DE"/>
        </w:rPr>
        <w:t xml:space="preserve"> (54,0%), šećer u krvi (45,5%) i masnoće u krvi (42,7%), te je digitorektalni pregled debelog crijeva urađen kod 1,0% stanovnika. Četvrtini stanovnika u FBiH je izmjerena tjelesna težina (24,6%,), te je u nešto manjem p</w:t>
      </w:r>
      <w:r w:rsidR="00517A40">
        <w:rPr>
          <w:sz w:val="22"/>
          <w:szCs w:val="22"/>
          <w:lang w:eastAsia="de-DE"/>
        </w:rPr>
        <w:t>rocentu</w:t>
      </w:r>
      <w:r w:rsidRPr="00155F80">
        <w:rPr>
          <w:sz w:val="22"/>
          <w:szCs w:val="22"/>
          <w:lang w:eastAsia="de-DE"/>
        </w:rPr>
        <w:t xml:space="preserve"> izmjerena tjelesna visina (18,9%).</w:t>
      </w:r>
      <w:r w:rsidRPr="00155F80">
        <w:rPr>
          <w:sz w:val="22"/>
          <w:szCs w:val="22"/>
        </w:rPr>
        <w:t xml:space="preserve"> </w:t>
      </w:r>
    </w:p>
    <w:p w:rsidR="00D878AE" w:rsidRDefault="00D878AE" w:rsidP="00D878AE">
      <w:pPr>
        <w:pStyle w:val="Tekst0"/>
        <w:spacing w:line="276" w:lineRule="auto"/>
        <w:rPr>
          <w:sz w:val="22"/>
          <w:szCs w:val="22"/>
          <w:lang w:eastAsia="de-DE"/>
        </w:rPr>
      </w:pPr>
      <w:r w:rsidRPr="00155F80">
        <w:rPr>
          <w:sz w:val="22"/>
          <w:szCs w:val="22"/>
          <w:lang w:eastAsia="de-DE"/>
        </w:rPr>
        <w:t xml:space="preserve">Doktor ili drugi zdravstveni </w:t>
      </w:r>
      <w:r w:rsidR="00517A40">
        <w:rPr>
          <w:sz w:val="22"/>
          <w:szCs w:val="22"/>
          <w:lang w:eastAsia="de-DE"/>
        </w:rPr>
        <w:t>djelatnik</w:t>
      </w:r>
      <w:r w:rsidRPr="00155F80">
        <w:rPr>
          <w:sz w:val="22"/>
          <w:szCs w:val="22"/>
          <w:lang w:eastAsia="de-DE"/>
        </w:rPr>
        <w:t xml:space="preserve"> su, </w:t>
      </w:r>
      <w:r w:rsidRPr="00155F80">
        <w:rPr>
          <w:sz w:val="22"/>
          <w:szCs w:val="22"/>
        </w:rPr>
        <w:t>t</w:t>
      </w:r>
      <w:r w:rsidR="00517A40">
        <w:rPr>
          <w:sz w:val="22"/>
          <w:szCs w:val="22"/>
        </w:rPr>
        <w:t>ije</w:t>
      </w:r>
      <w:r w:rsidRPr="00155F80">
        <w:rPr>
          <w:sz w:val="22"/>
          <w:szCs w:val="22"/>
        </w:rPr>
        <w:t>kom</w:t>
      </w:r>
      <w:r w:rsidRPr="00155F80">
        <w:rPr>
          <w:sz w:val="22"/>
          <w:szCs w:val="22"/>
          <w:lang w:eastAsia="de-DE"/>
        </w:rPr>
        <w:t xml:space="preserve"> prethodnih 12 mjeseci, približno petini stanovnika u FBiH savjetovali da jedu manje masnu hranu (22,0%), da manje koriste sol (20,0%) i šećer (17,7%), te </w:t>
      </w:r>
      <w:r w:rsidRPr="00155F80">
        <w:rPr>
          <w:sz w:val="22"/>
          <w:szCs w:val="22"/>
          <w:lang w:eastAsia="de-DE"/>
        </w:rPr>
        <w:lastRenderedPageBreak/>
        <w:t>da konzumiraju više voća (17,4%). U manjem p</w:t>
      </w:r>
      <w:r w:rsidR="00517A40">
        <w:rPr>
          <w:sz w:val="22"/>
          <w:szCs w:val="22"/>
          <w:lang w:eastAsia="de-DE"/>
        </w:rPr>
        <w:t>rocentu</w:t>
      </w:r>
      <w:r w:rsidRPr="00155F80">
        <w:rPr>
          <w:sz w:val="22"/>
          <w:szCs w:val="22"/>
          <w:lang w:eastAsia="de-DE"/>
        </w:rPr>
        <w:t xml:space="preserve"> su tijekom prethodnih 12 mjeseci doktor ili drugi zdravstveni </w:t>
      </w:r>
      <w:r w:rsidR="00517A40">
        <w:rPr>
          <w:sz w:val="22"/>
          <w:szCs w:val="22"/>
          <w:lang w:eastAsia="de-DE"/>
        </w:rPr>
        <w:t>djelatnik</w:t>
      </w:r>
      <w:r w:rsidRPr="00155F80">
        <w:rPr>
          <w:sz w:val="22"/>
          <w:szCs w:val="22"/>
          <w:lang w:eastAsia="de-DE"/>
        </w:rPr>
        <w:t xml:space="preserve"> savjetovali stanovništvo da smanje tjelesnu težinu (10,9%), povećaju tjelesnu aktivnost (10,3%)</w:t>
      </w:r>
      <w:r>
        <w:rPr>
          <w:sz w:val="22"/>
          <w:szCs w:val="22"/>
          <w:lang w:eastAsia="de-DE"/>
        </w:rPr>
        <w:t>,</w:t>
      </w:r>
      <w:r w:rsidRPr="00155F80">
        <w:rPr>
          <w:sz w:val="22"/>
          <w:szCs w:val="22"/>
          <w:lang w:eastAsia="de-DE"/>
        </w:rPr>
        <w:t xml:space="preserve"> prestanu pušiti (7,7%) i smanje unos alkohola (2,1%). </w:t>
      </w:r>
      <w:r w:rsidRPr="003C0D4E">
        <w:rPr>
          <w:sz w:val="22"/>
          <w:szCs w:val="22"/>
          <w:lang w:eastAsia="de-DE"/>
        </w:rPr>
        <w:t>(9)</w:t>
      </w:r>
    </w:p>
    <w:p w:rsidR="00D878AE" w:rsidRPr="00155F80" w:rsidRDefault="00D878AE" w:rsidP="00D878AE">
      <w:pPr>
        <w:pStyle w:val="Tekst0"/>
        <w:spacing w:before="0" w:line="276" w:lineRule="auto"/>
        <w:rPr>
          <w:sz w:val="22"/>
          <w:szCs w:val="22"/>
        </w:rPr>
      </w:pPr>
    </w:p>
    <w:p w:rsidR="00D878AE" w:rsidRPr="00155F80" w:rsidRDefault="00D878AE" w:rsidP="00D878AE">
      <w:pPr>
        <w:pStyle w:val="refererere"/>
      </w:pPr>
      <w:r w:rsidRPr="00155F80">
        <w:t xml:space="preserve">Grafikon 104: Savjetovanje od strane zdravstvenih </w:t>
      </w:r>
      <w:r w:rsidR="00517A40">
        <w:t>djelatnika</w:t>
      </w:r>
      <w:r w:rsidRPr="00155F80">
        <w:t xml:space="preserve"> tijekom prethodnih 12 mjeseci u Federaciji BiH, indeks strukture</w:t>
      </w:r>
    </w:p>
    <w:p w:rsidR="00D878AE" w:rsidRPr="00155F80" w:rsidRDefault="00D878AE" w:rsidP="00D878AE">
      <w:pPr>
        <w:pStyle w:val="NoSpacing"/>
        <w:spacing w:line="276" w:lineRule="auto"/>
        <w:jc w:val="center"/>
        <w:rPr>
          <w:sz w:val="22"/>
          <w:szCs w:val="22"/>
          <w:lang w:val="bs-Latn-BA"/>
        </w:rPr>
      </w:pPr>
      <w:r w:rsidRPr="00155F80">
        <w:rPr>
          <w:noProof/>
          <w:sz w:val="22"/>
          <w:szCs w:val="22"/>
          <w:lang w:val="bs-Latn-BA" w:eastAsia="bs-Latn-BA"/>
        </w:rPr>
        <w:drawing>
          <wp:inline distT="0" distB="0" distL="0" distR="0" wp14:anchorId="37AB259F" wp14:editId="3BCF1649">
            <wp:extent cx="5568950" cy="2343150"/>
            <wp:effectExtent l="0" t="0" r="12700" b="0"/>
            <wp:docPr id="140" name="Chart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rsidR="00D878AE" w:rsidRPr="00155F80" w:rsidRDefault="00D878AE" w:rsidP="00D878AE">
      <w:pPr>
        <w:pStyle w:val="NoSpacing"/>
        <w:spacing w:line="276" w:lineRule="auto"/>
        <w:rPr>
          <w:sz w:val="22"/>
          <w:szCs w:val="22"/>
          <w:lang w:val="bs-Latn-BA"/>
        </w:rPr>
      </w:pPr>
      <w:r w:rsidRPr="00155F80">
        <w:rPr>
          <w:sz w:val="22"/>
          <w:szCs w:val="22"/>
          <w:lang w:val="bs-Latn-BA"/>
        </w:rPr>
        <w:t>Izvor: Studija o stanju zdravlja odrasloga stanovništva u Federaciji Bosne i Hercegovine 2012.</w:t>
      </w:r>
    </w:p>
    <w:p w:rsidR="00D878AE" w:rsidRPr="00155F80" w:rsidRDefault="00D878AE" w:rsidP="00D878AE">
      <w:pPr>
        <w:spacing w:line="276" w:lineRule="auto"/>
        <w:rPr>
          <w:rFonts w:ascii="Times New Roman" w:hAnsi="Times New Roman"/>
          <w:lang w:val="bs-Latn-BA"/>
        </w:rPr>
      </w:pPr>
    </w:p>
    <w:p w:rsidR="00D878AE" w:rsidRPr="00155F80" w:rsidRDefault="00D878AE" w:rsidP="00D878AE">
      <w:pPr>
        <w:spacing w:line="276" w:lineRule="auto"/>
        <w:rPr>
          <w:rFonts w:ascii="Times New Roman" w:hAnsi="Times New Roman"/>
          <w:b/>
          <w:lang w:val="bs-Latn-BA"/>
        </w:rPr>
      </w:pPr>
      <w:r w:rsidRPr="00155F80">
        <w:rPr>
          <w:rFonts w:ascii="Times New Roman" w:hAnsi="Times New Roman"/>
          <w:b/>
          <w:lang w:val="bs-Latn-BA"/>
        </w:rPr>
        <w:t>Kućne posjete</w:t>
      </w:r>
    </w:p>
    <w:p w:rsidR="00D878AE" w:rsidRPr="00155F80" w:rsidRDefault="00D878AE" w:rsidP="00D878AE">
      <w:pPr>
        <w:pStyle w:val="Tekst0"/>
        <w:spacing w:line="276" w:lineRule="auto"/>
        <w:rPr>
          <w:sz w:val="22"/>
          <w:szCs w:val="22"/>
        </w:rPr>
      </w:pPr>
      <w:r w:rsidRPr="00155F80">
        <w:rPr>
          <w:sz w:val="22"/>
          <w:szCs w:val="22"/>
        </w:rPr>
        <w:t>Kao i pre</w:t>
      </w:r>
      <w:r w:rsidR="00517A40">
        <w:rPr>
          <w:sz w:val="22"/>
          <w:szCs w:val="22"/>
        </w:rPr>
        <w:t>t</w:t>
      </w:r>
      <w:r w:rsidRPr="00155F80">
        <w:rPr>
          <w:sz w:val="22"/>
          <w:szCs w:val="22"/>
        </w:rPr>
        <w:t>hodnih godina, doktori medicine u PZZ su u 2015. godini ostvarili mali broj (3,0)  kućnih posjeta (u odnosu na prve posjete).</w:t>
      </w:r>
    </w:p>
    <w:p w:rsidR="00D878AE" w:rsidRPr="00155F80" w:rsidRDefault="00D878AE" w:rsidP="0075440C">
      <w:pPr>
        <w:pStyle w:val="Tekst0"/>
        <w:spacing w:after="240" w:line="276" w:lineRule="auto"/>
        <w:rPr>
          <w:sz w:val="22"/>
          <w:szCs w:val="22"/>
        </w:rPr>
      </w:pPr>
      <w:r w:rsidRPr="00155F80">
        <w:rPr>
          <w:sz w:val="22"/>
          <w:szCs w:val="22"/>
        </w:rPr>
        <w:t>S druge strane, registr</w:t>
      </w:r>
      <w:r w:rsidR="00517A40">
        <w:rPr>
          <w:sz w:val="22"/>
          <w:szCs w:val="22"/>
        </w:rPr>
        <w:t>iran</w:t>
      </w:r>
      <w:r w:rsidRPr="00155F80">
        <w:rPr>
          <w:sz w:val="22"/>
          <w:szCs w:val="22"/>
        </w:rPr>
        <w:t xml:space="preserve"> je porast broja kućnih posjeta medicinskih sestara/tehničara (2010.</w:t>
      </w:r>
      <w:r>
        <w:rPr>
          <w:sz w:val="22"/>
          <w:szCs w:val="22"/>
        </w:rPr>
        <w:t xml:space="preserve"> </w:t>
      </w:r>
      <w:r w:rsidRPr="00155F80">
        <w:rPr>
          <w:sz w:val="22"/>
          <w:szCs w:val="22"/>
        </w:rPr>
        <w:t xml:space="preserve">godine: 19,7%;  2015. godine: 23,1%). </w:t>
      </w:r>
    </w:p>
    <w:p w:rsidR="00D878AE" w:rsidRPr="00155F80" w:rsidRDefault="00D878AE" w:rsidP="003E3695">
      <w:pPr>
        <w:pStyle w:val="refererere"/>
        <w:jc w:val="left"/>
      </w:pPr>
      <w:r w:rsidRPr="00155F80">
        <w:t>Grafikon 105: P</w:t>
      </w:r>
      <w:r w:rsidR="00517A40">
        <w:t>rocent</w:t>
      </w:r>
      <w:r w:rsidRPr="00155F80">
        <w:t xml:space="preserve"> kućnih posjeta zdravstvenih </w:t>
      </w:r>
      <w:r w:rsidR="00517A40">
        <w:t>djelatnika</w:t>
      </w:r>
      <w:r w:rsidRPr="00155F80">
        <w:t xml:space="preserve"> u odnosu na prve posjete u Federaciji BiH, </w:t>
      </w:r>
      <w:r w:rsidR="00517A40">
        <w:t>razdoblje</w:t>
      </w:r>
      <w:r w:rsidRPr="00155F80">
        <w:t xml:space="preserve"> 2010</w:t>
      </w:r>
      <w:r>
        <w:t>.</w:t>
      </w:r>
      <w:r w:rsidRPr="00155F80">
        <w:t>-2015. godina</w:t>
      </w:r>
      <w:r w:rsidRPr="00155F80">
        <w:rPr>
          <w:noProof/>
          <w:lang w:val="bs-Latn-BA" w:eastAsia="bs-Latn-BA"/>
        </w:rPr>
        <w:drawing>
          <wp:inline distT="0" distB="0" distL="0" distR="0" wp14:anchorId="1296B9FA" wp14:editId="3B695BED">
            <wp:extent cx="5699760" cy="1876425"/>
            <wp:effectExtent l="0" t="0" r="15240" b="9525"/>
            <wp:docPr id="141"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rsidR="00D878AE" w:rsidRPr="00155F80" w:rsidRDefault="00D878AE" w:rsidP="00D878AE">
      <w:pPr>
        <w:spacing w:line="276" w:lineRule="auto"/>
        <w:rPr>
          <w:rFonts w:ascii="Times New Roman" w:hAnsi="Times New Roman"/>
          <w:lang w:val="bs-Latn-BA"/>
        </w:rPr>
      </w:pPr>
    </w:p>
    <w:p w:rsidR="00D878AE" w:rsidRPr="00155F80" w:rsidRDefault="00D878AE" w:rsidP="00D878AE">
      <w:pPr>
        <w:spacing w:line="276" w:lineRule="auto"/>
        <w:rPr>
          <w:rFonts w:ascii="Times New Roman" w:hAnsi="Times New Roman"/>
          <w:b/>
          <w:lang w:val="bs-Latn-BA"/>
        </w:rPr>
      </w:pPr>
      <w:r w:rsidRPr="00155F80">
        <w:rPr>
          <w:rFonts w:ascii="Times New Roman" w:hAnsi="Times New Roman"/>
          <w:b/>
          <w:lang w:val="bs-Latn-BA"/>
        </w:rPr>
        <w:t>Stomatološka zaštita</w:t>
      </w:r>
    </w:p>
    <w:p w:rsidR="00D878AE" w:rsidRPr="00155F80" w:rsidRDefault="00D878AE" w:rsidP="00D878AE">
      <w:pPr>
        <w:pStyle w:val="Tekst0"/>
        <w:spacing w:line="276" w:lineRule="auto"/>
        <w:rPr>
          <w:sz w:val="22"/>
          <w:szCs w:val="22"/>
        </w:rPr>
      </w:pPr>
      <w:r w:rsidRPr="00155F80">
        <w:rPr>
          <w:sz w:val="22"/>
          <w:szCs w:val="22"/>
        </w:rPr>
        <w:t xml:space="preserve">Stanovništvo u FBIH je stomatološku zaštitu u 2015. godini ostvarivalo u okviru 270 </w:t>
      </w:r>
      <w:r w:rsidR="00517A40">
        <w:rPr>
          <w:sz w:val="22"/>
          <w:szCs w:val="22"/>
        </w:rPr>
        <w:t>zemljopisnih</w:t>
      </w:r>
      <w:r w:rsidRPr="00155F80">
        <w:rPr>
          <w:sz w:val="22"/>
          <w:szCs w:val="22"/>
        </w:rPr>
        <w:t xml:space="preserve"> lokacija/stomatoloških ambulanti u javnom sektoru, što predstavlja povećanje broja ambulanti za 20,5% u odnosu na 2010. godinu.  </w:t>
      </w:r>
    </w:p>
    <w:p w:rsidR="00D878AE" w:rsidRPr="00155F80" w:rsidRDefault="00D878AE" w:rsidP="00D878AE">
      <w:pPr>
        <w:pStyle w:val="Tekst0"/>
        <w:spacing w:line="276" w:lineRule="auto"/>
        <w:rPr>
          <w:sz w:val="22"/>
          <w:szCs w:val="22"/>
        </w:rPr>
      </w:pPr>
      <w:r w:rsidRPr="00155F80">
        <w:rPr>
          <w:sz w:val="22"/>
          <w:szCs w:val="22"/>
        </w:rPr>
        <w:t>Slično predhodnim godinama, stomatološku zaštitu u Federaciji BiH je o</w:t>
      </w:r>
      <w:r w:rsidR="00517A40">
        <w:rPr>
          <w:sz w:val="22"/>
          <w:szCs w:val="22"/>
        </w:rPr>
        <w:t>siguravalo</w:t>
      </w:r>
      <w:r w:rsidRPr="00155F80">
        <w:rPr>
          <w:sz w:val="22"/>
          <w:szCs w:val="22"/>
        </w:rPr>
        <w:t xml:space="preserve"> 559 doktora stomatologije (24/100</w:t>
      </w:r>
      <w:r>
        <w:rPr>
          <w:sz w:val="22"/>
          <w:szCs w:val="22"/>
        </w:rPr>
        <w:t>.</w:t>
      </w:r>
      <w:r w:rsidRPr="00155F80">
        <w:rPr>
          <w:sz w:val="22"/>
          <w:szCs w:val="22"/>
        </w:rPr>
        <w:t xml:space="preserve">000 stanovnika) i 671 stomatoloških sestara/tehničara (29/100.000). Prisutne su razlike u dostupnosti stomatološke zaštite po kantonima FBiH. Tako je i u 2015. godini najveći broj </w:t>
      </w:r>
      <w:r w:rsidRPr="00155F80">
        <w:rPr>
          <w:sz w:val="22"/>
          <w:szCs w:val="22"/>
        </w:rPr>
        <w:lastRenderedPageBreak/>
        <w:t xml:space="preserve">doktora stomatologije bio u Kantonu Sarajevo (50/100.000), a najmanji u Zeničko-dobojskom kantonu (12/100.000). </w:t>
      </w:r>
    </w:p>
    <w:p w:rsidR="00D878AE" w:rsidRDefault="00D878AE" w:rsidP="00D878AE">
      <w:pPr>
        <w:pStyle w:val="TekstCharChar1"/>
        <w:spacing w:line="276" w:lineRule="auto"/>
        <w:rPr>
          <w:rFonts w:ascii="Times New Roman" w:hAnsi="Times New Roman"/>
          <w:color w:val="000000"/>
          <w:szCs w:val="22"/>
          <w:lang w:val="bs-Latn-BA"/>
        </w:rPr>
      </w:pPr>
      <w:r w:rsidRPr="00155F80">
        <w:rPr>
          <w:rFonts w:ascii="Times New Roman" w:hAnsi="Times New Roman"/>
          <w:szCs w:val="22"/>
        </w:rPr>
        <w:t xml:space="preserve">U </w:t>
      </w:r>
      <w:r w:rsidR="00517A40">
        <w:rPr>
          <w:rFonts w:ascii="Times New Roman" w:hAnsi="Times New Roman"/>
          <w:szCs w:val="22"/>
        </w:rPr>
        <w:t>usporedbi</w:t>
      </w:r>
      <w:r w:rsidRPr="00155F80">
        <w:rPr>
          <w:rFonts w:ascii="Times New Roman" w:hAnsi="Times New Roman"/>
          <w:szCs w:val="22"/>
        </w:rPr>
        <w:t xml:space="preserve"> sa 2010. godinom, zapošljavanjem novih doktora stomatologije je </w:t>
      </w:r>
      <w:r>
        <w:rPr>
          <w:rFonts w:ascii="Times New Roman" w:hAnsi="Times New Roman"/>
          <w:color w:val="000000"/>
          <w:szCs w:val="22"/>
          <w:lang w:val="bs-Latn-BA"/>
        </w:rPr>
        <w:t xml:space="preserve">značajno </w:t>
      </w:r>
      <w:r w:rsidRPr="00155F80">
        <w:rPr>
          <w:rFonts w:ascii="Times New Roman" w:hAnsi="Times New Roman"/>
          <w:color w:val="000000"/>
          <w:szCs w:val="22"/>
          <w:lang w:val="bs-Latn-BA"/>
        </w:rPr>
        <w:t>poboljšana dostupnost stomatološke zaštite</w:t>
      </w:r>
      <w:r w:rsidRPr="00155F80">
        <w:rPr>
          <w:rFonts w:ascii="Times New Roman" w:hAnsi="Times New Roman"/>
          <w:szCs w:val="22"/>
        </w:rPr>
        <w:t xml:space="preserve"> na području Srednjebosanskog kantona, </w:t>
      </w:r>
      <w:r w:rsidRPr="00155F80">
        <w:rPr>
          <w:rFonts w:ascii="Times New Roman" w:hAnsi="Times New Roman"/>
          <w:color w:val="000000"/>
          <w:szCs w:val="22"/>
          <w:lang w:val="bs-Latn-BA"/>
        </w:rPr>
        <w:t>Tuzlanskog, Posavskog i Bosansko-podrinjskog kantona.</w:t>
      </w:r>
    </w:p>
    <w:p w:rsidR="00D878AE" w:rsidRPr="00155F80" w:rsidRDefault="00D878AE" w:rsidP="00D878AE">
      <w:pPr>
        <w:pStyle w:val="TekstCharChar1"/>
        <w:spacing w:before="0" w:line="276" w:lineRule="auto"/>
        <w:rPr>
          <w:rFonts w:ascii="Times New Roman" w:hAnsi="Times New Roman"/>
          <w:color w:val="000000"/>
          <w:szCs w:val="22"/>
          <w:lang w:val="bs-Latn-BA"/>
        </w:rPr>
      </w:pPr>
    </w:p>
    <w:p w:rsidR="00D878AE" w:rsidRPr="00155F80" w:rsidRDefault="00D878AE" w:rsidP="003E3695">
      <w:pPr>
        <w:pStyle w:val="refererere"/>
        <w:rPr>
          <w:highlight w:val="yellow"/>
        </w:rPr>
      </w:pPr>
      <w:r w:rsidRPr="00155F80">
        <w:t xml:space="preserve">Grafikon 106: Doktori stomatologije u PZZ </w:t>
      </w:r>
      <w:r>
        <w:t>u Federaciji BiH , 2010. i 2015</w:t>
      </w:r>
      <w:r w:rsidRPr="00155F80">
        <w:t>.godina, stopa na 100.000 stanovnika</w:t>
      </w:r>
      <w:r w:rsidRPr="00155F80">
        <w:rPr>
          <w:noProof/>
          <w:lang w:val="bs-Latn-BA" w:eastAsia="bs-Latn-BA"/>
        </w:rPr>
        <w:drawing>
          <wp:inline distT="0" distB="0" distL="0" distR="0" wp14:anchorId="53F85E1A" wp14:editId="7A3EDE76">
            <wp:extent cx="5770880" cy="2333625"/>
            <wp:effectExtent l="0" t="0" r="1270" b="9525"/>
            <wp:docPr id="142"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rsidR="0075440C" w:rsidRPr="0075440C" w:rsidRDefault="00D878AE" w:rsidP="0075440C">
      <w:pPr>
        <w:pStyle w:val="TekstCharChar1"/>
        <w:spacing w:after="240" w:line="276" w:lineRule="auto"/>
        <w:jc w:val="left"/>
        <w:rPr>
          <w:rFonts w:ascii="Times New Roman" w:hAnsi="Times New Roman"/>
          <w:szCs w:val="22"/>
        </w:rPr>
      </w:pPr>
      <w:r w:rsidRPr="00155F80">
        <w:rPr>
          <w:rFonts w:ascii="Times New Roman" w:hAnsi="Times New Roman"/>
          <w:szCs w:val="22"/>
          <w:lang w:val="bs-Latn-BA"/>
        </w:rPr>
        <w:t xml:space="preserve">Na jednog doktora stomatologije je u FBiH u 2015. godini u prosjeku dolazilo 4.176 stanovnika sa </w:t>
      </w:r>
      <w:r w:rsidRPr="00155F80">
        <w:rPr>
          <w:rFonts w:ascii="Times New Roman" w:hAnsi="Times New Roman"/>
          <w:szCs w:val="22"/>
        </w:rPr>
        <w:t>najvećim  brojem stanovnika po jednom doktoru u Zeničko-dobojskom kantonu, a najmanjim u Kantonu Sarajevo.</w:t>
      </w:r>
    </w:p>
    <w:p w:rsidR="00D878AE" w:rsidRPr="00155F80" w:rsidRDefault="00D878AE" w:rsidP="00D878AE">
      <w:pPr>
        <w:pStyle w:val="refererere"/>
      </w:pPr>
      <w:r w:rsidRPr="00155F80">
        <w:t>Grafikon 107: Broj stanovnika po doktoru stomatologije u Federaciji BiH, 2010. i 2015.godina</w:t>
      </w:r>
    </w:p>
    <w:p w:rsidR="00D878AE" w:rsidRPr="00155F80" w:rsidRDefault="00D878AE" w:rsidP="003066C2">
      <w:pPr>
        <w:pStyle w:val="grafikon"/>
      </w:pPr>
      <w:r w:rsidRPr="00155F80">
        <w:drawing>
          <wp:inline distT="0" distB="0" distL="0" distR="0" wp14:anchorId="58E95EF5" wp14:editId="0BECD438">
            <wp:extent cx="5676265" cy="2486025"/>
            <wp:effectExtent l="0" t="0" r="635" b="9525"/>
            <wp:docPr id="143"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rsidR="00D878AE" w:rsidRPr="00155F80" w:rsidRDefault="00D878AE" w:rsidP="00D878AE">
      <w:pPr>
        <w:pStyle w:val="Tekst0"/>
        <w:spacing w:line="276" w:lineRule="auto"/>
        <w:rPr>
          <w:sz w:val="22"/>
          <w:szCs w:val="22"/>
        </w:rPr>
      </w:pPr>
      <w:r w:rsidRPr="00155F80">
        <w:rPr>
          <w:sz w:val="22"/>
          <w:szCs w:val="22"/>
        </w:rPr>
        <w:t>Prema poda</w:t>
      </w:r>
      <w:r w:rsidR="00517A40">
        <w:rPr>
          <w:sz w:val="22"/>
          <w:szCs w:val="22"/>
        </w:rPr>
        <w:t>t</w:t>
      </w:r>
      <w:r w:rsidRPr="00155F80">
        <w:rPr>
          <w:sz w:val="22"/>
          <w:szCs w:val="22"/>
        </w:rPr>
        <w:t xml:space="preserve">cima </w:t>
      </w:r>
      <w:r>
        <w:rPr>
          <w:sz w:val="22"/>
          <w:szCs w:val="22"/>
        </w:rPr>
        <w:t>redov</w:t>
      </w:r>
      <w:r w:rsidR="00517A40">
        <w:rPr>
          <w:sz w:val="22"/>
          <w:szCs w:val="22"/>
        </w:rPr>
        <w:t>it</w:t>
      </w:r>
      <w:r w:rsidRPr="003C5132">
        <w:rPr>
          <w:sz w:val="22"/>
          <w:szCs w:val="22"/>
        </w:rPr>
        <w:t>e</w:t>
      </w:r>
      <w:r w:rsidRPr="00155F80">
        <w:rPr>
          <w:sz w:val="22"/>
          <w:szCs w:val="22"/>
        </w:rPr>
        <w:t xml:space="preserve"> statistike, po jednom doktoru stomatologije je u Federaciji BiH u 2015. godini u prosjeku ostvareno 8,2 posjeta dnevno. </w:t>
      </w:r>
    </w:p>
    <w:p w:rsidR="0069577B" w:rsidRPr="003C0D4E" w:rsidRDefault="00D878AE" w:rsidP="0075440C">
      <w:pPr>
        <w:pStyle w:val="Tekst0"/>
        <w:spacing w:after="240" w:line="276" w:lineRule="auto"/>
        <w:rPr>
          <w:sz w:val="22"/>
          <w:szCs w:val="22"/>
        </w:rPr>
      </w:pPr>
      <w:r w:rsidRPr="00155F80">
        <w:rPr>
          <w:sz w:val="22"/>
          <w:szCs w:val="22"/>
        </w:rPr>
        <w:t xml:space="preserve">Kao i prethodnih godina, prosječan broj posjeta doktoru stomatologije po jednom stanovniku </w:t>
      </w:r>
      <w:r>
        <w:rPr>
          <w:sz w:val="22"/>
          <w:szCs w:val="22"/>
        </w:rPr>
        <w:t xml:space="preserve">u javnom sektoru </w:t>
      </w:r>
      <w:r w:rsidRPr="00155F80">
        <w:rPr>
          <w:sz w:val="22"/>
          <w:szCs w:val="22"/>
        </w:rPr>
        <w:t>u Federaciji BiH u 2015. godini je iznosio samo 0,5, te je bio veoma nizak u svim kantonima, sa najvećim brojem posjeta je ostvarenim u Kantonu Sarajevo i Bosansko-podrinjskom kantonu (0,9 posjeta).</w:t>
      </w:r>
      <w:r>
        <w:rPr>
          <w:sz w:val="22"/>
          <w:szCs w:val="22"/>
        </w:rPr>
        <w:t xml:space="preserve"> </w:t>
      </w:r>
    </w:p>
    <w:p w:rsidR="00D878AE" w:rsidRPr="00155F80" w:rsidRDefault="00D878AE" w:rsidP="00D878AE">
      <w:pPr>
        <w:pStyle w:val="refererere"/>
      </w:pPr>
      <w:r w:rsidRPr="00155F80">
        <w:lastRenderedPageBreak/>
        <w:t>Grafikon 108: Prosječan broj posjeta doktoru stomatologije po jednom stanovniku u Federaciji BiH, 2010. i 2015.godina</w:t>
      </w:r>
    </w:p>
    <w:p w:rsidR="00D878AE" w:rsidRPr="00155F80" w:rsidRDefault="00D878AE" w:rsidP="00D878AE">
      <w:pPr>
        <w:spacing w:after="200" w:line="276" w:lineRule="auto"/>
        <w:jc w:val="center"/>
        <w:rPr>
          <w:rFonts w:ascii="Times New Roman" w:hAnsi="Times New Roman"/>
          <w:lang w:val="bs-Latn-BA"/>
        </w:rPr>
      </w:pPr>
      <w:r w:rsidRPr="00155F80">
        <w:rPr>
          <w:rFonts w:ascii="Times New Roman" w:hAnsi="Times New Roman"/>
          <w:noProof/>
          <w:lang w:val="bs-Latn-BA" w:eastAsia="bs-Latn-BA"/>
        </w:rPr>
        <w:drawing>
          <wp:inline distT="0" distB="0" distL="0" distR="0" wp14:anchorId="17961B73" wp14:editId="74A7B99B">
            <wp:extent cx="5617028" cy="2683823"/>
            <wp:effectExtent l="0" t="0" r="3175" b="2540"/>
            <wp:docPr id="144"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p w:rsidR="00D878AE" w:rsidRPr="00155F80" w:rsidRDefault="00D878AE" w:rsidP="00D878AE">
      <w:pPr>
        <w:pStyle w:val="Tekst0"/>
        <w:spacing w:line="276" w:lineRule="auto"/>
        <w:rPr>
          <w:sz w:val="22"/>
          <w:szCs w:val="22"/>
        </w:rPr>
      </w:pPr>
      <w:r w:rsidRPr="00155F80">
        <w:rPr>
          <w:sz w:val="22"/>
          <w:szCs w:val="22"/>
        </w:rPr>
        <w:t>U promatranom razdoblju je bio nezadovoljavajući odnos plombiranih i izvađenih zuba, tako je u prosjeku na jednu uslugu plombiranja stalnih zuba u 2015. godini bilo 0,8 izvađenih zuba.</w:t>
      </w:r>
    </w:p>
    <w:p w:rsidR="00D878AE" w:rsidRPr="00155F80" w:rsidRDefault="00D878AE" w:rsidP="00D878AE">
      <w:pPr>
        <w:pStyle w:val="Tekst0"/>
        <w:spacing w:line="276" w:lineRule="auto"/>
        <w:rPr>
          <w:sz w:val="22"/>
          <w:szCs w:val="22"/>
        </w:rPr>
      </w:pPr>
      <w:r w:rsidRPr="00155F80">
        <w:rPr>
          <w:sz w:val="22"/>
          <w:szCs w:val="22"/>
        </w:rPr>
        <w:t>Rezultati istraživanja su pokazali da je najveći p</w:t>
      </w:r>
      <w:r w:rsidR="00517A40">
        <w:rPr>
          <w:sz w:val="22"/>
          <w:szCs w:val="22"/>
        </w:rPr>
        <w:t>rocenat</w:t>
      </w:r>
      <w:r w:rsidRPr="00155F80">
        <w:rPr>
          <w:sz w:val="22"/>
          <w:szCs w:val="22"/>
        </w:rPr>
        <w:t xml:space="preserve"> stanovnika u FBiH posjetio doktora stomatologije u javnom sektoru prije više od godinu dana (64,2%), četvrtina stanovnika (25,0%) je bila kod doktora stomatologije t</w:t>
      </w:r>
      <w:r w:rsidR="00517A40">
        <w:rPr>
          <w:sz w:val="22"/>
          <w:szCs w:val="22"/>
        </w:rPr>
        <w:t>ije</w:t>
      </w:r>
      <w:r w:rsidRPr="00155F80">
        <w:rPr>
          <w:sz w:val="22"/>
          <w:szCs w:val="22"/>
        </w:rPr>
        <w:t>kom prethodnih 12 mjeseci, a svega  6,5% za vrijeme posljednj</w:t>
      </w:r>
      <w:r w:rsidR="00C861DA">
        <w:rPr>
          <w:sz w:val="22"/>
          <w:szCs w:val="22"/>
        </w:rPr>
        <w:t>a</w:t>
      </w:r>
      <w:r w:rsidRPr="00155F80">
        <w:rPr>
          <w:sz w:val="22"/>
          <w:szCs w:val="22"/>
        </w:rPr>
        <w:t xml:space="preserve"> 4 </w:t>
      </w:r>
      <w:r w:rsidR="00C861DA">
        <w:rPr>
          <w:sz w:val="22"/>
          <w:szCs w:val="22"/>
        </w:rPr>
        <w:t>tjedna</w:t>
      </w:r>
      <w:r w:rsidRPr="00155F80">
        <w:rPr>
          <w:sz w:val="22"/>
          <w:szCs w:val="22"/>
        </w:rPr>
        <w:t>.</w:t>
      </w:r>
    </w:p>
    <w:p w:rsidR="00D878AE" w:rsidRPr="00155F80" w:rsidRDefault="00D878AE" w:rsidP="00D878AE">
      <w:pPr>
        <w:pStyle w:val="Tekst0"/>
        <w:spacing w:line="276" w:lineRule="auto"/>
        <w:rPr>
          <w:sz w:val="22"/>
          <w:szCs w:val="22"/>
          <w:lang w:eastAsia="de-DE"/>
        </w:rPr>
      </w:pPr>
      <w:r w:rsidRPr="00155F80">
        <w:rPr>
          <w:sz w:val="22"/>
          <w:szCs w:val="22"/>
          <w:lang w:eastAsia="de-DE"/>
        </w:rPr>
        <w:t>Glavni razlog posljednje posjete doktoru stomatologije je za najveći broj stanovnika u FBiH bio popravljanje i liječenje zuba ili desni (39,7%) i vađenje zuba (33,5%). Za 17,6% stanovnika su glavni razlog posljednje posjete bili protetski radovi, a preventivni ili kontrolni pregled ili savjet je kao glavni razlog posljednje posjete stomatologu navelo svega 5,6% stanovnika.</w:t>
      </w:r>
      <w:r w:rsidRPr="00155F80">
        <w:rPr>
          <w:color w:val="FF0000"/>
          <w:sz w:val="22"/>
          <w:szCs w:val="22"/>
          <w:lang w:eastAsia="de-DE"/>
        </w:rPr>
        <w:t xml:space="preserve"> </w:t>
      </w:r>
      <w:r w:rsidRPr="00155F80">
        <w:rPr>
          <w:sz w:val="22"/>
          <w:szCs w:val="22"/>
          <w:lang w:eastAsia="de-DE"/>
        </w:rPr>
        <w:t>(</w:t>
      </w:r>
      <w:r w:rsidRPr="00155F80">
        <w:rPr>
          <w:sz w:val="22"/>
          <w:szCs w:val="22"/>
        </w:rPr>
        <w:t>9</w:t>
      </w:r>
      <w:r w:rsidRPr="00155F80">
        <w:rPr>
          <w:sz w:val="22"/>
          <w:szCs w:val="22"/>
          <w:lang w:eastAsia="de-DE"/>
        </w:rPr>
        <w:t>)</w:t>
      </w:r>
    </w:p>
    <w:p w:rsidR="00D878AE" w:rsidRPr="00155F80" w:rsidRDefault="00D878AE" w:rsidP="00D878AE">
      <w:pPr>
        <w:pStyle w:val="Tekst0"/>
        <w:spacing w:line="276" w:lineRule="auto"/>
        <w:rPr>
          <w:sz w:val="22"/>
          <w:szCs w:val="22"/>
          <w:lang w:eastAsia="de-DE"/>
        </w:rPr>
      </w:pPr>
    </w:p>
    <w:p w:rsidR="00D878AE" w:rsidRPr="00155F80" w:rsidRDefault="00517A40" w:rsidP="00D878AE">
      <w:pPr>
        <w:spacing w:line="276" w:lineRule="auto"/>
        <w:rPr>
          <w:rFonts w:ascii="Times New Roman" w:hAnsi="Times New Roman"/>
          <w:b/>
          <w:lang w:val="bs-Latn-BA"/>
        </w:rPr>
      </w:pPr>
      <w:r>
        <w:rPr>
          <w:rFonts w:ascii="Times New Roman" w:hAnsi="Times New Roman"/>
          <w:b/>
          <w:lang w:val="bs-Latn-BA"/>
        </w:rPr>
        <w:t>Ljekarne</w:t>
      </w:r>
    </w:p>
    <w:p w:rsidR="00D878AE" w:rsidRPr="00155F80" w:rsidRDefault="00D878AE" w:rsidP="00D878AE">
      <w:pPr>
        <w:spacing w:line="276" w:lineRule="auto"/>
        <w:rPr>
          <w:rFonts w:ascii="Times New Roman" w:hAnsi="Times New Roman"/>
          <w:lang w:val="bs-Latn-BA"/>
        </w:rPr>
      </w:pPr>
    </w:p>
    <w:p w:rsidR="00D878AE" w:rsidRDefault="00D878AE" w:rsidP="00D878AE">
      <w:pPr>
        <w:spacing w:line="276" w:lineRule="auto"/>
        <w:rPr>
          <w:rFonts w:ascii="Times New Roman" w:hAnsi="Times New Roman"/>
          <w:lang w:val="bs-Latn-BA"/>
        </w:rPr>
      </w:pPr>
      <w:r w:rsidRPr="00155F80">
        <w:rPr>
          <w:rFonts w:ascii="Times New Roman" w:hAnsi="Times New Roman"/>
          <w:lang w:val="bs-Latn-BA"/>
        </w:rPr>
        <w:t>Prema poda</w:t>
      </w:r>
      <w:r w:rsidR="00517A40">
        <w:rPr>
          <w:rFonts w:ascii="Times New Roman" w:hAnsi="Times New Roman"/>
          <w:lang w:val="bs-Latn-BA"/>
        </w:rPr>
        <w:t>t</w:t>
      </w:r>
      <w:r w:rsidRPr="00155F80">
        <w:rPr>
          <w:rFonts w:ascii="Times New Roman" w:hAnsi="Times New Roman"/>
          <w:lang w:val="bs-Latn-BA"/>
        </w:rPr>
        <w:t>cima redov</w:t>
      </w:r>
      <w:r w:rsidR="00517A40">
        <w:rPr>
          <w:rFonts w:ascii="Times New Roman" w:hAnsi="Times New Roman"/>
          <w:lang w:val="bs-Latn-BA"/>
        </w:rPr>
        <w:t>it</w:t>
      </w:r>
      <w:r w:rsidRPr="00155F80">
        <w:rPr>
          <w:rFonts w:ascii="Times New Roman" w:hAnsi="Times New Roman"/>
          <w:lang w:val="bs-Latn-BA"/>
        </w:rPr>
        <w:t xml:space="preserve">e zdravstvene statistike u Federaciji BiH je u 2015. godini bilo 58 samostalnih </w:t>
      </w:r>
      <w:r w:rsidR="00517A40">
        <w:rPr>
          <w:rFonts w:ascii="Times New Roman" w:hAnsi="Times New Roman"/>
          <w:lang w:val="bs-Latn-BA"/>
        </w:rPr>
        <w:t>ljekarni</w:t>
      </w:r>
      <w:r w:rsidRPr="00155F80">
        <w:rPr>
          <w:rFonts w:ascii="Times New Roman" w:hAnsi="Times New Roman"/>
          <w:lang w:val="bs-Latn-BA"/>
        </w:rPr>
        <w:t xml:space="preserve"> u javnom sektoru u kojima je radilo 310 magistara farmacije  (13/100.000)  i 328 farmaceutskih tehničara (14/100.000), sa napomenom da nedostaju poda</w:t>
      </w:r>
      <w:r w:rsidR="00517A40">
        <w:rPr>
          <w:rFonts w:ascii="Times New Roman" w:hAnsi="Times New Roman"/>
          <w:lang w:val="bs-Latn-BA"/>
        </w:rPr>
        <w:t>t</w:t>
      </w:r>
      <w:r w:rsidRPr="00155F80">
        <w:rPr>
          <w:rFonts w:ascii="Times New Roman" w:hAnsi="Times New Roman"/>
          <w:lang w:val="bs-Latn-BA"/>
        </w:rPr>
        <w:t>ci za Zapadnohe</w:t>
      </w:r>
      <w:r>
        <w:rPr>
          <w:rFonts w:ascii="Times New Roman" w:hAnsi="Times New Roman"/>
          <w:lang w:val="bs-Latn-BA"/>
        </w:rPr>
        <w:t xml:space="preserve">rcegovački kanton i Kanton 10. </w:t>
      </w:r>
    </w:p>
    <w:p w:rsidR="00D878AE" w:rsidRPr="00C11A27" w:rsidRDefault="00D878AE" w:rsidP="00D878AE">
      <w:pPr>
        <w:spacing w:line="276" w:lineRule="auto"/>
        <w:rPr>
          <w:rFonts w:ascii="Times New Roman" w:hAnsi="Times New Roman"/>
          <w:lang w:val="bs-Latn-BA"/>
        </w:rPr>
      </w:pPr>
    </w:p>
    <w:p w:rsidR="00D878AE" w:rsidRPr="00155F80" w:rsidRDefault="00D878AE" w:rsidP="00D878AE">
      <w:pPr>
        <w:pStyle w:val="Poglavlje2"/>
        <w:spacing w:line="276" w:lineRule="auto"/>
      </w:pPr>
      <w:bookmarkStart w:id="342" w:name="_Toc456095938"/>
      <w:r w:rsidRPr="00155F80">
        <w:t>5.3 Specijalističko-kon</w:t>
      </w:r>
      <w:r w:rsidR="00517A40">
        <w:t>z</w:t>
      </w:r>
      <w:r w:rsidRPr="00155F80">
        <w:t>ultativna zaštita</w:t>
      </w:r>
      <w:bookmarkEnd w:id="342"/>
    </w:p>
    <w:p w:rsidR="00D878AE" w:rsidRPr="00155F80" w:rsidRDefault="00D878AE" w:rsidP="00D878AE">
      <w:pPr>
        <w:pStyle w:val="Tekst0"/>
        <w:spacing w:line="276" w:lineRule="auto"/>
        <w:rPr>
          <w:sz w:val="22"/>
          <w:szCs w:val="22"/>
        </w:rPr>
      </w:pPr>
      <w:r w:rsidRPr="00155F80">
        <w:rPr>
          <w:sz w:val="22"/>
          <w:szCs w:val="22"/>
        </w:rPr>
        <w:t>Stanovništvo Federacije BiH je specijalističko-kon</w:t>
      </w:r>
      <w:r w:rsidR="00517A40">
        <w:rPr>
          <w:sz w:val="22"/>
          <w:szCs w:val="22"/>
        </w:rPr>
        <w:t>z</w:t>
      </w:r>
      <w:r w:rsidRPr="00155F80">
        <w:rPr>
          <w:sz w:val="22"/>
          <w:szCs w:val="22"/>
        </w:rPr>
        <w:t xml:space="preserve">ultativnu zdravstvenu zaštitu u 2015. godini ostvarivalo u okviru 717 mjesta-punktova, što predstavalja smanjenje broja punktova za 5,3% u odnosu na 2010. godinu. </w:t>
      </w:r>
    </w:p>
    <w:p w:rsidR="00D878AE" w:rsidRDefault="00D878AE" w:rsidP="00D878AE">
      <w:pPr>
        <w:spacing w:line="276" w:lineRule="auto"/>
        <w:rPr>
          <w:rFonts w:ascii="Times New Roman" w:hAnsi="Times New Roman"/>
          <w:lang w:val="bs-Latn-BA"/>
        </w:rPr>
      </w:pPr>
      <w:r w:rsidRPr="00155F80">
        <w:rPr>
          <w:rFonts w:ascii="Times New Roman" w:hAnsi="Times New Roman"/>
          <w:lang w:val="bs-Latn-BA"/>
        </w:rPr>
        <w:t>Slično 2010. godini, specijalističko-kon</w:t>
      </w:r>
      <w:r w:rsidR="00CB5BF5">
        <w:rPr>
          <w:rFonts w:ascii="Times New Roman" w:hAnsi="Times New Roman"/>
          <w:lang w:val="bs-Latn-BA"/>
        </w:rPr>
        <w:t>z</w:t>
      </w:r>
      <w:r w:rsidRPr="00155F80">
        <w:rPr>
          <w:rFonts w:ascii="Times New Roman" w:hAnsi="Times New Roman"/>
          <w:lang w:val="bs-Latn-BA"/>
        </w:rPr>
        <w:t>ultativnu zdravstvenu zaštitu je o</w:t>
      </w:r>
      <w:r w:rsidR="00CB5BF5">
        <w:rPr>
          <w:rFonts w:ascii="Times New Roman" w:hAnsi="Times New Roman"/>
          <w:lang w:val="bs-Latn-BA"/>
        </w:rPr>
        <w:t>siguravalo</w:t>
      </w:r>
      <w:r w:rsidRPr="00155F80">
        <w:rPr>
          <w:rFonts w:ascii="Times New Roman" w:hAnsi="Times New Roman"/>
          <w:lang w:val="bs-Latn-BA"/>
        </w:rPr>
        <w:t xml:space="preserve"> 27,9 doktora medicine na 100.000 stanovnika Federacije BiH, dok je broj medicinskih sestara/tehničara (59,7/100.000) i zdravstvenih </w:t>
      </w:r>
      <w:r>
        <w:rPr>
          <w:rFonts w:ascii="Times New Roman" w:hAnsi="Times New Roman"/>
          <w:lang w:val="bs-Latn-BA"/>
        </w:rPr>
        <w:t>s</w:t>
      </w:r>
      <w:r w:rsidR="00CB5BF5">
        <w:rPr>
          <w:rFonts w:ascii="Times New Roman" w:hAnsi="Times New Roman"/>
          <w:lang w:val="bs-Latn-BA"/>
        </w:rPr>
        <w:t>u</w:t>
      </w:r>
      <w:r>
        <w:rPr>
          <w:rFonts w:ascii="Times New Roman" w:hAnsi="Times New Roman"/>
          <w:lang w:val="bs-Latn-BA"/>
        </w:rPr>
        <w:t>radnika (5,8/100.000) nešto</w:t>
      </w:r>
      <w:r w:rsidRPr="00155F80">
        <w:rPr>
          <w:rFonts w:ascii="Times New Roman" w:hAnsi="Times New Roman"/>
          <w:lang w:val="bs-Latn-BA"/>
        </w:rPr>
        <w:t xml:space="preserve"> povećan.</w:t>
      </w:r>
      <w:r>
        <w:rPr>
          <w:rFonts w:ascii="Times New Roman" w:hAnsi="Times New Roman"/>
          <w:lang w:val="bs-Latn-BA"/>
        </w:rPr>
        <w:t xml:space="preserve"> </w:t>
      </w:r>
    </w:p>
    <w:p w:rsidR="00D878AE" w:rsidRPr="00155F80" w:rsidRDefault="00D878AE" w:rsidP="00D878AE">
      <w:pPr>
        <w:spacing w:line="276" w:lineRule="auto"/>
        <w:rPr>
          <w:rFonts w:ascii="Times New Roman" w:hAnsi="Times New Roman"/>
          <w:noProof/>
          <w:lang w:val="sl-SI"/>
        </w:rPr>
      </w:pPr>
    </w:p>
    <w:p w:rsidR="00D878AE" w:rsidRPr="00155F80" w:rsidRDefault="00D878AE" w:rsidP="00D878AE">
      <w:pPr>
        <w:pStyle w:val="refererere"/>
      </w:pPr>
      <w:r w:rsidRPr="00155F80">
        <w:t xml:space="preserve">Grafikon 109: </w:t>
      </w:r>
      <w:r w:rsidR="00CB5BF5">
        <w:t>U</w:t>
      </w:r>
      <w:r w:rsidRPr="00155F80">
        <w:t>posleni u specijalističko-kon</w:t>
      </w:r>
      <w:r w:rsidR="00CB5BF5">
        <w:t>zu</w:t>
      </w:r>
      <w:r w:rsidRPr="00155F80">
        <w:t>ltativnoj zaštiti u Federaciji BiH, 2010. i 2015. godina, stopa na 100.000 stanovnika</w:t>
      </w:r>
    </w:p>
    <w:p w:rsidR="00D878AE" w:rsidRPr="00155F80" w:rsidRDefault="00D878AE" w:rsidP="00D878AE">
      <w:pPr>
        <w:pStyle w:val="Tekst0"/>
        <w:spacing w:line="276" w:lineRule="auto"/>
        <w:jc w:val="center"/>
        <w:rPr>
          <w:sz w:val="22"/>
          <w:szCs w:val="22"/>
        </w:rPr>
      </w:pPr>
      <w:r w:rsidRPr="00155F80">
        <w:rPr>
          <w:sz w:val="22"/>
          <w:szCs w:val="22"/>
          <w:lang w:val="bs-Latn-BA" w:eastAsia="bs-Latn-BA"/>
        </w:rPr>
        <w:lastRenderedPageBreak/>
        <w:drawing>
          <wp:inline distT="0" distB="0" distL="0" distR="0" wp14:anchorId="61885D4D" wp14:editId="477045B0">
            <wp:extent cx="5724525" cy="1983740"/>
            <wp:effectExtent l="0" t="0" r="9525" b="16510"/>
            <wp:docPr id="145"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rsidR="00D878AE" w:rsidRPr="00155F80" w:rsidRDefault="00D878AE" w:rsidP="00D878AE">
      <w:pPr>
        <w:pStyle w:val="Tekst0"/>
        <w:spacing w:line="276" w:lineRule="auto"/>
        <w:rPr>
          <w:sz w:val="22"/>
          <w:szCs w:val="22"/>
        </w:rPr>
      </w:pPr>
      <w:r w:rsidRPr="00155F80">
        <w:rPr>
          <w:sz w:val="22"/>
          <w:szCs w:val="22"/>
        </w:rPr>
        <w:t>Broj posjeta po stanovniku se u 2015. godini (1,9) nije značajnije razlikovao u odnosu na 2010. godinu (1,8).</w:t>
      </w:r>
    </w:p>
    <w:p w:rsidR="00D878AE" w:rsidRPr="00155F80" w:rsidRDefault="00D878AE" w:rsidP="00D878AE">
      <w:pPr>
        <w:pStyle w:val="Heading2"/>
        <w:spacing w:line="276" w:lineRule="auto"/>
        <w:rPr>
          <w:rFonts w:ascii="Times New Roman" w:hAnsi="Times New Roman" w:cs="Times New Roman"/>
          <w:sz w:val="22"/>
          <w:szCs w:val="22"/>
        </w:rPr>
      </w:pPr>
      <w:bookmarkStart w:id="343" w:name="_Toc390781141"/>
    </w:p>
    <w:p w:rsidR="00D878AE" w:rsidRPr="00155F80" w:rsidRDefault="00D878AE" w:rsidP="00D878AE">
      <w:pPr>
        <w:pStyle w:val="Poglavlje2"/>
        <w:spacing w:line="276" w:lineRule="auto"/>
      </w:pPr>
      <w:bookmarkStart w:id="344" w:name="_Toc456095939"/>
      <w:r w:rsidRPr="00155F80">
        <w:t>5.4  Bolnička zdravstvena zaštita</w:t>
      </w:r>
      <w:bookmarkEnd w:id="343"/>
      <w:bookmarkEnd w:id="344"/>
    </w:p>
    <w:p w:rsidR="00D878AE" w:rsidRPr="00155F80" w:rsidRDefault="00D878AE" w:rsidP="00D878AE">
      <w:pPr>
        <w:pStyle w:val="Tekst0"/>
        <w:spacing w:line="276" w:lineRule="auto"/>
        <w:rPr>
          <w:sz w:val="22"/>
          <w:szCs w:val="22"/>
        </w:rPr>
      </w:pPr>
      <w:r w:rsidRPr="00155F80">
        <w:rPr>
          <w:sz w:val="22"/>
          <w:szCs w:val="22"/>
        </w:rPr>
        <w:t xml:space="preserve">Stanovništvo Federacije BiH je u 2015. godini bolničku zdravstvenu zaštitu ostvarivalo u 23 bolnice (opće i kantonalne bolnice, klinička bolnica, klinički centri, specijalne bolnice, lječilišta, medicinski centar) u kojima je radilo 49,2% svih doktora medicine i 47,5% svih medicinskih sestara/tehničara, što je bilo slično u promatranom razdoblju. </w:t>
      </w:r>
    </w:p>
    <w:p w:rsidR="00D878AE" w:rsidRPr="00155F80" w:rsidRDefault="00D878AE" w:rsidP="00D878AE">
      <w:pPr>
        <w:pStyle w:val="Tekst0"/>
        <w:spacing w:line="276" w:lineRule="auto"/>
        <w:rPr>
          <w:sz w:val="22"/>
          <w:szCs w:val="22"/>
        </w:rPr>
      </w:pPr>
      <w:r w:rsidRPr="00155F80">
        <w:rPr>
          <w:sz w:val="22"/>
          <w:szCs w:val="22"/>
        </w:rPr>
        <w:t xml:space="preserve">Na 100.000 stanovnika je u 2015. godini u bolnicama radilo 100 doktora medicine i 269 medicinskih sestara/tehničara, </w:t>
      </w:r>
      <w:r>
        <w:rPr>
          <w:sz w:val="22"/>
          <w:szCs w:val="22"/>
        </w:rPr>
        <w:t xml:space="preserve">a </w:t>
      </w:r>
      <w:r w:rsidRPr="00155F80">
        <w:rPr>
          <w:sz w:val="22"/>
          <w:szCs w:val="22"/>
        </w:rPr>
        <w:t>na jednog doktora medicine u prosjeku</w:t>
      </w:r>
      <w:r>
        <w:rPr>
          <w:sz w:val="22"/>
          <w:szCs w:val="22"/>
        </w:rPr>
        <w:t xml:space="preserve"> je</w:t>
      </w:r>
      <w:r w:rsidRPr="00155F80">
        <w:rPr>
          <w:sz w:val="22"/>
          <w:szCs w:val="22"/>
        </w:rPr>
        <w:t xml:space="preserve"> radilo 2,8 medicinskih sestara/tehničara.</w:t>
      </w:r>
    </w:p>
    <w:p w:rsidR="00D878AE" w:rsidRDefault="00D878AE" w:rsidP="003E3695">
      <w:pPr>
        <w:pStyle w:val="Tekst0"/>
        <w:spacing w:before="0" w:line="276" w:lineRule="auto"/>
        <w:rPr>
          <w:sz w:val="22"/>
          <w:szCs w:val="22"/>
        </w:rPr>
      </w:pPr>
      <w:r w:rsidRPr="00155F80">
        <w:rPr>
          <w:sz w:val="22"/>
          <w:szCs w:val="22"/>
        </w:rPr>
        <w:t xml:space="preserve">U Fedaraciji BiH je u 2015. godini na 1.000 stanovnika bilo 3,6 postelja, što se nije značajnije promijenilo u odnosu na prethodne godine.  </w:t>
      </w:r>
    </w:p>
    <w:p w:rsidR="00D878AE" w:rsidRPr="00155F80" w:rsidRDefault="00D878AE" w:rsidP="00D878AE">
      <w:pPr>
        <w:pStyle w:val="Tekst0"/>
        <w:spacing w:line="276" w:lineRule="auto"/>
        <w:rPr>
          <w:sz w:val="22"/>
          <w:szCs w:val="22"/>
        </w:rPr>
      </w:pPr>
    </w:p>
    <w:p w:rsidR="00D878AE" w:rsidRPr="00155F80" w:rsidRDefault="00D878AE" w:rsidP="00D878AE">
      <w:pPr>
        <w:pStyle w:val="refererere"/>
      </w:pPr>
      <w:r w:rsidRPr="00155F80">
        <w:t xml:space="preserve">Grafikon 110: Broj postelja u Federaciji BiH, </w:t>
      </w:r>
      <w:r w:rsidR="00CB5BF5">
        <w:t>razdoblje</w:t>
      </w:r>
      <w:r w:rsidRPr="00155F80">
        <w:t xml:space="preserve"> 2010.-2015. godina, stopa  na 1.000 stanovnika</w:t>
      </w:r>
    </w:p>
    <w:p w:rsidR="00D878AE" w:rsidRPr="00155F80" w:rsidRDefault="00D878AE" w:rsidP="00D878AE">
      <w:pPr>
        <w:spacing w:line="276" w:lineRule="auto"/>
        <w:jc w:val="center"/>
        <w:rPr>
          <w:rFonts w:ascii="Times New Roman" w:hAnsi="Times New Roman"/>
          <w:lang w:val="bs-Latn-BA"/>
        </w:rPr>
      </w:pPr>
      <w:r w:rsidRPr="00155F80">
        <w:rPr>
          <w:rFonts w:ascii="Times New Roman" w:hAnsi="Times New Roman"/>
          <w:noProof/>
          <w:lang w:val="bs-Latn-BA" w:eastAsia="bs-Latn-BA"/>
        </w:rPr>
        <w:drawing>
          <wp:inline distT="0" distB="0" distL="0" distR="0" wp14:anchorId="392E4E4D" wp14:editId="407E9FE3">
            <wp:extent cx="5795010" cy="1662545"/>
            <wp:effectExtent l="0" t="0" r="15240" b="13970"/>
            <wp:docPr id="146"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rsidR="00D878AE" w:rsidRPr="00155F80" w:rsidRDefault="00D878AE" w:rsidP="00D878AE">
      <w:pPr>
        <w:spacing w:line="276" w:lineRule="auto"/>
        <w:rPr>
          <w:rFonts w:ascii="Times New Roman" w:hAnsi="Times New Roman"/>
          <w:lang w:val="bs-Latn-BA"/>
        </w:rPr>
      </w:pPr>
    </w:p>
    <w:p w:rsidR="00D878AE" w:rsidRDefault="00D878AE" w:rsidP="00D878AE">
      <w:pPr>
        <w:spacing w:line="276" w:lineRule="auto"/>
        <w:rPr>
          <w:rFonts w:ascii="Times New Roman" w:hAnsi="Times New Roman"/>
          <w:lang w:val="bs-Latn-BA"/>
        </w:rPr>
      </w:pPr>
      <w:r w:rsidRPr="00155F80">
        <w:rPr>
          <w:rFonts w:ascii="Times New Roman" w:hAnsi="Times New Roman"/>
          <w:lang w:val="bs-Latn-BA"/>
        </w:rPr>
        <w:t>Poda</w:t>
      </w:r>
      <w:r w:rsidR="00CB5BF5">
        <w:rPr>
          <w:rFonts w:ascii="Times New Roman" w:hAnsi="Times New Roman"/>
          <w:lang w:val="bs-Latn-BA"/>
        </w:rPr>
        <w:t>t</w:t>
      </w:r>
      <w:r w:rsidRPr="00155F80">
        <w:rPr>
          <w:rFonts w:ascii="Times New Roman" w:hAnsi="Times New Roman"/>
          <w:lang w:val="bs-Latn-BA"/>
        </w:rPr>
        <w:t xml:space="preserve">ci pokazuju da Federacija BiH ima značajno manje postelja (360/100.000) u </w:t>
      </w:r>
      <w:r w:rsidR="00CB5BF5">
        <w:rPr>
          <w:rFonts w:ascii="Times New Roman" w:hAnsi="Times New Roman"/>
          <w:lang w:val="bs-Latn-BA"/>
        </w:rPr>
        <w:t>usporedbi</w:t>
      </w:r>
      <w:r w:rsidRPr="00155F80">
        <w:rPr>
          <w:rFonts w:ascii="Times New Roman" w:hAnsi="Times New Roman"/>
          <w:lang w:val="bs-Latn-BA"/>
        </w:rPr>
        <w:t xml:space="preserve"> s prosjekom </w:t>
      </w:r>
      <w:r w:rsidR="00CB5BF5">
        <w:rPr>
          <w:rFonts w:ascii="Times New Roman" w:hAnsi="Times New Roman"/>
          <w:lang w:val="bs-Latn-BA"/>
        </w:rPr>
        <w:t>europske</w:t>
      </w:r>
      <w:r w:rsidRPr="00155F80">
        <w:rPr>
          <w:rFonts w:ascii="Times New Roman" w:hAnsi="Times New Roman"/>
          <w:lang w:val="bs-Latn-BA"/>
        </w:rPr>
        <w:t xml:space="preserve"> </w:t>
      </w:r>
      <w:r w:rsidR="00CB5BF5">
        <w:rPr>
          <w:rFonts w:ascii="Times New Roman" w:hAnsi="Times New Roman"/>
          <w:lang w:val="bs-Latn-BA"/>
        </w:rPr>
        <w:t>regije</w:t>
      </w:r>
      <w:r w:rsidRPr="00155F80">
        <w:rPr>
          <w:rFonts w:ascii="Times New Roman" w:hAnsi="Times New Roman"/>
          <w:lang w:val="bs-Latn-BA"/>
        </w:rPr>
        <w:t xml:space="preserve"> (567/100.000) kao i u odnosu na odabrane zemlje u </w:t>
      </w:r>
      <w:r w:rsidRPr="003C0D4E">
        <w:rPr>
          <w:rFonts w:ascii="Times New Roman" w:hAnsi="Times New Roman"/>
          <w:lang w:val="bs-Latn-BA"/>
        </w:rPr>
        <w:t>okruženju</w:t>
      </w:r>
      <w:r>
        <w:rPr>
          <w:rFonts w:ascii="Times New Roman" w:hAnsi="Times New Roman"/>
          <w:lang w:val="bs-Latn-BA"/>
        </w:rPr>
        <w:t>.</w:t>
      </w:r>
      <w:r w:rsidRPr="003C0D4E">
        <w:rPr>
          <w:rFonts w:ascii="Times New Roman" w:hAnsi="Times New Roman"/>
          <w:lang w:val="bs-Latn-BA"/>
        </w:rPr>
        <w:t xml:space="preserve"> (2)</w:t>
      </w:r>
      <w:r>
        <w:rPr>
          <w:rFonts w:ascii="Times New Roman" w:hAnsi="Times New Roman"/>
          <w:lang w:val="bs-Latn-BA"/>
        </w:rPr>
        <w:t xml:space="preserve"> </w:t>
      </w:r>
    </w:p>
    <w:p w:rsidR="00D878AE" w:rsidRPr="00155F80" w:rsidRDefault="00D878AE" w:rsidP="00D878AE">
      <w:pPr>
        <w:spacing w:line="276" w:lineRule="auto"/>
        <w:rPr>
          <w:rFonts w:ascii="Times New Roman" w:hAnsi="Times New Roman"/>
          <w:iCs/>
          <w:noProof/>
          <w:lang w:val="bs-Latn-BA" w:eastAsia="bs-Latn-BA"/>
        </w:rPr>
      </w:pPr>
    </w:p>
    <w:p w:rsidR="00D878AE" w:rsidRPr="00155F80" w:rsidRDefault="00D878AE" w:rsidP="00D878AE">
      <w:pPr>
        <w:pStyle w:val="refererere"/>
      </w:pPr>
      <w:r w:rsidRPr="00155F80">
        <w:lastRenderedPageBreak/>
        <w:t xml:space="preserve">Grafikon 111: Broj postelja u odabranim zemljama </w:t>
      </w:r>
      <w:r w:rsidR="00CB5BF5">
        <w:t>europske regije</w:t>
      </w:r>
      <w:r w:rsidRPr="00155F80">
        <w:t>, stopa na 100.000 stanovnika</w:t>
      </w:r>
      <w:r w:rsidRPr="00155F80">
        <w:rPr>
          <w:noProof/>
          <w:lang w:val="bs-Latn-BA" w:eastAsia="bs-Latn-BA"/>
        </w:rPr>
        <w:drawing>
          <wp:inline distT="0" distB="0" distL="0" distR="0" wp14:anchorId="54C89EFB" wp14:editId="2F87E305">
            <wp:extent cx="5676265" cy="1888177"/>
            <wp:effectExtent l="0" t="0" r="635" b="17145"/>
            <wp:docPr id="147" name="Chart 14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rsidR="00D878AE" w:rsidRDefault="00D878AE" w:rsidP="003E3695">
      <w:pPr>
        <w:pStyle w:val="Tekst0"/>
        <w:spacing w:before="0" w:line="276" w:lineRule="auto"/>
        <w:rPr>
          <w:sz w:val="22"/>
          <w:szCs w:val="22"/>
        </w:rPr>
      </w:pPr>
      <w:r w:rsidRPr="00155F80">
        <w:rPr>
          <w:sz w:val="22"/>
          <w:szCs w:val="22"/>
        </w:rPr>
        <w:t>Najveći broj postelja u Federaciji BiH su u 2015. godini imali Kanton Sarajevo i Srednjobosanski kanton (5,0/1000).</w:t>
      </w:r>
      <w:r w:rsidR="0075440C">
        <w:rPr>
          <w:sz w:val="22"/>
          <w:szCs w:val="22"/>
        </w:rPr>
        <w:t xml:space="preserve"> </w:t>
      </w:r>
      <w:r w:rsidRPr="00155F80">
        <w:rPr>
          <w:sz w:val="22"/>
          <w:szCs w:val="22"/>
        </w:rPr>
        <w:t>Na području Kantona Sarajevo se nalazi klinički centar, koji osigurava tercijarn</w:t>
      </w:r>
      <w:r w:rsidR="00CB5BF5">
        <w:rPr>
          <w:sz w:val="22"/>
          <w:szCs w:val="22"/>
        </w:rPr>
        <w:t>u</w:t>
      </w:r>
      <w:r w:rsidRPr="00155F80">
        <w:rPr>
          <w:sz w:val="22"/>
          <w:szCs w:val="22"/>
        </w:rPr>
        <w:t xml:space="preserve"> </w:t>
      </w:r>
      <w:r w:rsidR="00CB5BF5">
        <w:rPr>
          <w:sz w:val="22"/>
          <w:szCs w:val="22"/>
        </w:rPr>
        <w:t>razinu</w:t>
      </w:r>
      <w:r w:rsidRPr="00155F80">
        <w:rPr>
          <w:sz w:val="22"/>
          <w:szCs w:val="22"/>
        </w:rPr>
        <w:t xml:space="preserve"> bolničke zaštite stanovništvu Kantona Sarajevo i gravitirajućih kantona, te samim tim za najveći broj stanovnika FBiH. Kanton Sarajevo  raspolaže sa 110 postelja dnevne hospitalizacije (0,3/1.000).</w:t>
      </w:r>
    </w:p>
    <w:p w:rsidR="003E3695" w:rsidRPr="00155F80" w:rsidRDefault="003E3695" w:rsidP="0075440C">
      <w:pPr>
        <w:pStyle w:val="Tekst0"/>
        <w:spacing w:line="276" w:lineRule="auto"/>
      </w:pPr>
    </w:p>
    <w:p w:rsidR="00D878AE" w:rsidRPr="00155F80" w:rsidRDefault="00D878AE" w:rsidP="00D878AE">
      <w:pPr>
        <w:pStyle w:val="refererere"/>
      </w:pPr>
      <w:r w:rsidRPr="00155F80">
        <w:t>Grafikon 112: Broj postelja po kantonima Federaciji BiH, 2015. godina, stopa na 1.000 stanovnika</w:t>
      </w:r>
    </w:p>
    <w:p w:rsidR="00D878AE" w:rsidRPr="00155F80" w:rsidRDefault="00D878AE" w:rsidP="00D878AE">
      <w:pPr>
        <w:spacing w:line="276" w:lineRule="auto"/>
        <w:jc w:val="center"/>
        <w:rPr>
          <w:rFonts w:ascii="Times New Roman" w:hAnsi="Times New Roman"/>
          <w:highlight w:val="yellow"/>
        </w:rPr>
      </w:pPr>
      <w:r w:rsidRPr="00155F80">
        <w:rPr>
          <w:rFonts w:ascii="Times New Roman" w:hAnsi="Times New Roman"/>
          <w:noProof/>
          <w:lang w:val="bs-Latn-BA" w:eastAsia="bs-Latn-BA"/>
        </w:rPr>
        <w:drawing>
          <wp:inline distT="0" distB="0" distL="0" distR="0" wp14:anchorId="0B1CF682" wp14:editId="71299BD6">
            <wp:extent cx="5653405" cy="2000250"/>
            <wp:effectExtent l="0" t="0" r="4445" b="0"/>
            <wp:docPr id="148"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
    <w:p w:rsidR="00D878AE" w:rsidRPr="00155F80" w:rsidRDefault="00D878AE" w:rsidP="00D878AE">
      <w:pPr>
        <w:spacing w:line="276" w:lineRule="auto"/>
        <w:jc w:val="center"/>
        <w:rPr>
          <w:rFonts w:ascii="Times New Roman" w:hAnsi="Times New Roman"/>
          <w:highlight w:val="yellow"/>
        </w:rPr>
      </w:pPr>
    </w:p>
    <w:p w:rsidR="00D878AE" w:rsidRPr="00155F80" w:rsidRDefault="00D878AE" w:rsidP="00D878AE">
      <w:pPr>
        <w:pStyle w:val="Tekst0"/>
        <w:spacing w:line="276" w:lineRule="auto"/>
        <w:rPr>
          <w:sz w:val="22"/>
          <w:szCs w:val="22"/>
        </w:rPr>
      </w:pPr>
      <w:r w:rsidRPr="00155F80">
        <w:rPr>
          <w:sz w:val="22"/>
          <w:szCs w:val="22"/>
        </w:rPr>
        <w:t>Veliki broj postelja u Srednjobosanskom kantonu (5,0/1000) je posljedica postojanja čak šest ustanova bolničke zaštite na području ovog kantona. U ukupan broj postelja ovog kantona ulazi i 520 postelja rehabilitacijskog centra Fojnica, što čini 41,0% posteljnog fonda ovog kantona.</w:t>
      </w:r>
    </w:p>
    <w:p w:rsidR="00D878AE" w:rsidRPr="00155F80" w:rsidRDefault="00D878AE" w:rsidP="00D878AE">
      <w:pPr>
        <w:pStyle w:val="Tekst0"/>
        <w:spacing w:line="276" w:lineRule="auto"/>
        <w:rPr>
          <w:sz w:val="22"/>
          <w:szCs w:val="22"/>
        </w:rPr>
      </w:pPr>
      <w:r w:rsidRPr="00155F80">
        <w:rPr>
          <w:sz w:val="22"/>
          <w:szCs w:val="22"/>
        </w:rPr>
        <w:t xml:space="preserve">Po jednom doktoru medicine </w:t>
      </w:r>
      <w:r>
        <w:rPr>
          <w:sz w:val="22"/>
          <w:szCs w:val="22"/>
        </w:rPr>
        <w:t xml:space="preserve">u bolničkoj zaštiti </w:t>
      </w:r>
      <w:r w:rsidRPr="00155F80">
        <w:rPr>
          <w:sz w:val="22"/>
          <w:szCs w:val="22"/>
        </w:rPr>
        <w:t xml:space="preserve">je u 2015. godini u FBiH u prosjeku dolazilo </w:t>
      </w:r>
      <w:r w:rsidRPr="00155F80">
        <w:rPr>
          <w:sz w:val="22"/>
          <w:szCs w:val="22"/>
          <w:shd w:val="clear" w:color="auto" w:fill="FFFFFF" w:themeFill="background1"/>
        </w:rPr>
        <w:t>3,6 postelja,</w:t>
      </w:r>
      <w:r w:rsidRPr="00155F80">
        <w:rPr>
          <w:sz w:val="22"/>
          <w:szCs w:val="22"/>
        </w:rPr>
        <w:t xml:space="preserve"> te je po jednoj medicinskoj sestri/tehničaru u prosjeku bilo </w:t>
      </w:r>
      <w:r w:rsidRPr="00155F80">
        <w:rPr>
          <w:sz w:val="22"/>
          <w:szCs w:val="22"/>
          <w:shd w:val="clear" w:color="auto" w:fill="FFFFFF" w:themeFill="background1"/>
        </w:rPr>
        <w:t>1,3 postelja.</w:t>
      </w:r>
    </w:p>
    <w:p w:rsidR="00D878AE" w:rsidRPr="00155F80" w:rsidRDefault="00D878AE" w:rsidP="00D878AE">
      <w:pPr>
        <w:pStyle w:val="Tekst0"/>
        <w:spacing w:line="276" w:lineRule="auto"/>
        <w:rPr>
          <w:sz w:val="22"/>
          <w:szCs w:val="22"/>
          <w:lang w:eastAsia="de-DE"/>
        </w:rPr>
      </w:pPr>
      <w:r>
        <w:rPr>
          <w:sz w:val="22"/>
          <w:szCs w:val="22"/>
          <w:lang w:eastAsia="de-DE"/>
        </w:rPr>
        <w:t>Prema poda</w:t>
      </w:r>
      <w:r w:rsidR="00CB5BF5">
        <w:rPr>
          <w:sz w:val="22"/>
          <w:szCs w:val="22"/>
          <w:lang w:eastAsia="de-DE"/>
        </w:rPr>
        <w:t>t</w:t>
      </w:r>
      <w:r>
        <w:rPr>
          <w:sz w:val="22"/>
          <w:szCs w:val="22"/>
          <w:lang w:eastAsia="de-DE"/>
        </w:rPr>
        <w:t>cima redov</w:t>
      </w:r>
      <w:r w:rsidR="00CB5BF5">
        <w:rPr>
          <w:sz w:val="22"/>
          <w:szCs w:val="22"/>
          <w:lang w:eastAsia="de-DE"/>
        </w:rPr>
        <w:t>it</w:t>
      </w:r>
      <w:r>
        <w:rPr>
          <w:sz w:val="22"/>
          <w:szCs w:val="22"/>
          <w:lang w:eastAsia="de-DE"/>
        </w:rPr>
        <w:t>e zdravstvene statistike koji se odnose na bolničk</w:t>
      </w:r>
      <w:r w:rsidR="0061286D">
        <w:rPr>
          <w:sz w:val="22"/>
          <w:szCs w:val="22"/>
          <w:lang w:eastAsia="de-DE"/>
        </w:rPr>
        <w:t>o liječenje, u 2015. godini je 9</w:t>
      </w:r>
      <w:r>
        <w:rPr>
          <w:sz w:val="22"/>
          <w:szCs w:val="22"/>
          <w:lang w:eastAsia="de-DE"/>
        </w:rPr>
        <w:t>,2% stanovništva koristilo ovaj vid zdravstvene zaštite.</w:t>
      </w:r>
    </w:p>
    <w:p w:rsidR="00D878AE" w:rsidRPr="00155F80" w:rsidRDefault="00D878AE" w:rsidP="0075440C">
      <w:pPr>
        <w:pStyle w:val="Tekst0"/>
        <w:spacing w:after="240" w:line="276" w:lineRule="auto"/>
        <w:rPr>
          <w:sz w:val="22"/>
          <w:szCs w:val="22"/>
        </w:rPr>
      </w:pPr>
      <w:r w:rsidRPr="00155F80">
        <w:rPr>
          <w:sz w:val="22"/>
          <w:szCs w:val="22"/>
        </w:rPr>
        <w:t>Prosječna zauzetost postelja u Federaciji BiH je u 2015. godini iznosila 59,5%, a prosječna dužina ležanja 7,6 dana, što predstavlja smanjenje u odnosu na pre</w:t>
      </w:r>
      <w:r w:rsidR="00CB5BF5">
        <w:rPr>
          <w:sz w:val="22"/>
          <w:szCs w:val="22"/>
        </w:rPr>
        <w:t>t</w:t>
      </w:r>
      <w:r w:rsidRPr="00155F80">
        <w:rPr>
          <w:sz w:val="22"/>
          <w:szCs w:val="22"/>
        </w:rPr>
        <w:t>hodne godine.</w:t>
      </w:r>
    </w:p>
    <w:p w:rsidR="00D878AE" w:rsidRPr="00155F80" w:rsidRDefault="00D878AE" w:rsidP="0075440C">
      <w:pPr>
        <w:pStyle w:val="refererere"/>
        <w:jc w:val="left"/>
        <w:rPr>
          <w:sz w:val="22"/>
          <w:szCs w:val="22"/>
        </w:rPr>
      </w:pPr>
      <w:r w:rsidRPr="00155F80">
        <w:lastRenderedPageBreak/>
        <w:t xml:space="preserve">Grafikon 113: Korištenje bolničkih resursa u Federaciji BiH, </w:t>
      </w:r>
      <w:r w:rsidR="00CB5BF5">
        <w:t>razdoblje</w:t>
      </w:r>
      <w:r w:rsidRPr="00155F80">
        <w:t xml:space="preserve"> 2010.-2015.godina</w:t>
      </w:r>
      <w:r w:rsidRPr="00155F80">
        <w:rPr>
          <w:noProof/>
          <w:sz w:val="22"/>
          <w:szCs w:val="22"/>
          <w:lang w:val="bs-Latn-BA" w:eastAsia="bs-Latn-BA"/>
        </w:rPr>
        <w:drawing>
          <wp:inline distT="0" distB="0" distL="0" distR="0" wp14:anchorId="644C4CF0" wp14:editId="5E30781D">
            <wp:extent cx="5640705" cy="2339439"/>
            <wp:effectExtent l="0" t="0" r="17145" b="3810"/>
            <wp:docPr id="149"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p w:rsidR="00D878AE" w:rsidRDefault="00D878AE" w:rsidP="00D878AE">
      <w:pPr>
        <w:pStyle w:val="Tekst0"/>
        <w:spacing w:line="276" w:lineRule="auto"/>
        <w:rPr>
          <w:sz w:val="22"/>
          <w:szCs w:val="22"/>
        </w:rPr>
      </w:pPr>
      <w:r w:rsidRPr="00155F80">
        <w:rPr>
          <w:sz w:val="22"/>
          <w:szCs w:val="22"/>
        </w:rPr>
        <w:t>Zauzetost postelja je odnosu na 2010. godinu najviše smanjena u specijalnim bolnicama, potom u kantonalnim i općim bolnicama.</w:t>
      </w:r>
    </w:p>
    <w:p w:rsidR="0075440C" w:rsidRDefault="0075440C" w:rsidP="00D878AE">
      <w:pPr>
        <w:pStyle w:val="refererere"/>
      </w:pPr>
    </w:p>
    <w:p w:rsidR="00D878AE" w:rsidRPr="00155F80" w:rsidRDefault="00D878AE" w:rsidP="00D878AE">
      <w:pPr>
        <w:pStyle w:val="refererere"/>
      </w:pPr>
      <w:r w:rsidRPr="00155F80">
        <w:t xml:space="preserve">Grafikon 114: Zauzetost postelja (%), prema </w:t>
      </w:r>
      <w:r w:rsidR="00CB5BF5">
        <w:t>razinama</w:t>
      </w:r>
      <w:r w:rsidRPr="00155F80">
        <w:t xml:space="preserve"> bolnica u Federaciji BiH, 2010. i 2015. godina</w:t>
      </w:r>
    </w:p>
    <w:p w:rsidR="00D878AE" w:rsidRPr="00155F80" w:rsidRDefault="00D878AE" w:rsidP="00D878AE">
      <w:pPr>
        <w:spacing w:line="276" w:lineRule="auto"/>
        <w:jc w:val="center"/>
        <w:rPr>
          <w:rFonts w:ascii="Times New Roman" w:hAnsi="Times New Roman"/>
          <w:highlight w:val="yellow"/>
          <w:lang w:val="bs-Latn-BA"/>
        </w:rPr>
      </w:pPr>
      <w:r w:rsidRPr="00155F80">
        <w:rPr>
          <w:rFonts w:ascii="Times New Roman" w:hAnsi="Times New Roman"/>
          <w:noProof/>
          <w:lang w:val="bs-Latn-BA" w:eastAsia="bs-Latn-BA"/>
        </w:rPr>
        <w:drawing>
          <wp:inline distT="0" distB="0" distL="0" distR="0" wp14:anchorId="047CE414" wp14:editId="46468A30">
            <wp:extent cx="5605580" cy="2660015"/>
            <wp:effectExtent l="0" t="0" r="14605" b="6985"/>
            <wp:docPr id="150"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p w:rsidR="00D878AE" w:rsidRPr="00155F80" w:rsidRDefault="00D878AE" w:rsidP="00D878AE">
      <w:pPr>
        <w:pStyle w:val="Tekst0"/>
        <w:spacing w:line="276" w:lineRule="auto"/>
        <w:rPr>
          <w:sz w:val="22"/>
          <w:szCs w:val="22"/>
        </w:rPr>
      </w:pPr>
      <w:r w:rsidRPr="00155F80">
        <w:rPr>
          <w:sz w:val="22"/>
          <w:szCs w:val="22"/>
        </w:rPr>
        <w:t xml:space="preserve">Slično prethodnim godinama, u 2015. je najmanja dužina ležanja registrirana u medicinskom centru (5,9 dana), a najveća u specijalnim bolnicama (21,1 dana), u okviru kojih se pruža zaštita psihijatrijskim bolesnicima i oboljelim od kroničnih plućnih bolesti i TBC. </w:t>
      </w:r>
    </w:p>
    <w:p w:rsidR="00276D53" w:rsidRDefault="00D878AE" w:rsidP="0075440C">
      <w:pPr>
        <w:pStyle w:val="Tekst0"/>
        <w:spacing w:after="240" w:line="276" w:lineRule="auto"/>
        <w:rPr>
          <w:sz w:val="22"/>
          <w:szCs w:val="22"/>
        </w:rPr>
      </w:pPr>
      <w:r w:rsidRPr="00155F80">
        <w:rPr>
          <w:sz w:val="22"/>
          <w:szCs w:val="22"/>
        </w:rPr>
        <w:t xml:space="preserve">U odnosu na 2010. godinu dužina ležanja je najviše smanjena </w:t>
      </w:r>
      <w:r>
        <w:rPr>
          <w:sz w:val="22"/>
          <w:szCs w:val="22"/>
        </w:rPr>
        <w:t xml:space="preserve">u </w:t>
      </w:r>
      <w:r w:rsidRPr="00155F80">
        <w:rPr>
          <w:sz w:val="22"/>
          <w:szCs w:val="22"/>
        </w:rPr>
        <w:t>specijalnim bolnicama, zatim kliničkim centrima i kliničkoj bolnici.</w:t>
      </w:r>
      <w:r>
        <w:rPr>
          <w:sz w:val="22"/>
          <w:szCs w:val="22"/>
        </w:rPr>
        <w:t xml:space="preserve"> </w:t>
      </w:r>
    </w:p>
    <w:p w:rsidR="00D878AE" w:rsidRPr="00155F80" w:rsidRDefault="00D878AE" w:rsidP="00D878AE">
      <w:pPr>
        <w:pStyle w:val="refererere"/>
      </w:pPr>
      <w:r w:rsidRPr="00155F80">
        <w:t xml:space="preserve">Grafikon 115: Dužina ležanja u danima, prema </w:t>
      </w:r>
      <w:r w:rsidR="00CB5BF5">
        <w:t>razinama</w:t>
      </w:r>
      <w:r w:rsidRPr="00155F80">
        <w:t xml:space="preserve"> bolnica u Federaciji BiH,  2010. i 2015. godina</w:t>
      </w:r>
    </w:p>
    <w:p w:rsidR="00D878AE" w:rsidRPr="00155F80" w:rsidRDefault="00D878AE" w:rsidP="00D878AE">
      <w:pPr>
        <w:spacing w:line="276" w:lineRule="auto"/>
        <w:jc w:val="center"/>
        <w:rPr>
          <w:rFonts w:ascii="Times New Roman" w:hAnsi="Times New Roman"/>
          <w:highlight w:val="yellow"/>
          <w:lang w:val="bs-Latn-BA"/>
        </w:rPr>
      </w:pPr>
      <w:r w:rsidRPr="00155F80">
        <w:rPr>
          <w:rFonts w:ascii="Times New Roman" w:hAnsi="Times New Roman"/>
          <w:noProof/>
          <w:lang w:val="bs-Latn-BA" w:eastAsia="bs-Latn-BA"/>
        </w:rPr>
        <w:lastRenderedPageBreak/>
        <w:drawing>
          <wp:inline distT="0" distB="0" distL="0" distR="0" wp14:anchorId="1B3032C0" wp14:editId="2317A507">
            <wp:extent cx="5747657" cy="2588820"/>
            <wp:effectExtent l="0" t="0" r="5715" b="2540"/>
            <wp:docPr id="151"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p w:rsidR="00D878AE" w:rsidRPr="00155F80" w:rsidRDefault="00D878AE" w:rsidP="00D878AE">
      <w:pPr>
        <w:pStyle w:val="Tekst0"/>
        <w:spacing w:line="276" w:lineRule="auto"/>
        <w:rPr>
          <w:sz w:val="22"/>
          <w:szCs w:val="22"/>
        </w:rPr>
      </w:pPr>
      <w:r w:rsidRPr="00155F80">
        <w:rPr>
          <w:sz w:val="22"/>
          <w:szCs w:val="22"/>
        </w:rPr>
        <w:t xml:space="preserve">Pored standardnih bolničkih postelja (8.322), FBiH je u 2015. godini imala i 57 postelja stacionara, koje su najvećim dijelom bile postelje rodilišta. </w:t>
      </w:r>
    </w:p>
    <w:p w:rsidR="00D878AE" w:rsidRPr="00155F80" w:rsidRDefault="00D878AE" w:rsidP="00D878AE">
      <w:pPr>
        <w:spacing w:line="276" w:lineRule="auto"/>
        <w:jc w:val="left"/>
        <w:rPr>
          <w:rFonts w:ascii="Times New Roman" w:hAnsi="Times New Roman"/>
          <w:lang w:val="bs-Latn-BA"/>
        </w:rPr>
      </w:pPr>
    </w:p>
    <w:p w:rsidR="00A131AD" w:rsidRPr="00155F80" w:rsidRDefault="00AD792C" w:rsidP="000C0138">
      <w:pPr>
        <w:spacing w:line="276" w:lineRule="auto"/>
        <w:jc w:val="left"/>
        <w:rPr>
          <w:rFonts w:ascii="Times New Roman" w:hAnsi="Times New Roman"/>
          <w:lang w:val="bs-Latn-BA"/>
        </w:rPr>
      </w:pPr>
      <w:bookmarkStart w:id="345" w:name="_Toc456095940"/>
      <w:r w:rsidRPr="00155F80">
        <w:rPr>
          <w:rStyle w:val="Poglavlje2Char"/>
          <w:color w:val="auto"/>
        </w:rPr>
        <w:t>5.5</w:t>
      </w:r>
      <w:r w:rsidR="00A131AD" w:rsidRPr="00155F80">
        <w:rPr>
          <w:rStyle w:val="Poglavlje2Char"/>
          <w:color w:val="auto"/>
        </w:rPr>
        <w:t xml:space="preserve"> Privatna praksa</w:t>
      </w:r>
      <w:bookmarkEnd w:id="337"/>
      <w:bookmarkEnd w:id="345"/>
      <w:r w:rsidR="00A131AD" w:rsidRPr="00155F80">
        <w:rPr>
          <w:rFonts w:ascii="Times New Roman" w:hAnsi="Times New Roman"/>
          <w:lang w:val="bs-Latn-BA"/>
        </w:rPr>
        <w:t xml:space="preserve"> </w:t>
      </w:r>
    </w:p>
    <w:p w:rsidR="00A131AD" w:rsidRPr="00155F80" w:rsidRDefault="00A131AD" w:rsidP="000C0138">
      <w:pPr>
        <w:pStyle w:val="Tekst0"/>
        <w:spacing w:line="276" w:lineRule="auto"/>
        <w:rPr>
          <w:sz w:val="22"/>
          <w:szCs w:val="22"/>
        </w:rPr>
      </w:pPr>
      <w:r w:rsidRPr="00155F80">
        <w:rPr>
          <w:sz w:val="22"/>
          <w:szCs w:val="22"/>
        </w:rPr>
        <w:t>Prema poda</w:t>
      </w:r>
      <w:r w:rsidR="00CB5BF5">
        <w:rPr>
          <w:sz w:val="22"/>
          <w:szCs w:val="22"/>
        </w:rPr>
        <w:t>t</w:t>
      </w:r>
      <w:r w:rsidRPr="00155F80">
        <w:rPr>
          <w:sz w:val="22"/>
          <w:szCs w:val="22"/>
        </w:rPr>
        <w:t xml:space="preserve">cima Zavoda zdravstvenog osiguranja i reosiguranja FBiH </w:t>
      </w:r>
      <w:r w:rsidR="00620777" w:rsidRPr="00155F80">
        <w:rPr>
          <w:sz w:val="22"/>
          <w:szCs w:val="22"/>
        </w:rPr>
        <w:t>na području Federacije je u 2015. godini registr</w:t>
      </w:r>
      <w:r w:rsidR="00CB5BF5">
        <w:rPr>
          <w:sz w:val="22"/>
          <w:szCs w:val="22"/>
        </w:rPr>
        <w:t>irano</w:t>
      </w:r>
      <w:r w:rsidR="00620777" w:rsidRPr="00155F80">
        <w:rPr>
          <w:sz w:val="22"/>
          <w:szCs w:val="22"/>
        </w:rPr>
        <w:t xml:space="preserve"> je 1.104</w:t>
      </w:r>
      <w:r w:rsidRPr="00155F80">
        <w:rPr>
          <w:sz w:val="22"/>
          <w:szCs w:val="22"/>
        </w:rPr>
        <w:t xml:space="preserve"> privatnih zdravstvenih ustanova/privatnih </w:t>
      </w:r>
      <w:r w:rsidR="00620777" w:rsidRPr="00155F80">
        <w:rPr>
          <w:sz w:val="22"/>
          <w:szCs w:val="22"/>
        </w:rPr>
        <w:t xml:space="preserve">praksi u kojima je radilo 3.429 </w:t>
      </w:r>
      <w:r w:rsidRPr="00155F80">
        <w:rPr>
          <w:sz w:val="22"/>
          <w:szCs w:val="22"/>
        </w:rPr>
        <w:t xml:space="preserve">zaposlenih. </w:t>
      </w:r>
    </w:p>
    <w:p w:rsidR="00A131AD" w:rsidRPr="00155F80" w:rsidRDefault="00A131AD" w:rsidP="000C0138">
      <w:pPr>
        <w:pStyle w:val="Tekst0"/>
        <w:spacing w:line="276" w:lineRule="auto"/>
        <w:rPr>
          <w:sz w:val="22"/>
          <w:szCs w:val="22"/>
        </w:rPr>
      </w:pPr>
      <w:r w:rsidRPr="00155F80">
        <w:rPr>
          <w:sz w:val="22"/>
          <w:szCs w:val="22"/>
        </w:rPr>
        <w:t>Kao i pre</w:t>
      </w:r>
      <w:r w:rsidR="00CB5BF5">
        <w:rPr>
          <w:sz w:val="22"/>
          <w:szCs w:val="22"/>
        </w:rPr>
        <w:t>t</w:t>
      </w:r>
      <w:r w:rsidRPr="00155F80">
        <w:rPr>
          <w:sz w:val="22"/>
          <w:szCs w:val="22"/>
        </w:rPr>
        <w:t xml:space="preserve">hodnih godina, najveći broj privatnih zdravstvenih ustanova/privatnih praksi se odnosi na ambulante/ordinacije u kojima su pružane usluge medicinske i stomatološke zaštite, zatim na </w:t>
      </w:r>
      <w:r w:rsidR="00CB5BF5">
        <w:rPr>
          <w:sz w:val="22"/>
          <w:szCs w:val="22"/>
        </w:rPr>
        <w:t>ljekarničku</w:t>
      </w:r>
      <w:r w:rsidRPr="00155F80">
        <w:rPr>
          <w:sz w:val="22"/>
          <w:szCs w:val="22"/>
        </w:rPr>
        <w:t xml:space="preserve"> djelatnost, poliklinike i laboratorije.</w:t>
      </w:r>
    </w:p>
    <w:p w:rsidR="00A131AD" w:rsidRPr="00155F80" w:rsidRDefault="00CB5BF5" w:rsidP="000C0138">
      <w:pPr>
        <w:pStyle w:val="Tekst0"/>
        <w:spacing w:line="276" w:lineRule="auto"/>
        <w:rPr>
          <w:sz w:val="22"/>
          <w:szCs w:val="22"/>
        </w:rPr>
      </w:pPr>
      <w:r>
        <w:rPr>
          <w:sz w:val="22"/>
          <w:szCs w:val="22"/>
        </w:rPr>
        <w:t>Sukladno</w:t>
      </w:r>
      <w:r w:rsidR="00A131AD" w:rsidRPr="00155F80">
        <w:rPr>
          <w:sz w:val="22"/>
          <w:szCs w:val="22"/>
        </w:rPr>
        <w:t xml:space="preserve"> Zakon</w:t>
      </w:r>
      <w:r>
        <w:rPr>
          <w:sz w:val="22"/>
          <w:szCs w:val="22"/>
        </w:rPr>
        <w:t>u</w:t>
      </w:r>
      <w:r w:rsidR="00A131AD" w:rsidRPr="00155F80">
        <w:rPr>
          <w:sz w:val="22"/>
          <w:szCs w:val="22"/>
        </w:rPr>
        <w:t xml:space="preserve"> o zdravstvenoj zaštiti i Zakon</w:t>
      </w:r>
      <w:r>
        <w:rPr>
          <w:sz w:val="22"/>
          <w:szCs w:val="22"/>
        </w:rPr>
        <w:t>u</w:t>
      </w:r>
      <w:r w:rsidR="00A131AD" w:rsidRPr="00155F80">
        <w:rPr>
          <w:sz w:val="22"/>
          <w:szCs w:val="22"/>
        </w:rPr>
        <w:t xml:space="preserve"> o obveznim evidencijama u </w:t>
      </w:r>
      <w:r>
        <w:rPr>
          <w:sz w:val="22"/>
          <w:szCs w:val="22"/>
        </w:rPr>
        <w:t>području</w:t>
      </w:r>
      <w:r w:rsidR="00A131AD" w:rsidRPr="00155F80">
        <w:rPr>
          <w:sz w:val="22"/>
          <w:szCs w:val="22"/>
        </w:rPr>
        <w:t xml:space="preserve"> zdravstva, privatne zdravstvene ustanove/privatne prakse imaju obvezu redov</w:t>
      </w:r>
      <w:r>
        <w:rPr>
          <w:sz w:val="22"/>
          <w:szCs w:val="22"/>
        </w:rPr>
        <w:t>ito</w:t>
      </w:r>
      <w:r w:rsidR="00A131AD" w:rsidRPr="00155F80">
        <w:rPr>
          <w:sz w:val="22"/>
          <w:szCs w:val="22"/>
        </w:rPr>
        <w:t>g izvješ</w:t>
      </w:r>
      <w:r>
        <w:rPr>
          <w:sz w:val="22"/>
          <w:szCs w:val="22"/>
        </w:rPr>
        <w:t>ćivanja</w:t>
      </w:r>
      <w:r w:rsidR="00A131AD" w:rsidRPr="00155F80">
        <w:rPr>
          <w:sz w:val="22"/>
          <w:szCs w:val="22"/>
        </w:rPr>
        <w:t xml:space="preserve"> o svom radu. Međutim, privatne zdravstvene ustanove većinom ne dostavljaju podatke o svom radu, ili dostavljaju samo djel</w:t>
      </w:r>
      <w:r>
        <w:rPr>
          <w:sz w:val="22"/>
          <w:szCs w:val="22"/>
        </w:rPr>
        <w:t>o</w:t>
      </w:r>
      <w:r w:rsidR="00A131AD" w:rsidRPr="00155F80">
        <w:rPr>
          <w:sz w:val="22"/>
          <w:szCs w:val="22"/>
        </w:rPr>
        <w:t>mične podatke, što otežava potpuni uvid u zdravstveno stanje stanovništva i organizaciju zdravstvene zaštite. Ovo dobiva na značaju kada se ima u vidu znača</w:t>
      </w:r>
      <w:r>
        <w:rPr>
          <w:sz w:val="22"/>
          <w:szCs w:val="22"/>
        </w:rPr>
        <w:t>ja</w:t>
      </w:r>
      <w:r w:rsidR="00A131AD" w:rsidRPr="00155F80">
        <w:rPr>
          <w:sz w:val="22"/>
          <w:szCs w:val="22"/>
        </w:rPr>
        <w:t>n broj registriranih privatnih zdravstvenih ustanova/privatnih praksi u kojima se pružaju usluge primarne i specijalističko-konzultativne zaštite, a jedina bolnička ustanova u privatnom vlasništvu je „Centar za srce BH Tuzla“.</w:t>
      </w:r>
    </w:p>
    <w:p w:rsidR="00A131AD" w:rsidRDefault="00A131AD" w:rsidP="002C323A">
      <w:pPr>
        <w:pStyle w:val="Tekst0"/>
        <w:spacing w:line="276" w:lineRule="auto"/>
        <w:rPr>
          <w:sz w:val="22"/>
          <w:szCs w:val="22"/>
        </w:rPr>
      </w:pPr>
      <w:r w:rsidRPr="00155F80">
        <w:rPr>
          <w:sz w:val="22"/>
          <w:szCs w:val="22"/>
        </w:rPr>
        <w:t>S ciljem prevazilaženja navedenih problema, nadležni organi u općinama i kantonima trebaju poduzeti adekvatne mjere kako bi privatne zdravstvene ustanove izvršavale zakonsku obvezu redov</w:t>
      </w:r>
      <w:r w:rsidR="00CB5BF5">
        <w:rPr>
          <w:sz w:val="22"/>
          <w:szCs w:val="22"/>
        </w:rPr>
        <w:t>ito</w:t>
      </w:r>
      <w:r w:rsidRPr="00155F80">
        <w:rPr>
          <w:sz w:val="22"/>
          <w:szCs w:val="22"/>
        </w:rPr>
        <w:t>g izvješ</w:t>
      </w:r>
      <w:r w:rsidR="00CB5BF5">
        <w:rPr>
          <w:sz w:val="22"/>
          <w:szCs w:val="22"/>
        </w:rPr>
        <w:t>ćivanja</w:t>
      </w:r>
      <w:r w:rsidRPr="00155F80">
        <w:rPr>
          <w:sz w:val="22"/>
          <w:szCs w:val="22"/>
        </w:rPr>
        <w:t>.</w:t>
      </w:r>
      <w:r w:rsidR="002C323A">
        <w:rPr>
          <w:sz w:val="22"/>
          <w:szCs w:val="22"/>
        </w:rPr>
        <w:t xml:space="preserve"> </w:t>
      </w:r>
    </w:p>
    <w:p w:rsidR="002C323A" w:rsidRDefault="002C323A" w:rsidP="002C323A">
      <w:pPr>
        <w:pStyle w:val="Tekst0"/>
        <w:spacing w:line="276" w:lineRule="auto"/>
        <w:rPr>
          <w:sz w:val="22"/>
          <w:szCs w:val="22"/>
        </w:rPr>
      </w:pPr>
    </w:p>
    <w:p w:rsidR="002C323A" w:rsidRDefault="002C323A" w:rsidP="002C323A">
      <w:pPr>
        <w:pStyle w:val="Tekst0"/>
        <w:spacing w:line="276" w:lineRule="auto"/>
        <w:rPr>
          <w:sz w:val="22"/>
          <w:szCs w:val="22"/>
        </w:rPr>
      </w:pPr>
    </w:p>
    <w:p w:rsidR="002C323A" w:rsidRDefault="002C323A" w:rsidP="002C323A">
      <w:pPr>
        <w:pStyle w:val="Tekst0"/>
        <w:spacing w:line="276" w:lineRule="auto"/>
        <w:rPr>
          <w:sz w:val="22"/>
          <w:szCs w:val="22"/>
        </w:rPr>
      </w:pPr>
    </w:p>
    <w:p w:rsidR="00175786" w:rsidRDefault="00175786">
      <w:pPr>
        <w:spacing w:after="160" w:line="259" w:lineRule="auto"/>
        <w:jc w:val="left"/>
        <w:rPr>
          <w:rFonts w:ascii="Times New Roman" w:hAnsi="Times New Roman"/>
          <w:noProof/>
          <w:lang w:val="sl-SI"/>
        </w:rPr>
      </w:pPr>
    </w:p>
    <w:p w:rsidR="002C323A" w:rsidRDefault="002C323A" w:rsidP="00175786">
      <w:pPr>
        <w:pStyle w:val="Tekst0"/>
        <w:spacing w:line="276" w:lineRule="auto"/>
        <w:jc w:val="center"/>
        <w:rPr>
          <w:sz w:val="22"/>
          <w:szCs w:val="22"/>
        </w:rPr>
      </w:pPr>
    </w:p>
    <w:p w:rsidR="002C323A" w:rsidRDefault="002C323A" w:rsidP="002C323A">
      <w:pPr>
        <w:pStyle w:val="Tekst0"/>
        <w:spacing w:line="276" w:lineRule="auto"/>
        <w:rPr>
          <w:sz w:val="22"/>
          <w:szCs w:val="22"/>
        </w:rPr>
      </w:pPr>
    </w:p>
    <w:p w:rsidR="00175786" w:rsidRDefault="00175786" w:rsidP="002C323A">
      <w:pPr>
        <w:pStyle w:val="Tekst0"/>
        <w:spacing w:line="276" w:lineRule="auto"/>
        <w:rPr>
          <w:sz w:val="22"/>
          <w:szCs w:val="22"/>
        </w:rPr>
      </w:pPr>
    </w:p>
    <w:p w:rsidR="00175786" w:rsidRDefault="00175786" w:rsidP="002C323A">
      <w:pPr>
        <w:pStyle w:val="Tekst0"/>
        <w:spacing w:line="276" w:lineRule="auto"/>
        <w:rPr>
          <w:sz w:val="22"/>
          <w:szCs w:val="22"/>
        </w:rPr>
      </w:pPr>
    </w:p>
    <w:p w:rsidR="00175786" w:rsidRDefault="00175786" w:rsidP="002C323A">
      <w:pPr>
        <w:pStyle w:val="Tekst0"/>
        <w:spacing w:line="276" w:lineRule="auto"/>
        <w:rPr>
          <w:sz w:val="22"/>
          <w:szCs w:val="22"/>
        </w:rPr>
      </w:pPr>
    </w:p>
    <w:p w:rsidR="00175786" w:rsidRDefault="00175786" w:rsidP="002C323A">
      <w:pPr>
        <w:pStyle w:val="Tekst0"/>
        <w:spacing w:line="276" w:lineRule="auto"/>
        <w:rPr>
          <w:sz w:val="22"/>
          <w:szCs w:val="22"/>
        </w:rPr>
      </w:pPr>
    </w:p>
    <w:p w:rsidR="00175786" w:rsidRDefault="00175786" w:rsidP="002C323A">
      <w:pPr>
        <w:pStyle w:val="Tekst0"/>
        <w:spacing w:line="276" w:lineRule="auto"/>
        <w:rPr>
          <w:sz w:val="22"/>
          <w:szCs w:val="22"/>
        </w:rPr>
      </w:pPr>
    </w:p>
    <w:p w:rsidR="00175786" w:rsidRDefault="00175786" w:rsidP="002C323A">
      <w:pPr>
        <w:pStyle w:val="Tekst0"/>
        <w:spacing w:line="276" w:lineRule="auto"/>
        <w:rPr>
          <w:sz w:val="22"/>
          <w:szCs w:val="22"/>
        </w:rPr>
      </w:pPr>
    </w:p>
    <w:p w:rsidR="00175786" w:rsidRDefault="00175786" w:rsidP="002C323A">
      <w:pPr>
        <w:pStyle w:val="Tekst0"/>
        <w:spacing w:line="276" w:lineRule="auto"/>
        <w:rPr>
          <w:sz w:val="22"/>
          <w:szCs w:val="22"/>
        </w:rPr>
      </w:pPr>
    </w:p>
    <w:p w:rsidR="00175786" w:rsidRDefault="00175786" w:rsidP="002C323A">
      <w:pPr>
        <w:pStyle w:val="Tekst0"/>
        <w:spacing w:line="276" w:lineRule="auto"/>
        <w:rPr>
          <w:sz w:val="22"/>
          <w:szCs w:val="22"/>
        </w:rPr>
      </w:pPr>
    </w:p>
    <w:p w:rsidR="00175786" w:rsidRDefault="00175786" w:rsidP="002C323A">
      <w:pPr>
        <w:pStyle w:val="Tekst0"/>
        <w:spacing w:line="276" w:lineRule="auto"/>
        <w:rPr>
          <w:sz w:val="22"/>
          <w:szCs w:val="22"/>
        </w:rPr>
      </w:pPr>
    </w:p>
    <w:p w:rsidR="00CF03C8" w:rsidRPr="00A2552D" w:rsidRDefault="00A131AD" w:rsidP="00CF03C8">
      <w:pPr>
        <w:pStyle w:val="Poglavlje1"/>
        <w:rPr>
          <w:szCs w:val="22"/>
        </w:rPr>
      </w:pPr>
      <w:bookmarkStart w:id="346" w:name="_Toc240704435"/>
      <w:bookmarkStart w:id="347" w:name="_Toc456095941"/>
      <w:r w:rsidRPr="00155F80">
        <w:t>PREGLED ODABRANIH POKAZATELJA PO KANTONIMA</w:t>
      </w:r>
      <w:bookmarkEnd w:id="346"/>
      <w:bookmarkEnd w:id="347"/>
    </w:p>
    <w:p w:rsidR="00F83CAD" w:rsidRDefault="00F83CAD">
      <w:pPr>
        <w:spacing w:after="160" w:line="259" w:lineRule="auto"/>
        <w:jc w:val="left"/>
        <w:rPr>
          <w:rFonts w:ascii="Times New Roman" w:hAnsi="Times New Roman"/>
          <w:b/>
          <w:lang w:val="bs-Latn-BA"/>
        </w:rPr>
      </w:pPr>
      <w:r>
        <w:br w:type="page"/>
      </w:r>
    </w:p>
    <w:p w:rsidR="00A131AD" w:rsidRPr="00EA6011" w:rsidRDefault="00A131AD" w:rsidP="00EA6011">
      <w:pPr>
        <w:jc w:val="center"/>
        <w:rPr>
          <w:rFonts w:ascii="Times New Roman" w:hAnsi="Times New Roman"/>
          <w:b/>
        </w:rPr>
      </w:pPr>
      <w:bookmarkStart w:id="348" w:name="_Toc454797152"/>
      <w:bookmarkStart w:id="349" w:name="_Toc454797871"/>
      <w:bookmarkStart w:id="350" w:name="_Toc454799768"/>
      <w:bookmarkStart w:id="351" w:name="_Toc454803669"/>
      <w:r w:rsidRPr="00EA6011">
        <w:rPr>
          <w:rFonts w:ascii="Times New Roman" w:hAnsi="Times New Roman"/>
          <w:b/>
        </w:rPr>
        <w:lastRenderedPageBreak/>
        <w:t>Unsko-sanski kanton</w:t>
      </w:r>
      <w:bookmarkEnd w:id="348"/>
      <w:bookmarkEnd w:id="349"/>
      <w:bookmarkEnd w:id="350"/>
      <w:bookmarkEnd w:id="351"/>
    </w:p>
    <w:p w:rsidR="00A131AD" w:rsidRPr="00081B73" w:rsidRDefault="00A131AD" w:rsidP="000C0138">
      <w:pPr>
        <w:spacing w:line="276" w:lineRule="auto"/>
        <w:ind w:left="3600"/>
        <w:rPr>
          <w:rFonts w:ascii="Times New Roman" w:hAnsi="Times New Roman"/>
          <w:sz w:val="20"/>
          <w:szCs w:val="20"/>
          <w:lang w:val="bs-Latn-BA"/>
        </w:rPr>
      </w:pPr>
      <w:r w:rsidRPr="00081B73">
        <w:rPr>
          <w:rFonts w:ascii="Times New Roman" w:hAnsi="Times New Roman"/>
          <w:sz w:val="20"/>
          <w:szCs w:val="20"/>
          <w:lang w:val="bs-Latn-BA"/>
        </w:rPr>
        <w:t>Tabl</w:t>
      </w:r>
      <w:r w:rsidR="00FE3B0D">
        <w:rPr>
          <w:rFonts w:ascii="Times New Roman" w:hAnsi="Times New Roman"/>
          <w:sz w:val="20"/>
          <w:szCs w:val="20"/>
          <w:lang w:val="bs-Latn-BA"/>
        </w:rPr>
        <w:t>ic</w:t>
      </w:r>
      <w:r w:rsidRPr="00081B73">
        <w:rPr>
          <w:rFonts w:ascii="Times New Roman" w:hAnsi="Times New Roman"/>
          <w:sz w:val="20"/>
          <w:szCs w:val="20"/>
          <w:lang w:val="bs-Latn-BA"/>
        </w:rPr>
        <w:t>a 1: Stanovništvo po općinama*</w:t>
      </w:r>
    </w:p>
    <w:tbl>
      <w:tblPr>
        <w:tblpPr w:leftFromText="180" w:rightFromText="180" w:vertAnchor="text" w:horzAnchor="margin" w:tblpXSpec="right" w:tblpY="30"/>
        <w:tblW w:w="5004" w:type="dxa"/>
        <w:tblCellSpacing w:w="15" w:type="dxa"/>
        <w:tblCellMar>
          <w:top w:w="15" w:type="dxa"/>
          <w:left w:w="15" w:type="dxa"/>
          <w:bottom w:w="15" w:type="dxa"/>
          <w:right w:w="15" w:type="dxa"/>
        </w:tblCellMar>
        <w:tblLook w:val="0000" w:firstRow="0" w:lastRow="0" w:firstColumn="0" w:lastColumn="0" w:noHBand="0" w:noVBand="0"/>
      </w:tblPr>
      <w:tblGrid>
        <w:gridCol w:w="2491"/>
        <w:gridCol w:w="1122"/>
        <w:gridCol w:w="1391"/>
      </w:tblGrid>
      <w:tr w:rsidR="00CF03C8" w:rsidRPr="00081B73" w:rsidTr="00CF03C8">
        <w:trPr>
          <w:trHeight w:val="510"/>
          <w:tblCellSpacing w:w="15" w:type="dxa"/>
        </w:trPr>
        <w:tc>
          <w:tcPr>
            <w:tcW w:w="2446" w:type="dxa"/>
            <w:tcBorders>
              <w:right w:val="single" w:sz="4" w:space="0" w:color="000000"/>
            </w:tcBorders>
            <w:shd w:val="clear" w:color="auto" w:fill="C0C0C0"/>
            <w:vAlign w:val="center"/>
          </w:tcPr>
          <w:p w:rsidR="00CF03C8" w:rsidRPr="00081B73" w:rsidRDefault="00CF03C8" w:rsidP="00CF03C8">
            <w:pPr>
              <w:spacing w:line="276" w:lineRule="auto"/>
              <w:rPr>
                <w:rFonts w:ascii="Times New Roman" w:hAnsi="Times New Roman"/>
                <w:b/>
                <w:sz w:val="20"/>
                <w:szCs w:val="20"/>
                <w:lang w:val="bs-Latn-BA"/>
              </w:rPr>
            </w:pPr>
            <w:r w:rsidRPr="00081B73">
              <w:rPr>
                <w:rFonts w:ascii="Times New Roman" w:hAnsi="Times New Roman"/>
                <w:b/>
                <w:color w:val="800000"/>
                <w:sz w:val="20"/>
                <w:szCs w:val="20"/>
                <w:lang w:val="bs-Latn-BA"/>
              </w:rPr>
              <w:t>Općina</w:t>
            </w:r>
          </w:p>
        </w:tc>
        <w:tc>
          <w:tcPr>
            <w:tcW w:w="1092" w:type="dxa"/>
            <w:tcBorders>
              <w:left w:val="nil"/>
            </w:tcBorders>
            <w:shd w:val="clear" w:color="auto" w:fill="C0C0C0"/>
            <w:vAlign w:val="center"/>
          </w:tcPr>
          <w:p w:rsidR="00CF03C8" w:rsidRPr="00081B73" w:rsidRDefault="00CF03C8" w:rsidP="00CF03C8">
            <w:pPr>
              <w:spacing w:line="276" w:lineRule="auto"/>
              <w:rPr>
                <w:rFonts w:ascii="Times New Roman" w:hAnsi="Times New Roman"/>
                <w:sz w:val="20"/>
                <w:szCs w:val="20"/>
                <w:lang w:val="bs-Latn-BA"/>
              </w:rPr>
            </w:pPr>
            <w:r w:rsidRPr="00081B73">
              <w:rPr>
                <w:rFonts w:ascii="Times New Roman" w:hAnsi="Times New Roman"/>
                <w:color w:val="800000"/>
                <w:sz w:val="20"/>
                <w:szCs w:val="20"/>
                <w:lang w:val="bs-Latn-BA"/>
              </w:rPr>
              <w:t>Površina, km</w:t>
            </w:r>
            <w:r w:rsidRPr="00081B73">
              <w:rPr>
                <w:rFonts w:ascii="Times New Roman" w:hAnsi="Times New Roman"/>
                <w:color w:val="800000"/>
                <w:sz w:val="20"/>
                <w:szCs w:val="20"/>
                <w:vertAlign w:val="superscript"/>
                <w:lang w:val="bs-Latn-BA"/>
              </w:rPr>
              <w:t>2</w:t>
            </w:r>
          </w:p>
        </w:tc>
        <w:tc>
          <w:tcPr>
            <w:tcW w:w="1346" w:type="dxa"/>
            <w:tcBorders>
              <w:left w:val="nil"/>
            </w:tcBorders>
            <w:shd w:val="clear" w:color="auto" w:fill="C0C0C0"/>
            <w:vAlign w:val="center"/>
          </w:tcPr>
          <w:p w:rsidR="00CF03C8" w:rsidRPr="00081B73" w:rsidRDefault="00CF03C8" w:rsidP="00CF03C8">
            <w:pPr>
              <w:pStyle w:val="NormalWeb"/>
              <w:spacing w:line="276" w:lineRule="auto"/>
              <w:jc w:val="center"/>
              <w:rPr>
                <w:sz w:val="20"/>
                <w:szCs w:val="20"/>
                <w:lang w:val="bs-Latn-BA"/>
              </w:rPr>
            </w:pPr>
            <w:r w:rsidRPr="00081B73">
              <w:rPr>
                <w:color w:val="800000"/>
                <w:sz w:val="20"/>
                <w:szCs w:val="20"/>
                <w:lang w:val="bs-Latn-BA"/>
              </w:rPr>
              <w:t>Procjena broja stanovnika</w:t>
            </w:r>
          </w:p>
        </w:tc>
      </w:tr>
      <w:tr w:rsidR="00CF03C8" w:rsidRPr="00081B73" w:rsidTr="00CF03C8">
        <w:trPr>
          <w:trHeight w:val="222"/>
          <w:tblCellSpacing w:w="15" w:type="dxa"/>
        </w:trPr>
        <w:tc>
          <w:tcPr>
            <w:tcW w:w="2446" w:type="dxa"/>
            <w:shd w:val="clear" w:color="auto" w:fill="FFFFCC"/>
            <w:vAlign w:val="center"/>
          </w:tcPr>
          <w:p w:rsidR="00CF03C8" w:rsidRPr="00081B73" w:rsidRDefault="00CF03C8" w:rsidP="00CF03C8">
            <w:pPr>
              <w:spacing w:line="276" w:lineRule="auto"/>
              <w:rPr>
                <w:rFonts w:ascii="Times New Roman" w:hAnsi="Times New Roman"/>
                <w:sz w:val="20"/>
                <w:szCs w:val="20"/>
                <w:lang w:val="bs-Latn-BA"/>
              </w:rPr>
            </w:pPr>
            <w:r w:rsidRPr="00081B73">
              <w:rPr>
                <w:rFonts w:ascii="Times New Roman" w:hAnsi="Times New Roman"/>
                <w:sz w:val="20"/>
                <w:szCs w:val="20"/>
                <w:lang w:val="bs-Latn-BA"/>
              </w:rPr>
              <w:t>Bihać</w:t>
            </w:r>
          </w:p>
        </w:tc>
        <w:tc>
          <w:tcPr>
            <w:tcW w:w="1092" w:type="dxa"/>
            <w:shd w:val="clear" w:color="auto" w:fill="FFFFCC"/>
            <w:vAlign w:val="center"/>
          </w:tcPr>
          <w:p w:rsidR="00CF03C8" w:rsidRPr="00081B73" w:rsidRDefault="00CF03C8" w:rsidP="00CF03C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900,0</w:t>
            </w:r>
          </w:p>
        </w:tc>
        <w:tc>
          <w:tcPr>
            <w:tcW w:w="1346" w:type="dxa"/>
            <w:shd w:val="clear" w:color="auto" w:fill="FFFFCC"/>
            <w:vAlign w:val="center"/>
          </w:tcPr>
          <w:p w:rsidR="00CF03C8" w:rsidRPr="00081B73" w:rsidRDefault="00CF03C8" w:rsidP="00CF03C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61.724</w:t>
            </w:r>
          </w:p>
        </w:tc>
      </w:tr>
      <w:tr w:rsidR="00CF03C8" w:rsidRPr="00081B73" w:rsidTr="00CF03C8">
        <w:trPr>
          <w:trHeight w:val="222"/>
          <w:tblCellSpacing w:w="15" w:type="dxa"/>
        </w:trPr>
        <w:tc>
          <w:tcPr>
            <w:tcW w:w="2446" w:type="dxa"/>
            <w:tcBorders>
              <w:right w:val="single" w:sz="4" w:space="0" w:color="auto"/>
            </w:tcBorders>
            <w:vAlign w:val="center"/>
          </w:tcPr>
          <w:p w:rsidR="00CF03C8" w:rsidRPr="00081B73" w:rsidRDefault="00CF03C8" w:rsidP="00CF03C8">
            <w:pPr>
              <w:spacing w:line="276" w:lineRule="auto"/>
              <w:rPr>
                <w:rFonts w:ascii="Times New Roman" w:hAnsi="Times New Roman"/>
                <w:sz w:val="20"/>
                <w:szCs w:val="20"/>
                <w:lang w:val="bs-Latn-BA"/>
              </w:rPr>
            </w:pPr>
            <w:r w:rsidRPr="00081B73">
              <w:rPr>
                <w:rFonts w:ascii="Times New Roman" w:hAnsi="Times New Roman"/>
                <w:sz w:val="20"/>
                <w:szCs w:val="20"/>
                <w:lang w:val="bs-Latn-BA"/>
              </w:rPr>
              <w:t>Bosanska Krupa</w:t>
            </w:r>
          </w:p>
        </w:tc>
        <w:tc>
          <w:tcPr>
            <w:tcW w:w="1092" w:type="dxa"/>
            <w:vAlign w:val="center"/>
          </w:tcPr>
          <w:p w:rsidR="00CF03C8" w:rsidRPr="00081B73" w:rsidRDefault="00CF03C8" w:rsidP="00CF03C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561,0</w:t>
            </w:r>
          </w:p>
        </w:tc>
        <w:tc>
          <w:tcPr>
            <w:tcW w:w="1346" w:type="dxa"/>
            <w:vAlign w:val="center"/>
          </w:tcPr>
          <w:p w:rsidR="00CF03C8" w:rsidRPr="00081B73" w:rsidRDefault="00CF03C8" w:rsidP="00CF03C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27.972</w:t>
            </w:r>
          </w:p>
        </w:tc>
      </w:tr>
      <w:tr w:rsidR="00CF03C8" w:rsidRPr="00081B73" w:rsidTr="00CF03C8">
        <w:trPr>
          <w:trHeight w:val="222"/>
          <w:tblCellSpacing w:w="15" w:type="dxa"/>
        </w:trPr>
        <w:tc>
          <w:tcPr>
            <w:tcW w:w="2446" w:type="dxa"/>
            <w:tcBorders>
              <w:right w:val="single" w:sz="4" w:space="0" w:color="auto"/>
            </w:tcBorders>
            <w:shd w:val="clear" w:color="auto" w:fill="FFFFCC"/>
            <w:vAlign w:val="center"/>
          </w:tcPr>
          <w:p w:rsidR="00CF03C8" w:rsidRPr="00081B73" w:rsidRDefault="00CF03C8" w:rsidP="00CF03C8">
            <w:pPr>
              <w:spacing w:line="276" w:lineRule="auto"/>
              <w:rPr>
                <w:rFonts w:ascii="Times New Roman" w:hAnsi="Times New Roman"/>
                <w:sz w:val="20"/>
                <w:szCs w:val="20"/>
                <w:lang w:val="bs-Latn-BA"/>
              </w:rPr>
            </w:pPr>
            <w:r w:rsidRPr="00081B73">
              <w:rPr>
                <w:rFonts w:ascii="Times New Roman" w:hAnsi="Times New Roman"/>
                <w:sz w:val="20"/>
                <w:szCs w:val="20"/>
                <w:lang w:val="bs-Latn-BA"/>
              </w:rPr>
              <w:t>Bosanski Petrovac</w:t>
            </w:r>
          </w:p>
        </w:tc>
        <w:tc>
          <w:tcPr>
            <w:tcW w:w="1092" w:type="dxa"/>
            <w:shd w:val="clear" w:color="auto" w:fill="FFFFCC"/>
            <w:vAlign w:val="center"/>
          </w:tcPr>
          <w:p w:rsidR="00CF03C8" w:rsidRPr="00081B73" w:rsidRDefault="00CF03C8" w:rsidP="00CF03C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709,0</w:t>
            </w:r>
          </w:p>
        </w:tc>
        <w:tc>
          <w:tcPr>
            <w:tcW w:w="1346" w:type="dxa"/>
            <w:shd w:val="clear" w:color="auto" w:fill="FFFFCC"/>
            <w:vAlign w:val="center"/>
          </w:tcPr>
          <w:p w:rsidR="00CF03C8" w:rsidRPr="00081B73" w:rsidRDefault="00CF03C8" w:rsidP="00CF03C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6.731</w:t>
            </w:r>
          </w:p>
        </w:tc>
      </w:tr>
      <w:tr w:rsidR="00CF03C8" w:rsidRPr="00081B73" w:rsidTr="00CF03C8">
        <w:trPr>
          <w:trHeight w:val="222"/>
          <w:tblCellSpacing w:w="15" w:type="dxa"/>
        </w:trPr>
        <w:tc>
          <w:tcPr>
            <w:tcW w:w="2446" w:type="dxa"/>
            <w:vAlign w:val="center"/>
          </w:tcPr>
          <w:p w:rsidR="00CF03C8" w:rsidRPr="00081B73" w:rsidRDefault="00CF03C8" w:rsidP="00CF03C8">
            <w:pPr>
              <w:spacing w:line="276" w:lineRule="auto"/>
              <w:rPr>
                <w:rFonts w:ascii="Times New Roman" w:hAnsi="Times New Roman"/>
                <w:sz w:val="20"/>
                <w:szCs w:val="20"/>
                <w:lang w:val="bs-Latn-BA"/>
              </w:rPr>
            </w:pPr>
            <w:r w:rsidRPr="00081B73">
              <w:rPr>
                <w:rFonts w:ascii="Times New Roman" w:hAnsi="Times New Roman"/>
                <w:sz w:val="20"/>
                <w:szCs w:val="20"/>
                <w:lang w:val="bs-Latn-BA"/>
              </w:rPr>
              <w:t>Bužim</w:t>
            </w:r>
          </w:p>
        </w:tc>
        <w:tc>
          <w:tcPr>
            <w:tcW w:w="1092" w:type="dxa"/>
            <w:vAlign w:val="center"/>
          </w:tcPr>
          <w:p w:rsidR="00CF03C8" w:rsidRPr="00081B73" w:rsidRDefault="00CF03C8" w:rsidP="00CF03C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129,0</w:t>
            </w:r>
          </w:p>
        </w:tc>
        <w:tc>
          <w:tcPr>
            <w:tcW w:w="1346" w:type="dxa"/>
            <w:vAlign w:val="center"/>
          </w:tcPr>
          <w:p w:rsidR="00CF03C8" w:rsidRPr="00081B73" w:rsidRDefault="00CF03C8" w:rsidP="00CF03C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18.081</w:t>
            </w:r>
          </w:p>
        </w:tc>
      </w:tr>
      <w:tr w:rsidR="00CF03C8" w:rsidRPr="00081B73" w:rsidTr="00CF03C8">
        <w:trPr>
          <w:trHeight w:val="222"/>
          <w:tblCellSpacing w:w="15" w:type="dxa"/>
        </w:trPr>
        <w:tc>
          <w:tcPr>
            <w:tcW w:w="2446" w:type="dxa"/>
            <w:shd w:val="clear" w:color="auto" w:fill="FFFFCC"/>
            <w:vAlign w:val="center"/>
          </w:tcPr>
          <w:p w:rsidR="00CF03C8" w:rsidRPr="00081B73" w:rsidRDefault="00CF03C8" w:rsidP="00CF03C8">
            <w:pPr>
              <w:spacing w:line="276" w:lineRule="auto"/>
              <w:rPr>
                <w:rFonts w:ascii="Times New Roman" w:hAnsi="Times New Roman"/>
                <w:sz w:val="20"/>
                <w:szCs w:val="20"/>
                <w:lang w:val="bs-Latn-BA"/>
              </w:rPr>
            </w:pPr>
            <w:r w:rsidRPr="00081B73">
              <w:rPr>
                <w:rFonts w:ascii="Times New Roman" w:hAnsi="Times New Roman"/>
                <w:sz w:val="20"/>
                <w:szCs w:val="20"/>
                <w:lang w:val="bs-Latn-BA"/>
              </w:rPr>
              <w:t>Cazin</w:t>
            </w:r>
          </w:p>
        </w:tc>
        <w:tc>
          <w:tcPr>
            <w:tcW w:w="1092" w:type="dxa"/>
            <w:shd w:val="clear" w:color="auto" w:fill="FFFFCC"/>
            <w:vAlign w:val="center"/>
          </w:tcPr>
          <w:p w:rsidR="00CF03C8" w:rsidRPr="00081B73" w:rsidRDefault="00CF03C8" w:rsidP="00CF03C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356,0</w:t>
            </w:r>
          </w:p>
        </w:tc>
        <w:tc>
          <w:tcPr>
            <w:tcW w:w="1346" w:type="dxa"/>
            <w:shd w:val="clear" w:color="auto" w:fill="FFFFCC"/>
            <w:vAlign w:val="center"/>
          </w:tcPr>
          <w:p w:rsidR="00CF03C8" w:rsidRPr="00081B73" w:rsidRDefault="00CF03C8" w:rsidP="00CF03C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63.028</w:t>
            </w:r>
          </w:p>
        </w:tc>
      </w:tr>
      <w:tr w:rsidR="00CF03C8" w:rsidRPr="00081B73" w:rsidTr="00CF03C8">
        <w:trPr>
          <w:trHeight w:val="222"/>
          <w:tblCellSpacing w:w="15" w:type="dxa"/>
        </w:trPr>
        <w:tc>
          <w:tcPr>
            <w:tcW w:w="2446" w:type="dxa"/>
            <w:vAlign w:val="center"/>
          </w:tcPr>
          <w:p w:rsidR="00CF03C8" w:rsidRPr="00081B73" w:rsidRDefault="00CF03C8" w:rsidP="00CF03C8">
            <w:pPr>
              <w:spacing w:line="276" w:lineRule="auto"/>
              <w:rPr>
                <w:rFonts w:ascii="Times New Roman" w:hAnsi="Times New Roman"/>
                <w:sz w:val="20"/>
                <w:szCs w:val="20"/>
                <w:lang w:val="bs-Latn-BA"/>
              </w:rPr>
            </w:pPr>
            <w:r w:rsidRPr="00081B73">
              <w:rPr>
                <w:rFonts w:ascii="Times New Roman" w:hAnsi="Times New Roman"/>
                <w:sz w:val="20"/>
                <w:szCs w:val="20"/>
                <w:lang w:val="bs-Latn-BA"/>
              </w:rPr>
              <w:t>Ključ</w:t>
            </w:r>
          </w:p>
        </w:tc>
        <w:tc>
          <w:tcPr>
            <w:tcW w:w="1092" w:type="dxa"/>
            <w:vAlign w:val="center"/>
          </w:tcPr>
          <w:p w:rsidR="00CF03C8" w:rsidRPr="00081B73" w:rsidRDefault="00CF03C8" w:rsidP="00CF03C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358,0</w:t>
            </w:r>
          </w:p>
        </w:tc>
        <w:tc>
          <w:tcPr>
            <w:tcW w:w="1346" w:type="dxa"/>
            <w:vAlign w:val="center"/>
          </w:tcPr>
          <w:p w:rsidR="00CF03C8" w:rsidRPr="00081B73" w:rsidRDefault="00CF03C8" w:rsidP="00CF03C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18.870</w:t>
            </w:r>
          </w:p>
        </w:tc>
      </w:tr>
      <w:tr w:rsidR="00CF03C8" w:rsidRPr="00081B73" w:rsidTr="00CF03C8">
        <w:trPr>
          <w:trHeight w:val="222"/>
          <w:tblCellSpacing w:w="15" w:type="dxa"/>
        </w:trPr>
        <w:tc>
          <w:tcPr>
            <w:tcW w:w="2446" w:type="dxa"/>
            <w:tcBorders>
              <w:right w:val="single" w:sz="4" w:space="0" w:color="auto"/>
            </w:tcBorders>
            <w:shd w:val="clear" w:color="auto" w:fill="FFFFCC"/>
            <w:vAlign w:val="center"/>
          </w:tcPr>
          <w:p w:rsidR="00CF03C8" w:rsidRPr="00081B73" w:rsidRDefault="00CF03C8" w:rsidP="00CF03C8">
            <w:pPr>
              <w:spacing w:line="276" w:lineRule="auto"/>
              <w:rPr>
                <w:rFonts w:ascii="Times New Roman" w:hAnsi="Times New Roman"/>
                <w:sz w:val="20"/>
                <w:szCs w:val="20"/>
                <w:lang w:val="bs-Latn-BA"/>
              </w:rPr>
            </w:pPr>
            <w:r w:rsidRPr="00081B73">
              <w:rPr>
                <w:rFonts w:ascii="Times New Roman" w:hAnsi="Times New Roman"/>
                <w:sz w:val="20"/>
                <w:szCs w:val="20"/>
                <w:lang w:val="bs-Latn-BA"/>
              </w:rPr>
              <w:t>Sanski Most</w:t>
            </w:r>
          </w:p>
        </w:tc>
        <w:tc>
          <w:tcPr>
            <w:tcW w:w="1092" w:type="dxa"/>
            <w:shd w:val="clear" w:color="auto" w:fill="FFFFCC"/>
            <w:vAlign w:val="center"/>
          </w:tcPr>
          <w:p w:rsidR="00CF03C8" w:rsidRPr="00081B73" w:rsidRDefault="00CF03C8" w:rsidP="00CF03C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781,0</w:t>
            </w:r>
          </w:p>
        </w:tc>
        <w:tc>
          <w:tcPr>
            <w:tcW w:w="1346" w:type="dxa"/>
            <w:shd w:val="clear" w:color="auto" w:fill="FFFFCC"/>
            <w:vAlign w:val="center"/>
          </w:tcPr>
          <w:p w:rsidR="00CF03C8" w:rsidRPr="00081B73" w:rsidRDefault="00CF03C8" w:rsidP="00CF03C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43.270</w:t>
            </w:r>
          </w:p>
        </w:tc>
      </w:tr>
      <w:tr w:rsidR="00CF03C8" w:rsidRPr="00081B73" w:rsidTr="00CF03C8">
        <w:trPr>
          <w:trHeight w:val="222"/>
          <w:tblCellSpacing w:w="15" w:type="dxa"/>
        </w:trPr>
        <w:tc>
          <w:tcPr>
            <w:tcW w:w="2446" w:type="dxa"/>
            <w:tcBorders>
              <w:right w:val="single" w:sz="4" w:space="0" w:color="auto"/>
            </w:tcBorders>
            <w:vAlign w:val="center"/>
          </w:tcPr>
          <w:p w:rsidR="00CF03C8" w:rsidRPr="00081B73" w:rsidRDefault="00CF03C8" w:rsidP="00CF03C8">
            <w:pPr>
              <w:spacing w:line="276" w:lineRule="auto"/>
              <w:rPr>
                <w:rFonts w:ascii="Times New Roman" w:hAnsi="Times New Roman"/>
                <w:sz w:val="20"/>
                <w:szCs w:val="20"/>
                <w:lang w:val="bs-Latn-BA"/>
              </w:rPr>
            </w:pPr>
            <w:r w:rsidRPr="00081B73">
              <w:rPr>
                <w:rFonts w:ascii="Times New Roman" w:hAnsi="Times New Roman"/>
                <w:sz w:val="20"/>
                <w:szCs w:val="20"/>
                <w:lang w:val="bs-Latn-BA"/>
              </w:rPr>
              <w:t>Velika Kladuša</w:t>
            </w:r>
          </w:p>
        </w:tc>
        <w:tc>
          <w:tcPr>
            <w:tcW w:w="1092" w:type="dxa"/>
            <w:vAlign w:val="center"/>
          </w:tcPr>
          <w:p w:rsidR="00CF03C8" w:rsidRPr="00081B73" w:rsidRDefault="00CF03C8" w:rsidP="00CF03C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331,0</w:t>
            </w:r>
          </w:p>
        </w:tc>
        <w:tc>
          <w:tcPr>
            <w:tcW w:w="1346" w:type="dxa"/>
            <w:vAlign w:val="center"/>
          </w:tcPr>
          <w:p w:rsidR="00CF03C8" w:rsidRPr="00081B73" w:rsidRDefault="00CF03C8" w:rsidP="00CF03C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47.354</w:t>
            </w:r>
          </w:p>
        </w:tc>
      </w:tr>
      <w:tr w:rsidR="00CF03C8" w:rsidRPr="00081B73" w:rsidTr="00CF03C8">
        <w:trPr>
          <w:trHeight w:val="222"/>
          <w:tblCellSpacing w:w="15" w:type="dxa"/>
        </w:trPr>
        <w:tc>
          <w:tcPr>
            <w:tcW w:w="2446" w:type="dxa"/>
            <w:tcBorders>
              <w:right w:val="single" w:sz="4" w:space="0" w:color="auto"/>
            </w:tcBorders>
            <w:shd w:val="clear" w:color="auto" w:fill="FFFFCC"/>
            <w:vAlign w:val="center"/>
          </w:tcPr>
          <w:p w:rsidR="00CF03C8" w:rsidRPr="00081B73" w:rsidRDefault="00CF03C8" w:rsidP="00CF03C8">
            <w:pPr>
              <w:spacing w:line="276" w:lineRule="auto"/>
              <w:rPr>
                <w:rFonts w:ascii="Times New Roman" w:hAnsi="Times New Roman"/>
                <w:sz w:val="20"/>
                <w:szCs w:val="20"/>
                <w:lang w:val="bs-Latn-BA"/>
              </w:rPr>
            </w:pPr>
            <w:r w:rsidRPr="00081B73">
              <w:rPr>
                <w:rFonts w:ascii="Times New Roman" w:hAnsi="Times New Roman"/>
                <w:sz w:val="20"/>
                <w:szCs w:val="20"/>
                <w:lang w:val="bs-Latn-BA"/>
              </w:rPr>
              <w:t>UKUPNO KANTON:</w:t>
            </w:r>
          </w:p>
        </w:tc>
        <w:tc>
          <w:tcPr>
            <w:tcW w:w="1092" w:type="dxa"/>
            <w:shd w:val="clear" w:color="auto" w:fill="FFFFCC"/>
            <w:vAlign w:val="center"/>
          </w:tcPr>
          <w:p w:rsidR="00CF03C8" w:rsidRPr="00081B73" w:rsidRDefault="00CF03C8" w:rsidP="00CF03C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4.125</w:t>
            </w:r>
          </w:p>
        </w:tc>
        <w:tc>
          <w:tcPr>
            <w:tcW w:w="1346" w:type="dxa"/>
            <w:shd w:val="clear" w:color="auto" w:fill="FFFFCC"/>
            <w:vAlign w:val="center"/>
          </w:tcPr>
          <w:p w:rsidR="00CF03C8" w:rsidRPr="00081B73" w:rsidRDefault="00CF03C8" w:rsidP="00CF03C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287.030</w:t>
            </w:r>
          </w:p>
        </w:tc>
      </w:tr>
      <w:tr w:rsidR="00CF03C8" w:rsidRPr="00081B73" w:rsidTr="00CF03C8">
        <w:trPr>
          <w:trHeight w:val="222"/>
          <w:tblCellSpacing w:w="15" w:type="dxa"/>
        </w:trPr>
        <w:tc>
          <w:tcPr>
            <w:tcW w:w="2446" w:type="dxa"/>
            <w:tcBorders>
              <w:right w:val="single" w:sz="4" w:space="0" w:color="auto"/>
            </w:tcBorders>
            <w:shd w:val="clear" w:color="auto" w:fill="FFFFCC"/>
            <w:vAlign w:val="center"/>
          </w:tcPr>
          <w:p w:rsidR="00CF03C8" w:rsidRPr="00081B73" w:rsidRDefault="00CF03C8" w:rsidP="00CF03C8">
            <w:pPr>
              <w:spacing w:line="276" w:lineRule="auto"/>
              <w:rPr>
                <w:rFonts w:ascii="Times New Roman" w:hAnsi="Times New Roman"/>
                <w:sz w:val="20"/>
                <w:szCs w:val="20"/>
                <w:lang w:val="bs-Latn-BA"/>
              </w:rPr>
            </w:pPr>
            <w:r w:rsidRPr="00081B73">
              <w:rPr>
                <w:rFonts w:ascii="Times New Roman" w:hAnsi="Times New Roman"/>
                <w:sz w:val="20"/>
                <w:szCs w:val="20"/>
                <w:lang w:val="bs-Latn-BA"/>
              </w:rPr>
              <w:t>Broj stanovnika/</w:t>
            </w:r>
            <w:r w:rsidRPr="00081B73">
              <w:rPr>
                <w:rFonts w:ascii="Times New Roman" w:hAnsi="Times New Roman"/>
                <w:b/>
                <w:bCs/>
                <w:sz w:val="20"/>
                <w:szCs w:val="20"/>
                <w:lang w:val="bs-Latn-BA"/>
              </w:rPr>
              <w:t xml:space="preserve"> </w:t>
            </w:r>
            <w:r w:rsidRPr="00081B73">
              <w:rPr>
                <w:rFonts w:ascii="Times New Roman" w:hAnsi="Times New Roman"/>
                <w:sz w:val="20"/>
                <w:szCs w:val="20"/>
                <w:lang w:val="bs-Latn-BA"/>
              </w:rPr>
              <w:t>km</w:t>
            </w:r>
            <w:r w:rsidRPr="00081B73">
              <w:rPr>
                <w:rFonts w:ascii="Times New Roman" w:hAnsi="Times New Roman"/>
                <w:sz w:val="20"/>
                <w:szCs w:val="20"/>
                <w:vertAlign w:val="superscript"/>
                <w:lang w:val="bs-Latn-BA"/>
              </w:rPr>
              <w:t>2</w:t>
            </w:r>
          </w:p>
        </w:tc>
        <w:tc>
          <w:tcPr>
            <w:tcW w:w="1092" w:type="dxa"/>
            <w:shd w:val="clear" w:color="auto" w:fill="FFFFCC"/>
            <w:vAlign w:val="center"/>
          </w:tcPr>
          <w:p w:rsidR="00CF03C8" w:rsidRPr="00081B73" w:rsidRDefault="00CF03C8" w:rsidP="00CF03C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69,7</w:t>
            </w:r>
          </w:p>
        </w:tc>
        <w:tc>
          <w:tcPr>
            <w:tcW w:w="1346" w:type="dxa"/>
            <w:shd w:val="clear" w:color="auto" w:fill="FFFFCC"/>
            <w:vAlign w:val="center"/>
          </w:tcPr>
          <w:p w:rsidR="00CF03C8" w:rsidRPr="00081B73" w:rsidRDefault="00CF03C8" w:rsidP="00CF03C8">
            <w:pPr>
              <w:spacing w:line="276" w:lineRule="auto"/>
              <w:jc w:val="right"/>
              <w:rPr>
                <w:rFonts w:ascii="Times New Roman" w:hAnsi="Times New Roman"/>
                <w:sz w:val="20"/>
                <w:szCs w:val="20"/>
                <w:lang w:val="bs-Latn-BA"/>
              </w:rPr>
            </w:pPr>
          </w:p>
        </w:tc>
      </w:tr>
    </w:tbl>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noProof/>
          <w:sz w:val="20"/>
          <w:szCs w:val="20"/>
          <w:lang w:val="bs-Latn-BA" w:eastAsia="bs-Latn-BA"/>
        </w:rPr>
        <w:drawing>
          <wp:anchor distT="0" distB="0" distL="114300" distR="114300" simplePos="0" relativeHeight="251662336" behindDoc="0" locked="0" layoutInCell="1" allowOverlap="1" wp14:anchorId="67440905" wp14:editId="381AF00A">
            <wp:simplePos x="0" y="0"/>
            <wp:positionH relativeFrom="column">
              <wp:posOffset>-457200</wp:posOffset>
            </wp:positionH>
            <wp:positionV relativeFrom="paragraph">
              <wp:posOffset>124460</wp:posOffset>
            </wp:positionV>
            <wp:extent cx="2265045" cy="2209165"/>
            <wp:effectExtent l="0" t="0" r="1905" b="635"/>
            <wp:wrapSquare wrapText="bothSides"/>
            <wp:docPr id="127" name="Picture 127" descr="Canto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nton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265045" cy="22091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 xml:space="preserve">                                                                    </w:t>
      </w:r>
    </w:p>
    <w:p w:rsidR="00A131AD" w:rsidRPr="00081B73" w:rsidRDefault="00A131AD" w:rsidP="000C0138">
      <w:pPr>
        <w:spacing w:line="276" w:lineRule="auto"/>
        <w:rPr>
          <w:rFonts w:ascii="Times New Roman" w:hAnsi="Times New Roman"/>
          <w:sz w:val="20"/>
          <w:szCs w:val="20"/>
          <w:lang w:val="bs-Latn-BA"/>
        </w:rPr>
      </w:pPr>
    </w:p>
    <w:p w:rsidR="00A131AD" w:rsidRPr="00081B73" w:rsidRDefault="00A131AD" w:rsidP="000C0138">
      <w:pPr>
        <w:spacing w:line="276" w:lineRule="auto"/>
        <w:rPr>
          <w:rFonts w:ascii="Times New Roman" w:hAnsi="Times New Roman"/>
          <w:sz w:val="20"/>
          <w:szCs w:val="20"/>
          <w:lang w:val="bs-Latn-BA"/>
        </w:rPr>
      </w:pPr>
    </w:p>
    <w:p w:rsidR="00A131AD" w:rsidRPr="00081B73" w:rsidRDefault="00A131AD" w:rsidP="000C0138">
      <w:pPr>
        <w:spacing w:line="276" w:lineRule="auto"/>
        <w:rPr>
          <w:rFonts w:ascii="Times New Roman" w:hAnsi="Times New Roman"/>
          <w:sz w:val="20"/>
          <w:szCs w:val="20"/>
          <w:lang w:val="bs-Latn-BA"/>
        </w:rPr>
      </w:pPr>
    </w:p>
    <w:p w:rsidR="00A131AD" w:rsidRPr="00081B73" w:rsidRDefault="00A131AD" w:rsidP="000C0138">
      <w:pPr>
        <w:spacing w:line="276" w:lineRule="auto"/>
        <w:rPr>
          <w:rFonts w:ascii="Times New Roman" w:hAnsi="Times New Roman"/>
          <w:sz w:val="20"/>
          <w:szCs w:val="20"/>
          <w:lang w:val="bs-Latn-BA"/>
        </w:rPr>
      </w:pPr>
    </w:p>
    <w:p w:rsidR="00A131AD" w:rsidRPr="00081B73" w:rsidRDefault="00A131AD" w:rsidP="000C0138">
      <w:pPr>
        <w:spacing w:line="276" w:lineRule="auto"/>
        <w:rPr>
          <w:rFonts w:ascii="Times New Roman" w:hAnsi="Times New Roman"/>
          <w:sz w:val="20"/>
          <w:szCs w:val="20"/>
          <w:lang w:val="bs-Latn-BA"/>
        </w:rPr>
      </w:pPr>
    </w:p>
    <w:p w:rsidR="00A131AD" w:rsidRPr="00081B73" w:rsidRDefault="00A131AD" w:rsidP="000C0138">
      <w:pPr>
        <w:spacing w:line="276" w:lineRule="auto"/>
        <w:rPr>
          <w:rFonts w:ascii="Times New Roman" w:hAnsi="Times New Roman"/>
          <w:sz w:val="20"/>
          <w:szCs w:val="20"/>
          <w:lang w:val="bs-Latn-BA"/>
        </w:rPr>
      </w:pPr>
    </w:p>
    <w:p w:rsidR="00A131AD" w:rsidRPr="00081B73" w:rsidRDefault="00A131AD" w:rsidP="000C0138">
      <w:pPr>
        <w:spacing w:line="276" w:lineRule="auto"/>
        <w:rPr>
          <w:rFonts w:ascii="Times New Roman" w:hAnsi="Times New Roman"/>
          <w:sz w:val="20"/>
          <w:szCs w:val="20"/>
          <w:lang w:val="bs-Latn-BA"/>
        </w:rPr>
      </w:pPr>
    </w:p>
    <w:p w:rsidR="00A131AD" w:rsidRPr="00081B73" w:rsidRDefault="00A131AD" w:rsidP="000C0138">
      <w:pPr>
        <w:spacing w:line="276" w:lineRule="auto"/>
        <w:rPr>
          <w:rFonts w:ascii="Times New Roman" w:hAnsi="Times New Roman"/>
          <w:sz w:val="20"/>
          <w:szCs w:val="20"/>
          <w:lang w:val="bs-Latn-BA"/>
        </w:rPr>
      </w:pPr>
    </w:p>
    <w:p w:rsidR="00A131AD" w:rsidRPr="00081B73" w:rsidRDefault="00A131AD" w:rsidP="000C0138">
      <w:pPr>
        <w:spacing w:line="276" w:lineRule="auto"/>
        <w:rPr>
          <w:rFonts w:ascii="Times New Roman" w:hAnsi="Times New Roman"/>
          <w:sz w:val="20"/>
          <w:szCs w:val="20"/>
          <w:lang w:val="bs-Latn-BA"/>
        </w:rPr>
      </w:pPr>
    </w:p>
    <w:p w:rsidR="00A131AD" w:rsidRPr="00081B73" w:rsidRDefault="00A131AD" w:rsidP="000C0138">
      <w:pPr>
        <w:spacing w:line="276" w:lineRule="auto"/>
        <w:rPr>
          <w:rFonts w:ascii="Times New Roman" w:hAnsi="Times New Roman"/>
          <w:sz w:val="20"/>
          <w:szCs w:val="20"/>
          <w:lang w:val="bs-Latn-BA"/>
        </w:rPr>
      </w:pPr>
    </w:p>
    <w:p w:rsidR="00A131AD" w:rsidRPr="00081B73" w:rsidRDefault="00A131AD" w:rsidP="000C0138">
      <w:pPr>
        <w:spacing w:line="276" w:lineRule="auto"/>
        <w:rPr>
          <w:rFonts w:ascii="Times New Roman" w:hAnsi="Times New Roman"/>
          <w:sz w:val="20"/>
          <w:szCs w:val="20"/>
          <w:lang w:val="bs-Latn-BA"/>
        </w:rPr>
      </w:pPr>
    </w:p>
    <w:p w:rsidR="00A131AD" w:rsidRPr="00081B73" w:rsidRDefault="00A131AD" w:rsidP="000C0138">
      <w:pPr>
        <w:spacing w:line="276" w:lineRule="auto"/>
        <w:rPr>
          <w:rFonts w:ascii="Times New Roman" w:hAnsi="Times New Roman"/>
          <w:sz w:val="20"/>
          <w:szCs w:val="20"/>
          <w:lang w:val="bs-Latn-BA"/>
        </w:rPr>
      </w:pPr>
    </w:p>
    <w:p w:rsidR="00A131AD" w:rsidRPr="00081B73" w:rsidRDefault="00A131AD" w:rsidP="000C0138">
      <w:pPr>
        <w:spacing w:line="276" w:lineRule="auto"/>
        <w:rPr>
          <w:rFonts w:ascii="Times New Roman" w:hAnsi="Times New Roman"/>
          <w:sz w:val="20"/>
          <w:szCs w:val="20"/>
          <w:lang w:val="bs-Latn-BA"/>
        </w:rPr>
      </w:pPr>
    </w:p>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 xml:space="preserve"> * procjena broja stanovnika na dan 30.06.2015. godine</w:t>
      </w:r>
    </w:p>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 xml:space="preserve">               </w:t>
      </w:r>
    </w:p>
    <w:p w:rsidR="00A131AD" w:rsidRPr="00081B73" w:rsidRDefault="00A131AD" w:rsidP="00CF03C8">
      <w:pPr>
        <w:pStyle w:val="refererere"/>
        <w:rPr>
          <w:lang w:val="bs-Latn-BA"/>
        </w:rPr>
      </w:pPr>
      <w:r w:rsidRPr="00081B73">
        <w:rPr>
          <w:lang w:val="bs-Latn-BA"/>
        </w:rPr>
        <w:t>Tabl</w:t>
      </w:r>
      <w:r w:rsidR="00CB5BF5">
        <w:rPr>
          <w:lang w:val="bs-Latn-BA"/>
        </w:rPr>
        <w:t>ic</w:t>
      </w:r>
      <w:r w:rsidRPr="00081B73">
        <w:rPr>
          <w:lang w:val="bs-Latn-BA"/>
        </w:rPr>
        <w:t xml:space="preserve">a 2:  Pokazatelji vitalne statistike za 2010 i  2015. godinu </w:t>
      </w: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848"/>
        <w:gridCol w:w="2805"/>
        <w:gridCol w:w="2635"/>
      </w:tblGrid>
      <w:tr w:rsidR="00A131AD" w:rsidRPr="00081B73" w:rsidTr="001911A6">
        <w:trPr>
          <w:trHeight w:val="618"/>
        </w:trPr>
        <w:tc>
          <w:tcPr>
            <w:tcW w:w="3848" w:type="dxa"/>
            <w:shd w:val="clear" w:color="auto" w:fill="FFFF00"/>
          </w:tcPr>
          <w:p w:rsidR="00A131AD" w:rsidRPr="00081B73" w:rsidRDefault="00A131AD" w:rsidP="000C0138">
            <w:pPr>
              <w:spacing w:line="276" w:lineRule="auto"/>
              <w:jc w:val="center"/>
              <w:rPr>
                <w:rFonts w:ascii="Times New Roman" w:hAnsi="Times New Roman"/>
                <w:color w:val="FF0000"/>
                <w:sz w:val="20"/>
                <w:szCs w:val="20"/>
                <w:lang w:val="bs-Latn-BA"/>
              </w:rPr>
            </w:pPr>
          </w:p>
        </w:tc>
        <w:tc>
          <w:tcPr>
            <w:tcW w:w="2805"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2010.</w:t>
            </w:r>
          </w:p>
        </w:tc>
        <w:tc>
          <w:tcPr>
            <w:tcW w:w="2635"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2015.</w:t>
            </w:r>
          </w:p>
        </w:tc>
      </w:tr>
      <w:tr w:rsidR="00A131AD" w:rsidRPr="00081B73" w:rsidTr="001911A6">
        <w:tc>
          <w:tcPr>
            <w:tcW w:w="384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Natalitet</w:t>
            </w:r>
          </w:p>
        </w:tc>
        <w:tc>
          <w:tcPr>
            <w:tcW w:w="2805" w:type="dxa"/>
          </w:tcPr>
          <w:p w:rsidR="00A131AD" w:rsidRPr="00081B73" w:rsidRDefault="00A131AD" w:rsidP="000C0138">
            <w:pPr>
              <w:spacing w:line="276" w:lineRule="auto"/>
              <w:ind w:right="640"/>
              <w:jc w:val="center"/>
              <w:rPr>
                <w:rFonts w:ascii="Times New Roman" w:hAnsi="Times New Roman"/>
                <w:sz w:val="20"/>
                <w:szCs w:val="20"/>
                <w:lang w:val="bs-Latn-BA"/>
              </w:rPr>
            </w:pPr>
            <w:r w:rsidRPr="00081B73">
              <w:rPr>
                <w:rFonts w:ascii="Times New Roman" w:hAnsi="Times New Roman"/>
                <w:sz w:val="20"/>
                <w:szCs w:val="20"/>
                <w:lang w:val="bs-Latn-BA"/>
              </w:rPr>
              <w:t>9,2</w:t>
            </w:r>
          </w:p>
        </w:tc>
        <w:tc>
          <w:tcPr>
            <w:tcW w:w="2635" w:type="dxa"/>
          </w:tcPr>
          <w:p w:rsidR="00A131AD" w:rsidRPr="00081B73" w:rsidRDefault="00A131AD" w:rsidP="000C0138">
            <w:pPr>
              <w:spacing w:line="276" w:lineRule="auto"/>
              <w:ind w:right="453"/>
              <w:jc w:val="center"/>
              <w:rPr>
                <w:rFonts w:ascii="Times New Roman" w:hAnsi="Times New Roman"/>
                <w:sz w:val="20"/>
                <w:szCs w:val="20"/>
                <w:lang w:val="bs-Latn-BA"/>
              </w:rPr>
            </w:pPr>
            <w:r w:rsidRPr="00081B73">
              <w:rPr>
                <w:rFonts w:ascii="Times New Roman" w:hAnsi="Times New Roman"/>
                <w:sz w:val="20"/>
                <w:szCs w:val="20"/>
                <w:lang w:val="bs-Latn-BA"/>
              </w:rPr>
              <w:t>7,4</w:t>
            </w:r>
          </w:p>
        </w:tc>
      </w:tr>
      <w:tr w:rsidR="00A131AD" w:rsidRPr="00081B73" w:rsidTr="001911A6">
        <w:tc>
          <w:tcPr>
            <w:tcW w:w="384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Mortalitet</w:t>
            </w:r>
          </w:p>
        </w:tc>
        <w:tc>
          <w:tcPr>
            <w:tcW w:w="2805" w:type="dxa"/>
          </w:tcPr>
          <w:p w:rsidR="00A131AD" w:rsidRPr="00081B73" w:rsidRDefault="00A131AD" w:rsidP="000C0138">
            <w:pPr>
              <w:spacing w:line="276" w:lineRule="auto"/>
              <w:ind w:right="640"/>
              <w:jc w:val="center"/>
              <w:rPr>
                <w:rFonts w:ascii="Times New Roman" w:hAnsi="Times New Roman"/>
                <w:sz w:val="20"/>
                <w:szCs w:val="20"/>
                <w:lang w:val="bs-Latn-BA"/>
              </w:rPr>
            </w:pPr>
            <w:r w:rsidRPr="00081B73">
              <w:rPr>
                <w:rFonts w:ascii="Times New Roman" w:hAnsi="Times New Roman"/>
                <w:sz w:val="20"/>
                <w:szCs w:val="20"/>
                <w:lang w:val="bs-Latn-BA"/>
              </w:rPr>
              <w:t>7,4</w:t>
            </w:r>
          </w:p>
        </w:tc>
        <w:tc>
          <w:tcPr>
            <w:tcW w:w="2635" w:type="dxa"/>
          </w:tcPr>
          <w:p w:rsidR="00A131AD" w:rsidRPr="00081B73" w:rsidRDefault="00A131AD" w:rsidP="000C0138">
            <w:pPr>
              <w:spacing w:line="276" w:lineRule="auto"/>
              <w:ind w:right="453"/>
              <w:jc w:val="center"/>
              <w:rPr>
                <w:rFonts w:ascii="Times New Roman" w:hAnsi="Times New Roman"/>
                <w:sz w:val="20"/>
                <w:szCs w:val="20"/>
                <w:lang w:val="bs-Latn-BA"/>
              </w:rPr>
            </w:pPr>
            <w:r w:rsidRPr="00081B73">
              <w:rPr>
                <w:rFonts w:ascii="Times New Roman" w:hAnsi="Times New Roman"/>
                <w:sz w:val="20"/>
                <w:szCs w:val="20"/>
                <w:lang w:val="bs-Latn-BA"/>
              </w:rPr>
              <w:t>7,7</w:t>
            </w:r>
          </w:p>
        </w:tc>
      </w:tr>
      <w:tr w:rsidR="00A131AD" w:rsidRPr="00081B73" w:rsidTr="001911A6">
        <w:tc>
          <w:tcPr>
            <w:tcW w:w="384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Smrtnost dojenčadi</w:t>
            </w:r>
          </w:p>
        </w:tc>
        <w:tc>
          <w:tcPr>
            <w:tcW w:w="2805" w:type="dxa"/>
          </w:tcPr>
          <w:p w:rsidR="00A131AD" w:rsidRPr="00081B73" w:rsidRDefault="00A131AD" w:rsidP="000C0138">
            <w:pPr>
              <w:spacing w:line="276" w:lineRule="auto"/>
              <w:ind w:right="640"/>
              <w:jc w:val="center"/>
              <w:rPr>
                <w:rFonts w:ascii="Times New Roman" w:hAnsi="Times New Roman"/>
                <w:sz w:val="20"/>
                <w:szCs w:val="20"/>
                <w:lang w:val="bs-Latn-BA"/>
              </w:rPr>
            </w:pPr>
            <w:r w:rsidRPr="00081B73">
              <w:rPr>
                <w:rFonts w:ascii="Times New Roman" w:hAnsi="Times New Roman"/>
                <w:sz w:val="20"/>
                <w:szCs w:val="20"/>
                <w:lang w:val="bs-Latn-BA"/>
              </w:rPr>
              <w:t>11,0</w:t>
            </w:r>
          </w:p>
        </w:tc>
        <w:tc>
          <w:tcPr>
            <w:tcW w:w="2635" w:type="dxa"/>
          </w:tcPr>
          <w:p w:rsidR="00A131AD" w:rsidRPr="00081B73" w:rsidRDefault="00A131AD" w:rsidP="000C0138">
            <w:pPr>
              <w:spacing w:line="276" w:lineRule="auto"/>
              <w:ind w:right="453"/>
              <w:jc w:val="center"/>
              <w:rPr>
                <w:rFonts w:ascii="Times New Roman" w:hAnsi="Times New Roman"/>
                <w:sz w:val="20"/>
                <w:szCs w:val="20"/>
                <w:lang w:val="bs-Latn-BA"/>
              </w:rPr>
            </w:pPr>
            <w:r w:rsidRPr="00081B73">
              <w:rPr>
                <w:rFonts w:ascii="Times New Roman" w:hAnsi="Times New Roman"/>
                <w:sz w:val="20"/>
                <w:szCs w:val="20"/>
                <w:lang w:val="bs-Latn-BA"/>
              </w:rPr>
              <w:t>6,2</w:t>
            </w:r>
          </w:p>
        </w:tc>
      </w:tr>
      <w:tr w:rsidR="00A131AD" w:rsidRPr="00081B73" w:rsidTr="001911A6">
        <w:tc>
          <w:tcPr>
            <w:tcW w:w="3848" w:type="dxa"/>
          </w:tcPr>
          <w:p w:rsidR="00A131AD" w:rsidRPr="00081B73" w:rsidRDefault="00A131AD" w:rsidP="00CB5BF5">
            <w:pPr>
              <w:spacing w:line="276" w:lineRule="auto"/>
              <w:rPr>
                <w:rFonts w:ascii="Times New Roman" w:hAnsi="Times New Roman"/>
                <w:sz w:val="20"/>
                <w:szCs w:val="20"/>
                <w:lang w:val="bs-Latn-BA"/>
              </w:rPr>
            </w:pPr>
            <w:r w:rsidRPr="00081B73">
              <w:rPr>
                <w:rFonts w:ascii="Times New Roman" w:hAnsi="Times New Roman"/>
                <w:sz w:val="20"/>
                <w:szCs w:val="20"/>
                <w:lang w:val="bs-Latn-BA"/>
              </w:rPr>
              <w:t>Prirodni prira</w:t>
            </w:r>
            <w:r w:rsidR="00CB5BF5">
              <w:rPr>
                <w:rFonts w:ascii="Times New Roman" w:hAnsi="Times New Roman"/>
                <w:sz w:val="20"/>
                <w:szCs w:val="20"/>
                <w:lang w:val="bs-Latn-BA"/>
              </w:rPr>
              <w:t>st</w:t>
            </w:r>
          </w:p>
        </w:tc>
        <w:tc>
          <w:tcPr>
            <w:tcW w:w="2805" w:type="dxa"/>
          </w:tcPr>
          <w:p w:rsidR="00A131AD" w:rsidRPr="00081B73" w:rsidRDefault="00A131AD" w:rsidP="000C0138">
            <w:pPr>
              <w:spacing w:line="276" w:lineRule="auto"/>
              <w:ind w:right="640"/>
              <w:jc w:val="center"/>
              <w:rPr>
                <w:rFonts w:ascii="Times New Roman" w:hAnsi="Times New Roman"/>
                <w:sz w:val="20"/>
                <w:szCs w:val="20"/>
                <w:lang w:val="bs-Latn-BA"/>
              </w:rPr>
            </w:pPr>
            <w:r w:rsidRPr="00081B73">
              <w:rPr>
                <w:rFonts w:ascii="Times New Roman" w:hAnsi="Times New Roman"/>
                <w:sz w:val="20"/>
                <w:szCs w:val="20"/>
                <w:lang w:val="bs-Latn-BA"/>
              </w:rPr>
              <w:t>1,8</w:t>
            </w:r>
          </w:p>
        </w:tc>
        <w:tc>
          <w:tcPr>
            <w:tcW w:w="2635" w:type="dxa"/>
          </w:tcPr>
          <w:p w:rsidR="00A131AD" w:rsidRPr="00081B73" w:rsidRDefault="00A131AD" w:rsidP="000C0138">
            <w:pPr>
              <w:spacing w:line="276" w:lineRule="auto"/>
              <w:ind w:right="453"/>
              <w:jc w:val="center"/>
              <w:rPr>
                <w:rFonts w:ascii="Times New Roman" w:hAnsi="Times New Roman"/>
                <w:sz w:val="20"/>
                <w:szCs w:val="20"/>
                <w:lang w:val="bs-Latn-BA"/>
              </w:rPr>
            </w:pPr>
            <w:r w:rsidRPr="00081B73">
              <w:rPr>
                <w:rFonts w:ascii="Times New Roman" w:hAnsi="Times New Roman"/>
                <w:sz w:val="20"/>
                <w:szCs w:val="20"/>
                <w:lang w:val="bs-Latn-BA"/>
              </w:rPr>
              <w:t>-0,4</w:t>
            </w:r>
          </w:p>
        </w:tc>
      </w:tr>
    </w:tbl>
    <w:p w:rsidR="00A131AD" w:rsidRPr="00081B73" w:rsidRDefault="00A131AD" w:rsidP="000C0138">
      <w:pPr>
        <w:spacing w:line="276" w:lineRule="auto"/>
        <w:rPr>
          <w:rFonts w:ascii="Times New Roman" w:hAnsi="Times New Roman"/>
          <w:sz w:val="20"/>
          <w:szCs w:val="20"/>
          <w:lang w:val="bs-Latn-BA"/>
        </w:rPr>
      </w:pPr>
    </w:p>
    <w:p w:rsidR="00A131AD" w:rsidRPr="00081B73" w:rsidRDefault="00CB5BF5" w:rsidP="00CF03C8">
      <w:pPr>
        <w:pStyle w:val="refererere"/>
        <w:rPr>
          <w:lang w:val="bs-Latn-BA"/>
        </w:rPr>
      </w:pPr>
      <w:r>
        <w:rPr>
          <w:lang w:val="bs-Latn-BA"/>
        </w:rPr>
        <w:t>Tab</w:t>
      </w:r>
      <w:r w:rsidR="00A131AD" w:rsidRPr="00081B73">
        <w:rPr>
          <w:lang w:val="bs-Latn-BA"/>
        </w:rPr>
        <w:t>l</w:t>
      </w:r>
      <w:r>
        <w:rPr>
          <w:lang w:val="bs-Latn-BA"/>
        </w:rPr>
        <w:t>ic</w:t>
      </w:r>
      <w:r w:rsidR="00A131AD" w:rsidRPr="00081B73">
        <w:rPr>
          <w:lang w:val="bs-Latn-BA"/>
        </w:rPr>
        <w:t>a 3: Vodeći uzroci smrti za 2010 i  2015. godinu *</w:t>
      </w: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88"/>
        <w:gridCol w:w="2500"/>
        <w:gridCol w:w="720"/>
        <w:gridCol w:w="900"/>
        <w:gridCol w:w="488"/>
        <w:gridCol w:w="2385"/>
        <w:gridCol w:w="766"/>
        <w:gridCol w:w="1041"/>
      </w:tblGrid>
      <w:tr w:rsidR="00A131AD" w:rsidRPr="00081B73" w:rsidTr="001911A6">
        <w:trPr>
          <w:trHeight w:val="405"/>
        </w:trPr>
        <w:tc>
          <w:tcPr>
            <w:tcW w:w="4608" w:type="dxa"/>
            <w:gridSpan w:val="4"/>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2010.</w:t>
            </w:r>
          </w:p>
        </w:tc>
        <w:tc>
          <w:tcPr>
            <w:tcW w:w="4680" w:type="dxa"/>
            <w:gridSpan w:val="4"/>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2015.</w:t>
            </w:r>
          </w:p>
        </w:tc>
      </w:tr>
      <w:tr w:rsidR="00A131AD" w:rsidRPr="00081B73" w:rsidTr="001911A6">
        <w:trPr>
          <w:trHeight w:val="345"/>
        </w:trPr>
        <w:tc>
          <w:tcPr>
            <w:tcW w:w="488" w:type="dxa"/>
            <w:shd w:val="clear" w:color="auto" w:fill="FFFF00"/>
            <w:vAlign w:val="center"/>
          </w:tcPr>
          <w:p w:rsidR="00A131AD" w:rsidRPr="00081B73" w:rsidRDefault="00A131AD" w:rsidP="000C0138">
            <w:pPr>
              <w:spacing w:line="276" w:lineRule="auto"/>
              <w:ind w:right="-108"/>
              <w:jc w:val="center"/>
              <w:rPr>
                <w:rFonts w:ascii="Times New Roman" w:hAnsi="Times New Roman"/>
                <w:bCs/>
                <w:sz w:val="20"/>
                <w:szCs w:val="20"/>
                <w:lang w:val="bs-Latn-BA"/>
              </w:rPr>
            </w:pPr>
            <w:r w:rsidRPr="00081B73">
              <w:rPr>
                <w:rFonts w:ascii="Times New Roman" w:hAnsi="Times New Roman"/>
                <w:bCs/>
                <w:sz w:val="20"/>
                <w:szCs w:val="20"/>
                <w:lang w:val="bs-Latn-BA"/>
              </w:rPr>
              <w:t>Rang</w:t>
            </w:r>
          </w:p>
        </w:tc>
        <w:tc>
          <w:tcPr>
            <w:tcW w:w="2500"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Oboljenje</w:t>
            </w:r>
          </w:p>
        </w:tc>
        <w:tc>
          <w:tcPr>
            <w:tcW w:w="720"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Broj umrlih</w:t>
            </w:r>
          </w:p>
        </w:tc>
        <w:tc>
          <w:tcPr>
            <w:tcW w:w="900"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Indeks strukture (%)</w:t>
            </w:r>
          </w:p>
        </w:tc>
        <w:tc>
          <w:tcPr>
            <w:tcW w:w="488" w:type="dxa"/>
            <w:shd w:val="clear" w:color="auto" w:fill="FFFF00"/>
            <w:vAlign w:val="center"/>
          </w:tcPr>
          <w:p w:rsidR="00A131AD" w:rsidRPr="00081B73" w:rsidRDefault="00A131AD" w:rsidP="000C0138">
            <w:pPr>
              <w:spacing w:line="276" w:lineRule="auto"/>
              <w:ind w:right="-108"/>
              <w:rPr>
                <w:rFonts w:ascii="Times New Roman" w:hAnsi="Times New Roman"/>
                <w:bCs/>
                <w:sz w:val="20"/>
                <w:szCs w:val="20"/>
                <w:lang w:val="bs-Latn-BA"/>
              </w:rPr>
            </w:pPr>
            <w:r w:rsidRPr="00081B73">
              <w:rPr>
                <w:rFonts w:ascii="Times New Roman" w:hAnsi="Times New Roman"/>
                <w:bCs/>
                <w:sz w:val="20"/>
                <w:szCs w:val="20"/>
                <w:lang w:val="bs-Latn-BA"/>
              </w:rPr>
              <w:t>Rang</w:t>
            </w:r>
          </w:p>
        </w:tc>
        <w:tc>
          <w:tcPr>
            <w:tcW w:w="2385"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Oboljenje</w:t>
            </w:r>
          </w:p>
        </w:tc>
        <w:tc>
          <w:tcPr>
            <w:tcW w:w="766"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Broj umrlih</w:t>
            </w:r>
          </w:p>
        </w:tc>
        <w:tc>
          <w:tcPr>
            <w:tcW w:w="1041"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Indeks strukture (%)</w:t>
            </w:r>
          </w:p>
        </w:tc>
      </w:tr>
      <w:tr w:rsidR="00A131AD" w:rsidRPr="00081B73" w:rsidTr="001911A6">
        <w:tc>
          <w:tcPr>
            <w:tcW w:w="488" w:type="dxa"/>
          </w:tcPr>
          <w:p w:rsidR="00A131AD" w:rsidRPr="00081B73" w:rsidRDefault="00A131AD" w:rsidP="000C0138">
            <w:pPr>
              <w:spacing w:line="276" w:lineRule="auto"/>
              <w:ind w:right="-170"/>
              <w:jc w:val="center"/>
              <w:rPr>
                <w:rFonts w:ascii="Times New Roman" w:hAnsi="Times New Roman"/>
                <w:sz w:val="20"/>
                <w:szCs w:val="20"/>
                <w:lang w:val="bs-Latn-BA"/>
              </w:rPr>
            </w:pPr>
            <w:r w:rsidRPr="00081B73">
              <w:rPr>
                <w:rFonts w:ascii="Times New Roman" w:hAnsi="Times New Roman"/>
                <w:sz w:val="20"/>
                <w:szCs w:val="20"/>
                <w:lang w:val="bs-Latn-BA"/>
              </w:rPr>
              <w:t>1</w:t>
            </w:r>
          </w:p>
        </w:tc>
        <w:tc>
          <w:tcPr>
            <w:tcW w:w="2500"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 xml:space="preserve">Moždani udar </w:t>
            </w:r>
            <w:r w:rsidRPr="00081B73">
              <w:rPr>
                <w:rFonts w:ascii="Times New Roman" w:hAnsi="Times New Roman"/>
                <w:sz w:val="20"/>
                <w:szCs w:val="20"/>
              </w:rPr>
              <w:t>(I63)</w:t>
            </w:r>
          </w:p>
        </w:tc>
        <w:tc>
          <w:tcPr>
            <w:tcW w:w="72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385</w:t>
            </w:r>
          </w:p>
        </w:tc>
        <w:tc>
          <w:tcPr>
            <w:tcW w:w="900" w:type="dxa"/>
          </w:tcPr>
          <w:p w:rsidR="00A131AD" w:rsidRPr="00081B73" w:rsidRDefault="00A131AD" w:rsidP="000C0138">
            <w:pPr>
              <w:tabs>
                <w:tab w:val="left" w:pos="380"/>
              </w:tabs>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18,1</w:t>
            </w:r>
          </w:p>
        </w:tc>
        <w:tc>
          <w:tcPr>
            <w:tcW w:w="488"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1</w:t>
            </w:r>
          </w:p>
        </w:tc>
        <w:tc>
          <w:tcPr>
            <w:tcW w:w="2385"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Moždani udar (I63)</w:t>
            </w:r>
          </w:p>
        </w:tc>
        <w:tc>
          <w:tcPr>
            <w:tcW w:w="766"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427</w:t>
            </w:r>
          </w:p>
        </w:tc>
        <w:tc>
          <w:tcPr>
            <w:tcW w:w="1041"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19,4</w:t>
            </w:r>
          </w:p>
        </w:tc>
      </w:tr>
      <w:tr w:rsidR="00A131AD" w:rsidRPr="00081B73" w:rsidTr="001911A6">
        <w:tc>
          <w:tcPr>
            <w:tcW w:w="488" w:type="dxa"/>
          </w:tcPr>
          <w:p w:rsidR="00A131AD" w:rsidRPr="00081B73" w:rsidRDefault="00A131AD" w:rsidP="000C0138">
            <w:pPr>
              <w:spacing w:line="276" w:lineRule="auto"/>
              <w:ind w:right="-170"/>
              <w:jc w:val="center"/>
              <w:rPr>
                <w:rFonts w:ascii="Times New Roman" w:hAnsi="Times New Roman"/>
                <w:sz w:val="20"/>
                <w:szCs w:val="20"/>
                <w:lang w:val="bs-Latn-BA"/>
              </w:rPr>
            </w:pPr>
            <w:r w:rsidRPr="00081B73">
              <w:rPr>
                <w:rFonts w:ascii="Times New Roman" w:hAnsi="Times New Roman"/>
                <w:sz w:val="20"/>
                <w:szCs w:val="20"/>
                <w:lang w:val="bs-Latn-BA"/>
              </w:rPr>
              <w:t>2</w:t>
            </w:r>
          </w:p>
        </w:tc>
        <w:tc>
          <w:tcPr>
            <w:tcW w:w="2500"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 xml:space="preserve">Arteroskleroza </w:t>
            </w:r>
            <w:r w:rsidRPr="00081B73">
              <w:rPr>
                <w:rFonts w:ascii="Times New Roman" w:hAnsi="Times New Roman"/>
                <w:sz w:val="20"/>
                <w:szCs w:val="20"/>
              </w:rPr>
              <w:t>(I70)</w:t>
            </w:r>
          </w:p>
        </w:tc>
        <w:tc>
          <w:tcPr>
            <w:tcW w:w="72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285</w:t>
            </w:r>
          </w:p>
        </w:tc>
        <w:tc>
          <w:tcPr>
            <w:tcW w:w="90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13,4</w:t>
            </w:r>
          </w:p>
        </w:tc>
        <w:tc>
          <w:tcPr>
            <w:tcW w:w="488"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2</w:t>
            </w:r>
          </w:p>
        </w:tc>
        <w:tc>
          <w:tcPr>
            <w:tcW w:w="2385"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rPr>
              <w:t>Akutni infarkt miokarda (I21)</w:t>
            </w:r>
          </w:p>
        </w:tc>
        <w:tc>
          <w:tcPr>
            <w:tcW w:w="766"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346</w:t>
            </w:r>
          </w:p>
        </w:tc>
        <w:tc>
          <w:tcPr>
            <w:tcW w:w="1041"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15,7</w:t>
            </w:r>
          </w:p>
        </w:tc>
      </w:tr>
      <w:tr w:rsidR="00A131AD" w:rsidRPr="00081B73" w:rsidTr="001911A6">
        <w:tc>
          <w:tcPr>
            <w:tcW w:w="488" w:type="dxa"/>
          </w:tcPr>
          <w:p w:rsidR="00A131AD" w:rsidRPr="00081B73" w:rsidRDefault="00A131AD" w:rsidP="000C0138">
            <w:pPr>
              <w:spacing w:line="276" w:lineRule="auto"/>
              <w:ind w:right="-170"/>
              <w:jc w:val="center"/>
              <w:rPr>
                <w:rFonts w:ascii="Times New Roman" w:hAnsi="Times New Roman"/>
                <w:sz w:val="20"/>
                <w:szCs w:val="20"/>
                <w:lang w:val="bs-Latn-BA"/>
              </w:rPr>
            </w:pPr>
            <w:r w:rsidRPr="00081B73">
              <w:rPr>
                <w:rFonts w:ascii="Times New Roman" w:hAnsi="Times New Roman"/>
                <w:sz w:val="20"/>
                <w:szCs w:val="20"/>
                <w:lang w:val="bs-Latn-BA"/>
              </w:rPr>
              <w:t>3</w:t>
            </w:r>
          </w:p>
        </w:tc>
        <w:tc>
          <w:tcPr>
            <w:tcW w:w="2500"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 xml:space="preserve">Srčana slabost </w:t>
            </w:r>
            <w:r w:rsidRPr="00081B73">
              <w:rPr>
                <w:rFonts w:ascii="Times New Roman" w:hAnsi="Times New Roman"/>
                <w:sz w:val="20"/>
                <w:szCs w:val="20"/>
              </w:rPr>
              <w:t>(I50)</w:t>
            </w:r>
          </w:p>
        </w:tc>
        <w:tc>
          <w:tcPr>
            <w:tcW w:w="72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189</w:t>
            </w:r>
          </w:p>
        </w:tc>
        <w:tc>
          <w:tcPr>
            <w:tcW w:w="90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8,9</w:t>
            </w:r>
          </w:p>
        </w:tc>
        <w:tc>
          <w:tcPr>
            <w:tcW w:w="488"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3</w:t>
            </w:r>
          </w:p>
        </w:tc>
        <w:tc>
          <w:tcPr>
            <w:tcW w:w="2385"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en-US"/>
              </w:rPr>
              <w:t>Inzulino-neovisni diabetes mellitus (E11)</w:t>
            </w:r>
          </w:p>
        </w:tc>
        <w:tc>
          <w:tcPr>
            <w:tcW w:w="766"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193</w:t>
            </w:r>
          </w:p>
        </w:tc>
        <w:tc>
          <w:tcPr>
            <w:tcW w:w="1041"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8,8</w:t>
            </w:r>
          </w:p>
        </w:tc>
      </w:tr>
      <w:tr w:rsidR="00A131AD" w:rsidRPr="00081B73" w:rsidTr="001911A6">
        <w:tc>
          <w:tcPr>
            <w:tcW w:w="488" w:type="dxa"/>
          </w:tcPr>
          <w:p w:rsidR="00A131AD" w:rsidRPr="00081B73" w:rsidRDefault="00A131AD" w:rsidP="000C0138">
            <w:pPr>
              <w:spacing w:line="276" w:lineRule="auto"/>
              <w:ind w:right="-170"/>
              <w:jc w:val="center"/>
              <w:rPr>
                <w:rFonts w:ascii="Times New Roman" w:hAnsi="Times New Roman"/>
                <w:sz w:val="20"/>
                <w:szCs w:val="20"/>
                <w:lang w:val="bs-Latn-BA"/>
              </w:rPr>
            </w:pPr>
            <w:r w:rsidRPr="00081B73">
              <w:rPr>
                <w:rFonts w:ascii="Times New Roman" w:hAnsi="Times New Roman"/>
                <w:sz w:val="20"/>
                <w:szCs w:val="20"/>
                <w:lang w:val="bs-Latn-BA"/>
              </w:rPr>
              <w:t>4</w:t>
            </w:r>
          </w:p>
        </w:tc>
        <w:tc>
          <w:tcPr>
            <w:tcW w:w="2500"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rPr>
              <w:t>Akutni infarkt miokarda (I21)</w:t>
            </w:r>
          </w:p>
        </w:tc>
        <w:tc>
          <w:tcPr>
            <w:tcW w:w="72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181</w:t>
            </w:r>
          </w:p>
        </w:tc>
        <w:tc>
          <w:tcPr>
            <w:tcW w:w="900" w:type="dxa"/>
          </w:tcPr>
          <w:p w:rsidR="00A131AD" w:rsidRPr="00081B73" w:rsidRDefault="00A131AD" w:rsidP="000C0138">
            <w:pPr>
              <w:tabs>
                <w:tab w:val="left" w:pos="300"/>
              </w:tabs>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8,5</w:t>
            </w:r>
          </w:p>
        </w:tc>
        <w:tc>
          <w:tcPr>
            <w:tcW w:w="488"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4</w:t>
            </w:r>
          </w:p>
        </w:tc>
        <w:tc>
          <w:tcPr>
            <w:tcW w:w="2385"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Esencijalna/primarna/hipertenzija (I10)</w:t>
            </w:r>
          </w:p>
        </w:tc>
        <w:tc>
          <w:tcPr>
            <w:tcW w:w="766"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139</w:t>
            </w:r>
          </w:p>
        </w:tc>
        <w:tc>
          <w:tcPr>
            <w:tcW w:w="1041"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6,3</w:t>
            </w:r>
          </w:p>
        </w:tc>
      </w:tr>
      <w:tr w:rsidR="00A131AD" w:rsidRPr="00081B73" w:rsidTr="001911A6">
        <w:tc>
          <w:tcPr>
            <w:tcW w:w="488" w:type="dxa"/>
          </w:tcPr>
          <w:p w:rsidR="00A131AD" w:rsidRPr="00081B73" w:rsidRDefault="00A131AD" w:rsidP="000C0138">
            <w:pPr>
              <w:spacing w:line="276" w:lineRule="auto"/>
              <w:ind w:right="-170"/>
              <w:jc w:val="center"/>
              <w:rPr>
                <w:rFonts w:ascii="Times New Roman" w:hAnsi="Times New Roman"/>
                <w:sz w:val="20"/>
                <w:szCs w:val="20"/>
                <w:lang w:val="bs-Latn-BA"/>
              </w:rPr>
            </w:pPr>
            <w:r w:rsidRPr="00081B73">
              <w:rPr>
                <w:rFonts w:ascii="Times New Roman" w:hAnsi="Times New Roman"/>
                <w:sz w:val="20"/>
                <w:szCs w:val="20"/>
                <w:lang w:val="bs-Latn-BA"/>
              </w:rPr>
              <w:t>5</w:t>
            </w:r>
          </w:p>
        </w:tc>
        <w:tc>
          <w:tcPr>
            <w:tcW w:w="2500" w:type="dxa"/>
          </w:tcPr>
          <w:p w:rsidR="00A131AD" w:rsidRPr="00081B73" w:rsidRDefault="00CB5BF5" w:rsidP="000C0138">
            <w:pPr>
              <w:spacing w:line="276" w:lineRule="auto"/>
              <w:rPr>
                <w:rFonts w:ascii="Times New Roman" w:hAnsi="Times New Roman"/>
                <w:sz w:val="20"/>
                <w:szCs w:val="20"/>
                <w:lang w:val="bs-Latn-BA"/>
              </w:rPr>
            </w:pPr>
            <w:r>
              <w:rPr>
                <w:rFonts w:ascii="Times New Roman" w:hAnsi="Times New Roman"/>
                <w:sz w:val="20"/>
                <w:szCs w:val="20"/>
                <w:lang w:val="bs-Latn-BA"/>
              </w:rPr>
              <w:t>K</w:t>
            </w:r>
            <w:r w:rsidR="00A131AD" w:rsidRPr="00081B73">
              <w:rPr>
                <w:rFonts w:ascii="Times New Roman" w:hAnsi="Times New Roman"/>
                <w:sz w:val="20"/>
                <w:szCs w:val="20"/>
                <w:lang w:val="bs-Latn-BA"/>
              </w:rPr>
              <w:t xml:space="preserve">ronična ishemična oboljenja srca </w:t>
            </w:r>
            <w:r w:rsidR="00A131AD" w:rsidRPr="00081B73">
              <w:rPr>
                <w:rFonts w:ascii="Times New Roman" w:hAnsi="Times New Roman"/>
                <w:sz w:val="20"/>
                <w:szCs w:val="20"/>
              </w:rPr>
              <w:t>(I25)</w:t>
            </w:r>
          </w:p>
        </w:tc>
        <w:tc>
          <w:tcPr>
            <w:tcW w:w="72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99</w:t>
            </w:r>
          </w:p>
        </w:tc>
        <w:tc>
          <w:tcPr>
            <w:tcW w:w="90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4,7</w:t>
            </w:r>
          </w:p>
        </w:tc>
        <w:tc>
          <w:tcPr>
            <w:tcW w:w="488"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5</w:t>
            </w:r>
          </w:p>
        </w:tc>
        <w:tc>
          <w:tcPr>
            <w:tcW w:w="2385" w:type="dxa"/>
            <w:vAlign w:val="bottom"/>
          </w:tcPr>
          <w:p w:rsidR="00A131AD" w:rsidRPr="00081B73" w:rsidRDefault="00A131AD" w:rsidP="000C0138">
            <w:pPr>
              <w:spacing w:line="276" w:lineRule="auto"/>
              <w:jc w:val="left"/>
              <w:rPr>
                <w:rFonts w:ascii="Times New Roman" w:hAnsi="Times New Roman"/>
                <w:sz w:val="20"/>
                <w:szCs w:val="20"/>
                <w:lang w:val="en-US"/>
              </w:rPr>
            </w:pPr>
            <w:r w:rsidRPr="00081B73">
              <w:rPr>
                <w:rFonts w:ascii="Times New Roman" w:hAnsi="Times New Roman"/>
                <w:sz w:val="20"/>
                <w:szCs w:val="20"/>
                <w:lang w:val="bs-Latn-BA"/>
              </w:rPr>
              <w:t xml:space="preserve">Arteroskleroza </w:t>
            </w:r>
            <w:r w:rsidRPr="00081B73">
              <w:rPr>
                <w:rFonts w:ascii="Times New Roman" w:hAnsi="Times New Roman"/>
                <w:sz w:val="20"/>
                <w:szCs w:val="20"/>
              </w:rPr>
              <w:t>(I70)</w:t>
            </w:r>
          </w:p>
        </w:tc>
        <w:tc>
          <w:tcPr>
            <w:tcW w:w="766"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89</w:t>
            </w:r>
          </w:p>
        </w:tc>
        <w:tc>
          <w:tcPr>
            <w:tcW w:w="1041"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4,1</w:t>
            </w:r>
          </w:p>
        </w:tc>
      </w:tr>
      <w:tr w:rsidR="00A131AD" w:rsidRPr="00081B73" w:rsidTr="001911A6">
        <w:tc>
          <w:tcPr>
            <w:tcW w:w="488" w:type="dxa"/>
          </w:tcPr>
          <w:p w:rsidR="00A131AD" w:rsidRPr="00081B73" w:rsidRDefault="00A131AD" w:rsidP="000C0138">
            <w:pPr>
              <w:spacing w:line="276" w:lineRule="auto"/>
              <w:ind w:right="-108"/>
              <w:jc w:val="center"/>
              <w:rPr>
                <w:rFonts w:ascii="Times New Roman" w:hAnsi="Times New Roman"/>
                <w:sz w:val="20"/>
                <w:szCs w:val="20"/>
                <w:lang w:val="bs-Latn-BA"/>
              </w:rPr>
            </w:pPr>
          </w:p>
        </w:tc>
        <w:tc>
          <w:tcPr>
            <w:tcW w:w="2500"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Ostali uzroci smrti</w:t>
            </w:r>
          </w:p>
        </w:tc>
        <w:tc>
          <w:tcPr>
            <w:tcW w:w="72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990</w:t>
            </w:r>
          </w:p>
        </w:tc>
        <w:tc>
          <w:tcPr>
            <w:tcW w:w="90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46,5</w:t>
            </w:r>
          </w:p>
        </w:tc>
        <w:tc>
          <w:tcPr>
            <w:tcW w:w="488" w:type="dxa"/>
          </w:tcPr>
          <w:p w:rsidR="00A131AD" w:rsidRPr="00081B73" w:rsidRDefault="00A131AD" w:rsidP="000C0138">
            <w:pPr>
              <w:spacing w:line="276" w:lineRule="auto"/>
              <w:ind w:right="-108"/>
              <w:jc w:val="center"/>
              <w:rPr>
                <w:rFonts w:ascii="Times New Roman" w:hAnsi="Times New Roman"/>
                <w:sz w:val="20"/>
                <w:szCs w:val="20"/>
                <w:lang w:val="bs-Latn-BA"/>
              </w:rPr>
            </w:pPr>
          </w:p>
        </w:tc>
        <w:tc>
          <w:tcPr>
            <w:tcW w:w="2385"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rPr>
              <w:t>Ostali uzroci smrti</w:t>
            </w:r>
          </w:p>
        </w:tc>
        <w:tc>
          <w:tcPr>
            <w:tcW w:w="766" w:type="dxa"/>
            <w:vAlign w:val="bottom"/>
          </w:tcPr>
          <w:p w:rsidR="00A131AD" w:rsidRPr="00081B73" w:rsidRDefault="00A131AD" w:rsidP="000C0138">
            <w:pPr>
              <w:spacing w:line="276" w:lineRule="auto"/>
              <w:jc w:val="right"/>
              <w:rPr>
                <w:rFonts w:ascii="Times New Roman" w:hAnsi="Times New Roman"/>
                <w:sz w:val="20"/>
                <w:szCs w:val="20"/>
              </w:rPr>
            </w:pPr>
            <w:r w:rsidRPr="00081B73">
              <w:rPr>
                <w:rFonts w:ascii="Times New Roman" w:hAnsi="Times New Roman"/>
                <w:sz w:val="20"/>
                <w:szCs w:val="20"/>
              </w:rPr>
              <w:t>1003</w:t>
            </w:r>
          </w:p>
        </w:tc>
        <w:tc>
          <w:tcPr>
            <w:tcW w:w="1041" w:type="dxa"/>
            <w:vAlign w:val="bottom"/>
          </w:tcPr>
          <w:p w:rsidR="00A131AD" w:rsidRPr="00081B73" w:rsidRDefault="00A131AD" w:rsidP="000C0138">
            <w:pPr>
              <w:spacing w:line="276" w:lineRule="auto"/>
              <w:jc w:val="right"/>
              <w:rPr>
                <w:rFonts w:ascii="Times New Roman" w:hAnsi="Times New Roman"/>
                <w:sz w:val="20"/>
                <w:szCs w:val="20"/>
              </w:rPr>
            </w:pPr>
            <w:r w:rsidRPr="00081B73">
              <w:rPr>
                <w:rFonts w:ascii="Times New Roman" w:hAnsi="Times New Roman"/>
                <w:sz w:val="20"/>
                <w:szCs w:val="20"/>
              </w:rPr>
              <w:t>45,7</w:t>
            </w:r>
          </w:p>
        </w:tc>
      </w:tr>
      <w:tr w:rsidR="00A131AD" w:rsidRPr="00081B73" w:rsidTr="001911A6">
        <w:tc>
          <w:tcPr>
            <w:tcW w:w="488" w:type="dxa"/>
          </w:tcPr>
          <w:p w:rsidR="00A131AD" w:rsidRPr="00081B73" w:rsidRDefault="00A131AD" w:rsidP="000C0138">
            <w:pPr>
              <w:spacing w:line="276" w:lineRule="auto"/>
              <w:ind w:right="-108"/>
              <w:jc w:val="center"/>
              <w:rPr>
                <w:rFonts w:ascii="Times New Roman" w:hAnsi="Times New Roman"/>
                <w:sz w:val="20"/>
                <w:szCs w:val="20"/>
                <w:lang w:val="bs-Latn-BA"/>
              </w:rPr>
            </w:pPr>
          </w:p>
        </w:tc>
        <w:tc>
          <w:tcPr>
            <w:tcW w:w="2500"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Ukupno umrlih</w:t>
            </w:r>
          </w:p>
        </w:tc>
        <w:tc>
          <w:tcPr>
            <w:tcW w:w="72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2129</w:t>
            </w:r>
          </w:p>
        </w:tc>
        <w:tc>
          <w:tcPr>
            <w:tcW w:w="90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100%</w:t>
            </w:r>
          </w:p>
        </w:tc>
        <w:tc>
          <w:tcPr>
            <w:tcW w:w="488" w:type="dxa"/>
          </w:tcPr>
          <w:p w:rsidR="00A131AD" w:rsidRPr="00081B73" w:rsidRDefault="00A131AD" w:rsidP="000C0138">
            <w:pPr>
              <w:spacing w:line="276" w:lineRule="auto"/>
              <w:ind w:right="-108"/>
              <w:jc w:val="center"/>
              <w:rPr>
                <w:rFonts w:ascii="Times New Roman" w:hAnsi="Times New Roman"/>
                <w:sz w:val="20"/>
                <w:szCs w:val="20"/>
                <w:lang w:val="bs-Latn-BA"/>
              </w:rPr>
            </w:pPr>
          </w:p>
        </w:tc>
        <w:tc>
          <w:tcPr>
            <w:tcW w:w="2385"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Ukupno umrlih</w:t>
            </w:r>
          </w:p>
        </w:tc>
        <w:tc>
          <w:tcPr>
            <w:tcW w:w="766" w:type="dxa"/>
            <w:vAlign w:val="bottom"/>
          </w:tcPr>
          <w:p w:rsidR="00A131AD" w:rsidRPr="00081B73" w:rsidRDefault="00A131AD" w:rsidP="000C0138">
            <w:pPr>
              <w:spacing w:line="276" w:lineRule="auto"/>
              <w:jc w:val="right"/>
              <w:rPr>
                <w:rFonts w:ascii="Times New Roman" w:hAnsi="Times New Roman"/>
                <w:sz w:val="20"/>
                <w:szCs w:val="20"/>
              </w:rPr>
            </w:pPr>
            <w:r w:rsidRPr="00081B73">
              <w:rPr>
                <w:rFonts w:ascii="Times New Roman" w:hAnsi="Times New Roman"/>
                <w:sz w:val="20"/>
                <w:szCs w:val="20"/>
              </w:rPr>
              <w:t>2197</w:t>
            </w:r>
          </w:p>
        </w:tc>
        <w:tc>
          <w:tcPr>
            <w:tcW w:w="1041" w:type="dxa"/>
            <w:vAlign w:val="bottom"/>
          </w:tcPr>
          <w:p w:rsidR="00A131AD" w:rsidRPr="00081B73" w:rsidRDefault="00A131AD" w:rsidP="000C0138">
            <w:pPr>
              <w:spacing w:line="276" w:lineRule="auto"/>
              <w:jc w:val="right"/>
              <w:rPr>
                <w:rFonts w:ascii="Times New Roman" w:hAnsi="Times New Roman"/>
                <w:sz w:val="20"/>
                <w:szCs w:val="20"/>
              </w:rPr>
            </w:pPr>
            <w:r w:rsidRPr="00081B73">
              <w:rPr>
                <w:rFonts w:ascii="Times New Roman" w:hAnsi="Times New Roman"/>
                <w:sz w:val="20"/>
                <w:szCs w:val="20"/>
              </w:rPr>
              <w:t>100%</w:t>
            </w:r>
          </w:p>
        </w:tc>
      </w:tr>
    </w:tbl>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 Poda</w:t>
      </w:r>
      <w:r w:rsidR="0075437E">
        <w:rPr>
          <w:rFonts w:ascii="Times New Roman" w:hAnsi="Times New Roman"/>
          <w:sz w:val="20"/>
          <w:szCs w:val="20"/>
          <w:lang w:val="bs-Latn-BA"/>
        </w:rPr>
        <w:t>t</w:t>
      </w:r>
      <w:r w:rsidRPr="00081B73">
        <w:rPr>
          <w:rFonts w:ascii="Times New Roman" w:hAnsi="Times New Roman"/>
          <w:sz w:val="20"/>
          <w:szCs w:val="20"/>
          <w:lang w:val="bs-Latn-BA"/>
        </w:rPr>
        <w:t>ci Federalnog zavoda za statistiku-obrada uzroka smrti FBiH 2015. god.</w:t>
      </w:r>
    </w:p>
    <w:p w:rsidR="00081B73" w:rsidRDefault="00081B73">
      <w:pPr>
        <w:spacing w:after="160" w:line="259" w:lineRule="auto"/>
        <w:jc w:val="left"/>
        <w:rPr>
          <w:rFonts w:ascii="Times New Roman" w:hAnsi="Times New Roman"/>
          <w:sz w:val="20"/>
          <w:szCs w:val="20"/>
          <w:lang w:val="bs-Latn-BA"/>
        </w:rPr>
      </w:pPr>
      <w:r>
        <w:rPr>
          <w:lang w:val="bs-Latn-BA"/>
        </w:rPr>
        <w:br w:type="page"/>
      </w:r>
    </w:p>
    <w:p w:rsidR="00A131AD" w:rsidRPr="00081B73" w:rsidRDefault="00A131AD" w:rsidP="00CF03C8">
      <w:pPr>
        <w:pStyle w:val="refererere"/>
        <w:rPr>
          <w:lang w:val="bs-Latn-BA"/>
        </w:rPr>
      </w:pPr>
      <w:r w:rsidRPr="00081B73">
        <w:rPr>
          <w:lang w:val="bs-Latn-BA"/>
        </w:rPr>
        <w:lastRenderedPageBreak/>
        <w:t>Tabl</w:t>
      </w:r>
      <w:r w:rsidR="00CB5BF5">
        <w:rPr>
          <w:lang w:val="bs-Latn-BA"/>
        </w:rPr>
        <w:t>ic</w:t>
      </w:r>
      <w:r w:rsidRPr="00081B73">
        <w:rPr>
          <w:lang w:val="bs-Latn-BA"/>
        </w:rPr>
        <w:t>a 4: Vodeće zarazne bolesti za 2010 i  2015. godinu</w:t>
      </w:r>
    </w:p>
    <w:p w:rsidR="00CD511A" w:rsidRPr="00081B73" w:rsidRDefault="00CD511A" w:rsidP="00CF03C8">
      <w:pPr>
        <w:pStyle w:val="refererere"/>
        <w:rPr>
          <w:lang w:val="bs-Latn-BA"/>
        </w:rPr>
      </w:pPr>
    </w:p>
    <w:tbl>
      <w:tblPr>
        <w:tblW w:w="92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8"/>
        <w:gridCol w:w="2079"/>
        <w:gridCol w:w="981"/>
        <w:gridCol w:w="1015"/>
        <w:gridCol w:w="540"/>
        <w:gridCol w:w="2037"/>
        <w:gridCol w:w="1023"/>
        <w:gridCol w:w="1129"/>
      </w:tblGrid>
      <w:tr w:rsidR="00A131AD" w:rsidRPr="00081B73" w:rsidTr="001911A6">
        <w:trPr>
          <w:trHeight w:val="380"/>
          <w:jc w:val="center"/>
        </w:trPr>
        <w:tc>
          <w:tcPr>
            <w:tcW w:w="4543" w:type="dxa"/>
            <w:gridSpan w:val="4"/>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2010.</w:t>
            </w:r>
          </w:p>
        </w:tc>
        <w:tc>
          <w:tcPr>
            <w:tcW w:w="4729" w:type="dxa"/>
            <w:gridSpan w:val="4"/>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2015.</w:t>
            </w:r>
          </w:p>
        </w:tc>
      </w:tr>
      <w:tr w:rsidR="00A131AD" w:rsidRPr="00081B73" w:rsidTr="00CF03C8">
        <w:trPr>
          <w:cantSplit/>
          <w:trHeight w:val="516"/>
          <w:jc w:val="center"/>
        </w:trPr>
        <w:tc>
          <w:tcPr>
            <w:tcW w:w="468" w:type="dxa"/>
            <w:shd w:val="clear" w:color="auto" w:fill="FFFF00"/>
            <w:textDirection w:val="btLr"/>
          </w:tcPr>
          <w:p w:rsidR="00A131AD" w:rsidRPr="00081B73" w:rsidRDefault="00A131AD" w:rsidP="000C0138">
            <w:pPr>
              <w:autoSpaceDE w:val="0"/>
              <w:autoSpaceDN w:val="0"/>
              <w:adjustRightInd w:val="0"/>
              <w:spacing w:line="276" w:lineRule="auto"/>
              <w:ind w:left="113" w:right="113"/>
              <w:rPr>
                <w:rFonts w:ascii="Times New Roman" w:hAnsi="Times New Roman"/>
                <w:color w:val="000000"/>
                <w:sz w:val="20"/>
                <w:szCs w:val="20"/>
                <w:lang w:val="bs-Latn-BA"/>
              </w:rPr>
            </w:pPr>
            <w:r w:rsidRPr="00081B73">
              <w:rPr>
                <w:rFonts w:ascii="Times New Roman" w:hAnsi="Times New Roman"/>
                <w:color w:val="000000"/>
                <w:sz w:val="20"/>
                <w:szCs w:val="20"/>
                <w:lang w:val="bs-Latn-BA"/>
              </w:rPr>
              <w:t>Rang</w:t>
            </w:r>
          </w:p>
        </w:tc>
        <w:tc>
          <w:tcPr>
            <w:tcW w:w="2079"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Bolest / stanje</w:t>
            </w:r>
          </w:p>
        </w:tc>
        <w:tc>
          <w:tcPr>
            <w:tcW w:w="981"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sz w:val="20"/>
                <w:szCs w:val="20"/>
                <w:lang w:val="bs-Latn-BA"/>
              </w:rPr>
              <w:t>Broj registriranih</w:t>
            </w:r>
          </w:p>
        </w:tc>
        <w:tc>
          <w:tcPr>
            <w:tcW w:w="1015"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Mb/</w:t>
            </w:r>
          </w:p>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100000</w:t>
            </w:r>
          </w:p>
        </w:tc>
        <w:tc>
          <w:tcPr>
            <w:tcW w:w="540" w:type="dxa"/>
            <w:shd w:val="clear" w:color="auto" w:fill="FFFF00"/>
            <w:textDirection w:val="btLr"/>
          </w:tcPr>
          <w:p w:rsidR="00A131AD" w:rsidRPr="00081B73" w:rsidRDefault="00A131AD" w:rsidP="000C0138">
            <w:pPr>
              <w:autoSpaceDE w:val="0"/>
              <w:autoSpaceDN w:val="0"/>
              <w:adjustRightInd w:val="0"/>
              <w:spacing w:line="276" w:lineRule="auto"/>
              <w:ind w:left="113" w:right="113"/>
              <w:rPr>
                <w:rFonts w:ascii="Times New Roman" w:hAnsi="Times New Roman"/>
                <w:color w:val="000000"/>
                <w:sz w:val="20"/>
                <w:szCs w:val="20"/>
                <w:lang w:val="bs-Latn-BA"/>
              </w:rPr>
            </w:pPr>
            <w:r w:rsidRPr="00081B73">
              <w:rPr>
                <w:rFonts w:ascii="Times New Roman" w:hAnsi="Times New Roman"/>
                <w:color w:val="000000"/>
                <w:sz w:val="20"/>
                <w:szCs w:val="20"/>
                <w:lang w:val="bs-Latn-BA"/>
              </w:rPr>
              <w:t>Rang</w:t>
            </w:r>
          </w:p>
        </w:tc>
        <w:tc>
          <w:tcPr>
            <w:tcW w:w="2037"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Bolest / stanje</w:t>
            </w:r>
          </w:p>
        </w:tc>
        <w:tc>
          <w:tcPr>
            <w:tcW w:w="1023"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sz w:val="20"/>
                <w:szCs w:val="20"/>
                <w:lang w:val="bs-Latn-BA"/>
              </w:rPr>
              <w:t>Broj registriranih</w:t>
            </w:r>
          </w:p>
        </w:tc>
        <w:tc>
          <w:tcPr>
            <w:tcW w:w="1129"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Mb/</w:t>
            </w:r>
          </w:p>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100000</w:t>
            </w:r>
          </w:p>
        </w:tc>
      </w:tr>
      <w:tr w:rsidR="00A131AD" w:rsidRPr="00081B73" w:rsidTr="00CF03C8">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1</w:t>
            </w:r>
          </w:p>
        </w:tc>
        <w:tc>
          <w:tcPr>
            <w:tcW w:w="2079"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Varicellae</w:t>
            </w:r>
          </w:p>
        </w:tc>
        <w:tc>
          <w:tcPr>
            <w:tcW w:w="981"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797</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276,86</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w:t>
            </w:r>
          </w:p>
        </w:tc>
        <w:tc>
          <w:tcPr>
            <w:tcW w:w="2037" w:type="dxa"/>
            <w:vAlign w:val="center"/>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Ili/gripa</w:t>
            </w:r>
          </w:p>
        </w:tc>
        <w:tc>
          <w:tcPr>
            <w:tcW w:w="1023" w:type="dxa"/>
            <w:vAlign w:val="center"/>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3322</w:t>
            </w:r>
          </w:p>
        </w:tc>
        <w:tc>
          <w:tcPr>
            <w:tcW w:w="1129" w:type="dxa"/>
            <w:vAlign w:val="center"/>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1157,37</w:t>
            </w:r>
          </w:p>
        </w:tc>
      </w:tr>
      <w:tr w:rsidR="00A131AD" w:rsidRPr="00081B73" w:rsidTr="00CF03C8">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2</w:t>
            </w:r>
          </w:p>
        </w:tc>
        <w:tc>
          <w:tcPr>
            <w:tcW w:w="2079"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Enterocol.ac</w:t>
            </w:r>
          </w:p>
        </w:tc>
        <w:tc>
          <w:tcPr>
            <w:tcW w:w="981"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409</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142,08</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2</w:t>
            </w:r>
          </w:p>
        </w:tc>
        <w:tc>
          <w:tcPr>
            <w:tcW w:w="2037" w:type="dxa"/>
            <w:vAlign w:val="center"/>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Varicellae</w:t>
            </w:r>
          </w:p>
        </w:tc>
        <w:tc>
          <w:tcPr>
            <w:tcW w:w="1023" w:type="dxa"/>
            <w:vAlign w:val="center"/>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926</w:t>
            </w:r>
          </w:p>
        </w:tc>
        <w:tc>
          <w:tcPr>
            <w:tcW w:w="1129" w:type="dxa"/>
            <w:vAlign w:val="center"/>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322,61</w:t>
            </w:r>
          </w:p>
        </w:tc>
      </w:tr>
      <w:tr w:rsidR="00A131AD" w:rsidRPr="00081B73" w:rsidTr="00CF03C8">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3</w:t>
            </w:r>
          </w:p>
        </w:tc>
        <w:tc>
          <w:tcPr>
            <w:tcW w:w="2079"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TBC activa resp</w:t>
            </w:r>
          </w:p>
        </w:tc>
        <w:tc>
          <w:tcPr>
            <w:tcW w:w="981"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150</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51,11</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3</w:t>
            </w:r>
          </w:p>
        </w:tc>
        <w:tc>
          <w:tcPr>
            <w:tcW w:w="2037" w:type="dxa"/>
            <w:vAlign w:val="center"/>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Enterocolitis acuta</w:t>
            </w:r>
          </w:p>
        </w:tc>
        <w:tc>
          <w:tcPr>
            <w:tcW w:w="1023" w:type="dxa"/>
            <w:vAlign w:val="center"/>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477</w:t>
            </w:r>
          </w:p>
        </w:tc>
        <w:tc>
          <w:tcPr>
            <w:tcW w:w="1129" w:type="dxa"/>
            <w:vAlign w:val="center"/>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166,18</w:t>
            </w:r>
          </w:p>
        </w:tc>
      </w:tr>
      <w:tr w:rsidR="00A131AD" w:rsidRPr="00081B73" w:rsidTr="00CF03C8">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4</w:t>
            </w:r>
          </w:p>
        </w:tc>
        <w:tc>
          <w:tcPr>
            <w:tcW w:w="2079"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Herpes zoster</w:t>
            </w:r>
          </w:p>
        </w:tc>
        <w:tc>
          <w:tcPr>
            <w:tcW w:w="981"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68</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23,62</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4</w:t>
            </w:r>
          </w:p>
        </w:tc>
        <w:tc>
          <w:tcPr>
            <w:tcW w:w="2037" w:type="dxa"/>
            <w:vAlign w:val="center"/>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Scabies</w:t>
            </w:r>
          </w:p>
        </w:tc>
        <w:tc>
          <w:tcPr>
            <w:tcW w:w="1023" w:type="dxa"/>
            <w:vAlign w:val="center"/>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130</w:t>
            </w:r>
          </w:p>
        </w:tc>
        <w:tc>
          <w:tcPr>
            <w:tcW w:w="1129" w:type="dxa"/>
            <w:vAlign w:val="center"/>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45,29</w:t>
            </w:r>
          </w:p>
        </w:tc>
      </w:tr>
      <w:tr w:rsidR="00A131AD" w:rsidRPr="00081B73" w:rsidTr="00CF03C8">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5</w:t>
            </w:r>
          </w:p>
        </w:tc>
        <w:tc>
          <w:tcPr>
            <w:tcW w:w="2079"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Influenza</w:t>
            </w:r>
          </w:p>
        </w:tc>
        <w:tc>
          <w:tcPr>
            <w:tcW w:w="981"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67</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23,27</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5</w:t>
            </w:r>
          </w:p>
        </w:tc>
        <w:tc>
          <w:tcPr>
            <w:tcW w:w="2037" w:type="dxa"/>
            <w:vAlign w:val="center"/>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Morbilli</w:t>
            </w:r>
          </w:p>
        </w:tc>
        <w:tc>
          <w:tcPr>
            <w:tcW w:w="1023" w:type="dxa"/>
            <w:vAlign w:val="center"/>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125</w:t>
            </w:r>
          </w:p>
        </w:tc>
        <w:tc>
          <w:tcPr>
            <w:tcW w:w="1129" w:type="dxa"/>
            <w:vAlign w:val="center"/>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43,55</w:t>
            </w:r>
          </w:p>
        </w:tc>
      </w:tr>
      <w:tr w:rsidR="00A131AD" w:rsidRPr="00081B73" w:rsidTr="00CF03C8">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p>
        </w:tc>
        <w:tc>
          <w:tcPr>
            <w:tcW w:w="2079" w:type="dxa"/>
            <w:vAlign w:val="center"/>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Ukupno 5 vodećih</w:t>
            </w:r>
          </w:p>
        </w:tc>
        <w:tc>
          <w:tcPr>
            <w:tcW w:w="981"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1491</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517,94</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p>
        </w:tc>
        <w:tc>
          <w:tcPr>
            <w:tcW w:w="2037" w:type="dxa"/>
            <w:vAlign w:val="center"/>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Ukupno 5 vodećih</w:t>
            </w:r>
          </w:p>
        </w:tc>
        <w:tc>
          <w:tcPr>
            <w:tcW w:w="1023" w:type="dxa"/>
            <w:vAlign w:val="center"/>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4980</w:t>
            </w:r>
          </w:p>
        </w:tc>
        <w:tc>
          <w:tcPr>
            <w:tcW w:w="1129" w:type="dxa"/>
            <w:vAlign w:val="center"/>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1735,0</w:t>
            </w:r>
          </w:p>
        </w:tc>
      </w:tr>
      <w:tr w:rsidR="00A131AD" w:rsidRPr="00081B73" w:rsidTr="00CF03C8">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p>
        </w:tc>
        <w:tc>
          <w:tcPr>
            <w:tcW w:w="2079" w:type="dxa"/>
            <w:vAlign w:val="center"/>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Ukupno prijavljeno</w:t>
            </w:r>
          </w:p>
        </w:tc>
        <w:tc>
          <w:tcPr>
            <w:tcW w:w="981"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1781</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618,68</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p>
        </w:tc>
        <w:tc>
          <w:tcPr>
            <w:tcW w:w="2037" w:type="dxa"/>
            <w:vAlign w:val="center"/>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Ukupno prijavljeno</w:t>
            </w:r>
          </w:p>
        </w:tc>
        <w:tc>
          <w:tcPr>
            <w:tcW w:w="1023" w:type="dxa"/>
            <w:vAlign w:val="center"/>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5294</w:t>
            </w:r>
          </w:p>
        </w:tc>
        <w:tc>
          <w:tcPr>
            <w:tcW w:w="1129" w:type="dxa"/>
            <w:vAlign w:val="center"/>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1873,67</w:t>
            </w:r>
          </w:p>
        </w:tc>
      </w:tr>
    </w:tbl>
    <w:p w:rsidR="00A131AD" w:rsidRPr="00081B73" w:rsidRDefault="00A131AD" w:rsidP="000C0138">
      <w:pPr>
        <w:spacing w:line="276" w:lineRule="auto"/>
        <w:rPr>
          <w:rFonts w:ascii="Times New Roman" w:hAnsi="Times New Roman"/>
          <w:sz w:val="20"/>
          <w:szCs w:val="20"/>
          <w:lang w:val="bs-Latn-BA"/>
        </w:rPr>
      </w:pPr>
    </w:p>
    <w:p w:rsidR="00A131AD" w:rsidRPr="00081B73" w:rsidRDefault="00A131AD" w:rsidP="00CF03C8">
      <w:pPr>
        <w:pStyle w:val="refererere"/>
        <w:rPr>
          <w:lang w:val="bs-Latn-BA"/>
        </w:rPr>
      </w:pPr>
      <w:r w:rsidRPr="00081B73">
        <w:rPr>
          <w:lang w:val="bs-Latn-BA"/>
        </w:rPr>
        <w:t>Tabl</w:t>
      </w:r>
      <w:r w:rsidR="00CB5BF5">
        <w:rPr>
          <w:lang w:val="bs-Latn-BA"/>
        </w:rPr>
        <w:t>ic</w:t>
      </w:r>
      <w:r w:rsidRPr="00081B73">
        <w:rPr>
          <w:lang w:val="bs-Latn-BA"/>
        </w:rPr>
        <w:t>a 5: Prevalenc</w:t>
      </w:r>
      <w:r w:rsidR="00CB5BF5">
        <w:rPr>
          <w:lang w:val="bs-Latn-BA"/>
        </w:rPr>
        <w:t>ij</w:t>
      </w:r>
      <w:r w:rsidRPr="00081B73">
        <w:rPr>
          <w:lang w:val="bs-Latn-BA"/>
        </w:rPr>
        <w:t>a nezaraznih bolesti za 2010 i  2015. godinu</w:t>
      </w:r>
      <w:r w:rsidRPr="00081B73">
        <w:rPr>
          <w:lang w:val="bs-Latn-BA"/>
        </w:rPr>
        <w:tab/>
      </w:r>
    </w:p>
    <w:tbl>
      <w:tblPr>
        <w:tblW w:w="89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08"/>
        <w:gridCol w:w="2389"/>
        <w:gridCol w:w="1980"/>
      </w:tblGrid>
      <w:tr w:rsidR="00A131AD" w:rsidRPr="00081B73" w:rsidTr="001911A6">
        <w:trPr>
          <w:cantSplit/>
          <w:trHeight w:val="405"/>
        </w:trPr>
        <w:tc>
          <w:tcPr>
            <w:tcW w:w="4608" w:type="dxa"/>
            <w:vMerge w:val="restart"/>
            <w:shd w:val="clear" w:color="auto" w:fill="FFFF00"/>
            <w:vAlign w:val="center"/>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Bolest</w:t>
            </w:r>
          </w:p>
        </w:tc>
        <w:tc>
          <w:tcPr>
            <w:tcW w:w="2389"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2010.</w:t>
            </w:r>
          </w:p>
        </w:tc>
        <w:tc>
          <w:tcPr>
            <w:tcW w:w="1980"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2015.</w:t>
            </w:r>
          </w:p>
        </w:tc>
      </w:tr>
      <w:tr w:rsidR="00A131AD" w:rsidRPr="00081B73" w:rsidTr="001911A6">
        <w:trPr>
          <w:cantSplit/>
          <w:trHeight w:val="345"/>
        </w:trPr>
        <w:tc>
          <w:tcPr>
            <w:tcW w:w="4608" w:type="dxa"/>
            <w:vMerge/>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p>
        </w:tc>
        <w:tc>
          <w:tcPr>
            <w:tcW w:w="2389"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Morbiditet</w:t>
            </w:r>
            <w:r w:rsidRPr="00081B73">
              <w:rPr>
                <w:rFonts w:ascii="Times New Roman" w:hAnsi="Times New Roman"/>
                <w:bCs/>
                <w:sz w:val="20"/>
                <w:szCs w:val="20"/>
                <w:lang w:val="bs-Latn-BA"/>
              </w:rPr>
              <w:br/>
              <w:t>/10.000</w:t>
            </w:r>
          </w:p>
        </w:tc>
        <w:tc>
          <w:tcPr>
            <w:tcW w:w="1980"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Morbiditet</w:t>
            </w:r>
            <w:r w:rsidRPr="00081B73">
              <w:rPr>
                <w:rFonts w:ascii="Times New Roman" w:hAnsi="Times New Roman"/>
                <w:bCs/>
                <w:sz w:val="20"/>
                <w:szCs w:val="20"/>
                <w:lang w:val="bs-Latn-BA"/>
              </w:rPr>
              <w:br/>
              <w:t>/10.000</w:t>
            </w:r>
          </w:p>
        </w:tc>
      </w:tr>
      <w:tr w:rsidR="00A131AD" w:rsidRPr="00081B73" w:rsidTr="001911A6">
        <w:tc>
          <w:tcPr>
            <w:tcW w:w="460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Kardiovaskularne (I00-I99)</w:t>
            </w:r>
          </w:p>
        </w:tc>
        <w:tc>
          <w:tcPr>
            <w:tcW w:w="2389" w:type="dxa"/>
            <w:vAlign w:val="bottom"/>
          </w:tcPr>
          <w:p w:rsidR="00A131AD" w:rsidRPr="00081B73" w:rsidRDefault="00A131AD" w:rsidP="000C0138">
            <w:pPr>
              <w:widowControl w:val="0"/>
              <w:autoSpaceDE w:val="0"/>
              <w:autoSpaceDN w:val="0"/>
              <w:adjustRightInd w:val="0"/>
              <w:spacing w:line="276" w:lineRule="auto"/>
              <w:ind w:right="10"/>
              <w:jc w:val="right"/>
              <w:rPr>
                <w:rFonts w:ascii="Times New Roman" w:hAnsi="Times New Roman"/>
                <w:sz w:val="20"/>
                <w:szCs w:val="20"/>
              </w:rPr>
            </w:pPr>
            <w:r w:rsidRPr="00081B73">
              <w:rPr>
                <w:rFonts w:ascii="Times New Roman" w:hAnsi="Times New Roman"/>
                <w:w w:val="92"/>
                <w:sz w:val="20"/>
                <w:szCs w:val="20"/>
              </w:rPr>
              <w:t>1.134,7</w:t>
            </w:r>
          </w:p>
        </w:tc>
        <w:tc>
          <w:tcPr>
            <w:tcW w:w="198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1.303,5</w:t>
            </w:r>
          </w:p>
        </w:tc>
      </w:tr>
      <w:tr w:rsidR="00A131AD" w:rsidRPr="00081B73" w:rsidTr="001911A6">
        <w:tc>
          <w:tcPr>
            <w:tcW w:w="460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Maligne neoplazme (C00-C97)</w:t>
            </w:r>
          </w:p>
        </w:tc>
        <w:tc>
          <w:tcPr>
            <w:tcW w:w="2389" w:type="dxa"/>
            <w:vAlign w:val="bottom"/>
          </w:tcPr>
          <w:p w:rsidR="00A131AD" w:rsidRPr="00081B73" w:rsidRDefault="00A131AD" w:rsidP="000C0138">
            <w:pPr>
              <w:widowControl w:val="0"/>
              <w:autoSpaceDE w:val="0"/>
              <w:autoSpaceDN w:val="0"/>
              <w:adjustRightInd w:val="0"/>
              <w:spacing w:line="276" w:lineRule="auto"/>
              <w:ind w:right="10"/>
              <w:jc w:val="right"/>
              <w:rPr>
                <w:rFonts w:ascii="Times New Roman" w:hAnsi="Times New Roman"/>
                <w:sz w:val="20"/>
                <w:szCs w:val="20"/>
              </w:rPr>
            </w:pPr>
            <w:r w:rsidRPr="00081B73">
              <w:rPr>
                <w:rFonts w:ascii="Times New Roman" w:hAnsi="Times New Roman"/>
                <w:sz w:val="20"/>
                <w:szCs w:val="20"/>
              </w:rPr>
              <w:t>13,4</w:t>
            </w:r>
          </w:p>
        </w:tc>
        <w:tc>
          <w:tcPr>
            <w:tcW w:w="198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17,1</w:t>
            </w:r>
          </w:p>
        </w:tc>
      </w:tr>
      <w:tr w:rsidR="00A131AD" w:rsidRPr="00081B73" w:rsidTr="001911A6">
        <w:tc>
          <w:tcPr>
            <w:tcW w:w="460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Diabetes mellitus (E10-E14)</w:t>
            </w:r>
          </w:p>
        </w:tc>
        <w:tc>
          <w:tcPr>
            <w:tcW w:w="2389" w:type="dxa"/>
            <w:vAlign w:val="bottom"/>
          </w:tcPr>
          <w:p w:rsidR="00A131AD" w:rsidRPr="00081B73" w:rsidRDefault="00A131AD" w:rsidP="000C0138">
            <w:pPr>
              <w:widowControl w:val="0"/>
              <w:autoSpaceDE w:val="0"/>
              <w:autoSpaceDN w:val="0"/>
              <w:adjustRightInd w:val="0"/>
              <w:spacing w:line="276" w:lineRule="auto"/>
              <w:ind w:right="10"/>
              <w:jc w:val="right"/>
              <w:rPr>
                <w:rFonts w:ascii="Times New Roman" w:hAnsi="Times New Roman"/>
                <w:sz w:val="20"/>
                <w:szCs w:val="20"/>
              </w:rPr>
            </w:pPr>
            <w:r w:rsidRPr="00081B73">
              <w:rPr>
                <w:rFonts w:ascii="Times New Roman" w:hAnsi="Times New Roman"/>
                <w:sz w:val="20"/>
                <w:szCs w:val="20"/>
              </w:rPr>
              <w:t>152,4</w:t>
            </w:r>
          </w:p>
        </w:tc>
        <w:tc>
          <w:tcPr>
            <w:tcW w:w="198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172,8</w:t>
            </w:r>
          </w:p>
        </w:tc>
      </w:tr>
      <w:tr w:rsidR="00A131AD" w:rsidRPr="00081B73" w:rsidTr="001911A6">
        <w:tc>
          <w:tcPr>
            <w:tcW w:w="4608" w:type="dxa"/>
          </w:tcPr>
          <w:p w:rsidR="00A131AD" w:rsidRPr="00081B73" w:rsidRDefault="00CB5BF5" w:rsidP="000C0138">
            <w:pPr>
              <w:spacing w:line="276" w:lineRule="auto"/>
              <w:rPr>
                <w:rFonts w:ascii="Times New Roman" w:hAnsi="Times New Roman"/>
                <w:sz w:val="20"/>
                <w:szCs w:val="20"/>
                <w:lang w:val="bs-Latn-BA"/>
              </w:rPr>
            </w:pPr>
            <w:r>
              <w:rPr>
                <w:rFonts w:ascii="Times New Roman" w:hAnsi="Times New Roman"/>
                <w:sz w:val="20"/>
                <w:szCs w:val="20"/>
                <w:lang w:val="bs-Latn-BA"/>
              </w:rPr>
              <w:t>K</w:t>
            </w:r>
            <w:r w:rsidR="00A131AD" w:rsidRPr="00081B73">
              <w:rPr>
                <w:rFonts w:ascii="Times New Roman" w:hAnsi="Times New Roman"/>
                <w:sz w:val="20"/>
                <w:szCs w:val="20"/>
                <w:lang w:val="bs-Latn-BA"/>
              </w:rPr>
              <w:t>ronične plućne opstruktivne (J40-J46)</w:t>
            </w:r>
          </w:p>
        </w:tc>
        <w:tc>
          <w:tcPr>
            <w:tcW w:w="2389" w:type="dxa"/>
            <w:vAlign w:val="bottom"/>
          </w:tcPr>
          <w:p w:rsidR="00A131AD" w:rsidRPr="00081B73" w:rsidRDefault="00A131AD" w:rsidP="000C0138">
            <w:pPr>
              <w:widowControl w:val="0"/>
              <w:autoSpaceDE w:val="0"/>
              <w:autoSpaceDN w:val="0"/>
              <w:adjustRightInd w:val="0"/>
              <w:spacing w:line="276" w:lineRule="auto"/>
              <w:ind w:right="10"/>
              <w:jc w:val="right"/>
              <w:rPr>
                <w:rFonts w:ascii="Times New Roman" w:hAnsi="Times New Roman"/>
                <w:sz w:val="20"/>
                <w:szCs w:val="20"/>
              </w:rPr>
            </w:pPr>
            <w:r w:rsidRPr="00081B73">
              <w:rPr>
                <w:rFonts w:ascii="Times New Roman" w:hAnsi="Times New Roman"/>
                <w:sz w:val="20"/>
                <w:szCs w:val="20"/>
              </w:rPr>
              <w:t>117,3</w:t>
            </w:r>
          </w:p>
        </w:tc>
        <w:tc>
          <w:tcPr>
            <w:tcW w:w="1980" w:type="dxa"/>
          </w:tcPr>
          <w:p w:rsidR="00A131AD" w:rsidRPr="00081B73" w:rsidRDefault="00A131AD" w:rsidP="000C0138">
            <w:pPr>
              <w:tabs>
                <w:tab w:val="left" w:pos="390"/>
              </w:tabs>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176,0</w:t>
            </w:r>
          </w:p>
        </w:tc>
      </w:tr>
      <w:tr w:rsidR="00A131AD" w:rsidRPr="00081B73" w:rsidTr="001911A6">
        <w:tc>
          <w:tcPr>
            <w:tcW w:w="460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Mentalne (F00-F99)</w:t>
            </w:r>
          </w:p>
        </w:tc>
        <w:tc>
          <w:tcPr>
            <w:tcW w:w="2389" w:type="dxa"/>
            <w:vAlign w:val="bottom"/>
          </w:tcPr>
          <w:p w:rsidR="00A131AD" w:rsidRPr="00081B73" w:rsidRDefault="00A131AD" w:rsidP="000C0138">
            <w:pPr>
              <w:widowControl w:val="0"/>
              <w:autoSpaceDE w:val="0"/>
              <w:autoSpaceDN w:val="0"/>
              <w:adjustRightInd w:val="0"/>
              <w:spacing w:line="276" w:lineRule="auto"/>
              <w:ind w:right="10"/>
              <w:jc w:val="right"/>
              <w:rPr>
                <w:rFonts w:ascii="Times New Roman" w:hAnsi="Times New Roman"/>
                <w:sz w:val="20"/>
                <w:szCs w:val="20"/>
              </w:rPr>
            </w:pPr>
            <w:r w:rsidRPr="00081B73">
              <w:rPr>
                <w:rFonts w:ascii="Times New Roman" w:hAnsi="Times New Roman"/>
                <w:sz w:val="20"/>
                <w:szCs w:val="20"/>
              </w:rPr>
              <w:t>245,2</w:t>
            </w:r>
          </w:p>
        </w:tc>
        <w:tc>
          <w:tcPr>
            <w:tcW w:w="198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264,0</w:t>
            </w:r>
          </w:p>
        </w:tc>
      </w:tr>
      <w:tr w:rsidR="00A131AD" w:rsidRPr="00081B73" w:rsidTr="001911A6">
        <w:tc>
          <w:tcPr>
            <w:tcW w:w="460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Koštano-mišićne (M00-M99)</w:t>
            </w:r>
          </w:p>
        </w:tc>
        <w:tc>
          <w:tcPr>
            <w:tcW w:w="2389" w:type="dxa"/>
            <w:vAlign w:val="bottom"/>
          </w:tcPr>
          <w:p w:rsidR="00A131AD" w:rsidRPr="00081B73" w:rsidRDefault="00A131AD" w:rsidP="000C0138">
            <w:pPr>
              <w:widowControl w:val="0"/>
              <w:autoSpaceDE w:val="0"/>
              <w:autoSpaceDN w:val="0"/>
              <w:adjustRightInd w:val="0"/>
              <w:spacing w:line="276" w:lineRule="auto"/>
              <w:ind w:right="10"/>
              <w:jc w:val="right"/>
              <w:rPr>
                <w:rFonts w:ascii="Times New Roman" w:hAnsi="Times New Roman"/>
                <w:sz w:val="20"/>
                <w:szCs w:val="20"/>
              </w:rPr>
            </w:pPr>
            <w:r w:rsidRPr="00081B73">
              <w:rPr>
                <w:rFonts w:ascii="Times New Roman" w:hAnsi="Times New Roman"/>
                <w:sz w:val="20"/>
                <w:szCs w:val="20"/>
              </w:rPr>
              <w:t>379,8</w:t>
            </w:r>
          </w:p>
        </w:tc>
        <w:tc>
          <w:tcPr>
            <w:tcW w:w="198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434,1</w:t>
            </w:r>
          </w:p>
        </w:tc>
      </w:tr>
    </w:tbl>
    <w:p w:rsidR="00A2552D" w:rsidRPr="00081B73" w:rsidRDefault="00A2552D" w:rsidP="000C0138">
      <w:pPr>
        <w:spacing w:line="276" w:lineRule="auto"/>
        <w:rPr>
          <w:rFonts w:ascii="Times New Roman" w:hAnsi="Times New Roman"/>
          <w:sz w:val="20"/>
          <w:szCs w:val="20"/>
          <w:lang w:val="bs-Latn-BA"/>
        </w:rPr>
      </w:pPr>
    </w:p>
    <w:p w:rsidR="00A131AD" w:rsidRPr="00081B73" w:rsidRDefault="00CB5BF5" w:rsidP="00CF03C8">
      <w:pPr>
        <w:pStyle w:val="refererere"/>
        <w:rPr>
          <w:lang w:val="bs-Latn-BA"/>
        </w:rPr>
      </w:pPr>
      <w:r>
        <w:rPr>
          <w:lang w:val="bs-Latn-BA"/>
        </w:rPr>
        <w:t>Tab</w:t>
      </w:r>
      <w:r w:rsidR="00A131AD" w:rsidRPr="00081B73">
        <w:rPr>
          <w:lang w:val="bs-Latn-BA"/>
        </w:rPr>
        <w:t>l</w:t>
      </w:r>
      <w:r>
        <w:rPr>
          <w:lang w:val="bs-Latn-BA"/>
        </w:rPr>
        <w:t>ic</w:t>
      </w:r>
      <w:r w:rsidR="00A131AD" w:rsidRPr="00081B73">
        <w:rPr>
          <w:lang w:val="bs-Latn-BA"/>
        </w:rPr>
        <w:t>a 6:  Okolinski zdravstveni indikatori</w:t>
      </w:r>
    </w:p>
    <w:tbl>
      <w:tblPr>
        <w:tblW w:w="93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68"/>
        <w:gridCol w:w="1969"/>
        <w:gridCol w:w="1622"/>
        <w:gridCol w:w="1401"/>
        <w:gridCol w:w="1401"/>
        <w:gridCol w:w="1571"/>
      </w:tblGrid>
      <w:tr w:rsidR="00A131AD" w:rsidRPr="00081B73" w:rsidTr="001911A6">
        <w:trPr>
          <w:cantSplit/>
        </w:trPr>
        <w:tc>
          <w:tcPr>
            <w:tcW w:w="1368" w:type="dxa"/>
            <w:vMerge w:val="restart"/>
            <w:shd w:val="clear" w:color="auto" w:fill="FFFF00"/>
            <w:vAlign w:val="center"/>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Unsko-sanski kanton</w:t>
            </w:r>
          </w:p>
        </w:tc>
        <w:tc>
          <w:tcPr>
            <w:tcW w:w="1969" w:type="dxa"/>
            <w:shd w:val="clear" w:color="auto" w:fill="FFFF00"/>
            <w:vAlign w:val="center"/>
          </w:tcPr>
          <w:p w:rsidR="00A131AD" w:rsidRPr="00081B73" w:rsidRDefault="00A131AD" w:rsidP="00CB5BF5">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 xml:space="preserve">% stanovništva priključen na </w:t>
            </w:r>
            <w:r w:rsidR="00CB5BF5">
              <w:rPr>
                <w:rFonts w:ascii="Times New Roman" w:hAnsi="Times New Roman"/>
                <w:sz w:val="20"/>
                <w:szCs w:val="20"/>
                <w:lang w:val="bs-Latn-BA"/>
              </w:rPr>
              <w:t>središnji</w:t>
            </w:r>
            <w:r w:rsidRPr="00081B73">
              <w:rPr>
                <w:rFonts w:ascii="Times New Roman" w:hAnsi="Times New Roman"/>
                <w:sz w:val="20"/>
                <w:szCs w:val="20"/>
                <w:lang w:val="bs-Latn-BA"/>
              </w:rPr>
              <w:t xml:space="preserve"> s</w:t>
            </w:r>
            <w:r w:rsidR="00CB5BF5">
              <w:rPr>
                <w:rFonts w:ascii="Times New Roman" w:hAnsi="Times New Roman"/>
                <w:sz w:val="20"/>
                <w:szCs w:val="20"/>
                <w:lang w:val="bs-Latn-BA"/>
              </w:rPr>
              <w:t>ustav</w:t>
            </w:r>
            <w:r w:rsidRPr="00081B73">
              <w:rPr>
                <w:rFonts w:ascii="Times New Roman" w:hAnsi="Times New Roman"/>
                <w:sz w:val="20"/>
                <w:szCs w:val="20"/>
                <w:lang w:val="bs-Latn-BA"/>
              </w:rPr>
              <w:t xml:space="preserve"> vodo</w:t>
            </w:r>
            <w:r w:rsidR="00CB5BF5">
              <w:rPr>
                <w:rFonts w:ascii="Times New Roman" w:hAnsi="Times New Roman"/>
                <w:sz w:val="20"/>
                <w:szCs w:val="20"/>
                <w:lang w:val="bs-Latn-BA"/>
              </w:rPr>
              <w:t>opskrbe</w:t>
            </w:r>
          </w:p>
        </w:tc>
        <w:tc>
          <w:tcPr>
            <w:tcW w:w="1622" w:type="dxa"/>
            <w:shd w:val="clear" w:color="auto" w:fill="FFFF00"/>
            <w:vAlign w:val="center"/>
          </w:tcPr>
          <w:p w:rsidR="00A131AD" w:rsidRPr="00081B73" w:rsidRDefault="00A131AD" w:rsidP="00CB5BF5">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 stanovništva priključen na kanalizaci</w:t>
            </w:r>
            <w:r w:rsidR="00CB5BF5">
              <w:rPr>
                <w:rFonts w:ascii="Times New Roman" w:hAnsi="Times New Roman"/>
                <w:sz w:val="20"/>
                <w:szCs w:val="20"/>
                <w:lang w:val="bs-Latn-BA"/>
              </w:rPr>
              <w:t>jski</w:t>
            </w:r>
            <w:r w:rsidRPr="00081B73">
              <w:rPr>
                <w:rFonts w:ascii="Times New Roman" w:hAnsi="Times New Roman"/>
                <w:sz w:val="20"/>
                <w:szCs w:val="20"/>
                <w:lang w:val="bs-Latn-BA"/>
              </w:rPr>
              <w:t xml:space="preserve"> s</w:t>
            </w:r>
            <w:r w:rsidR="00CB5BF5">
              <w:rPr>
                <w:rFonts w:ascii="Times New Roman" w:hAnsi="Times New Roman"/>
                <w:sz w:val="20"/>
                <w:szCs w:val="20"/>
                <w:lang w:val="bs-Latn-BA"/>
              </w:rPr>
              <w:t>ustav</w:t>
            </w:r>
          </w:p>
        </w:tc>
        <w:tc>
          <w:tcPr>
            <w:tcW w:w="1401" w:type="dxa"/>
            <w:shd w:val="clear" w:color="auto" w:fill="FFFF00"/>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Mjerenje koncentracije SO</w:t>
            </w:r>
            <w:r w:rsidRPr="00081B73">
              <w:rPr>
                <w:rFonts w:ascii="Times New Roman" w:hAnsi="Times New Roman"/>
                <w:sz w:val="20"/>
                <w:szCs w:val="20"/>
                <w:vertAlign w:val="subscript"/>
                <w:lang w:val="bs-Latn-BA"/>
              </w:rPr>
              <w:t>2</w:t>
            </w:r>
            <w:r w:rsidRPr="00081B73">
              <w:rPr>
                <w:rFonts w:ascii="Times New Roman" w:hAnsi="Times New Roman"/>
                <w:sz w:val="20"/>
                <w:szCs w:val="20"/>
                <w:lang w:val="bs-Latn-BA"/>
              </w:rPr>
              <w:t xml:space="preserve"> u zraku</w:t>
            </w:r>
          </w:p>
        </w:tc>
        <w:tc>
          <w:tcPr>
            <w:tcW w:w="1401" w:type="dxa"/>
            <w:shd w:val="clear" w:color="auto" w:fill="FFFF00"/>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Mjerenje koncentracije NO</w:t>
            </w:r>
            <w:r w:rsidRPr="00081B73">
              <w:rPr>
                <w:rFonts w:ascii="Times New Roman" w:hAnsi="Times New Roman"/>
                <w:sz w:val="20"/>
                <w:szCs w:val="20"/>
                <w:vertAlign w:val="subscript"/>
                <w:lang w:val="bs-Latn-BA"/>
              </w:rPr>
              <w:t>2</w:t>
            </w:r>
            <w:r w:rsidRPr="00081B73">
              <w:rPr>
                <w:rFonts w:ascii="Times New Roman" w:hAnsi="Times New Roman"/>
                <w:sz w:val="20"/>
                <w:szCs w:val="20"/>
                <w:lang w:val="bs-Latn-BA"/>
              </w:rPr>
              <w:t xml:space="preserve"> u zraku</w:t>
            </w:r>
          </w:p>
        </w:tc>
        <w:tc>
          <w:tcPr>
            <w:tcW w:w="1571" w:type="dxa"/>
            <w:shd w:val="clear" w:color="auto" w:fill="FFFF00"/>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Mjerenje koncentracije dima u zraku</w:t>
            </w:r>
          </w:p>
        </w:tc>
      </w:tr>
      <w:tr w:rsidR="00A131AD" w:rsidRPr="00081B73" w:rsidTr="001911A6">
        <w:trPr>
          <w:cantSplit/>
          <w:trHeight w:val="431"/>
        </w:trPr>
        <w:tc>
          <w:tcPr>
            <w:tcW w:w="1368" w:type="dxa"/>
            <w:vMerge/>
            <w:vAlign w:val="center"/>
          </w:tcPr>
          <w:p w:rsidR="00A131AD" w:rsidRPr="00081B73" w:rsidRDefault="00A131AD" w:rsidP="000C0138">
            <w:pPr>
              <w:spacing w:line="276" w:lineRule="auto"/>
              <w:jc w:val="center"/>
              <w:rPr>
                <w:rFonts w:ascii="Times New Roman" w:hAnsi="Times New Roman"/>
                <w:sz w:val="20"/>
                <w:szCs w:val="20"/>
                <w:lang w:val="bs-Latn-BA"/>
              </w:rPr>
            </w:pPr>
          </w:p>
        </w:tc>
        <w:tc>
          <w:tcPr>
            <w:tcW w:w="1969" w:type="dxa"/>
            <w:vAlign w:val="center"/>
          </w:tcPr>
          <w:p w:rsidR="00A131AD" w:rsidRPr="00081B73" w:rsidRDefault="00D257E8" w:rsidP="000C0138">
            <w:pPr>
              <w:spacing w:line="276" w:lineRule="auto"/>
              <w:jc w:val="center"/>
              <w:rPr>
                <w:rFonts w:ascii="Times New Roman" w:hAnsi="Times New Roman"/>
                <w:color w:val="FFFFFF"/>
                <w:sz w:val="20"/>
                <w:szCs w:val="20"/>
                <w:lang w:val="bs-Latn-BA"/>
              </w:rPr>
            </w:pPr>
            <w:r w:rsidRPr="00081B73">
              <w:rPr>
                <w:rFonts w:ascii="Times New Roman" w:hAnsi="Times New Roman"/>
                <w:sz w:val="20"/>
                <w:szCs w:val="20"/>
                <w:lang w:val="bs-Latn-BA"/>
              </w:rPr>
              <w:t>71,5%</w:t>
            </w:r>
          </w:p>
        </w:tc>
        <w:tc>
          <w:tcPr>
            <w:tcW w:w="1622" w:type="dxa"/>
            <w:vAlign w:val="center"/>
          </w:tcPr>
          <w:p w:rsidR="00A131AD" w:rsidRPr="00081B73" w:rsidRDefault="00A131AD" w:rsidP="000C0138">
            <w:pPr>
              <w:spacing w:line="276" w:lineRule="auto"/>
              <w:jc w:val="center"/>
              <w:rPr>
                <w:rFonts w:ascii="Times New Roman" w:hAnsi="Times New Roman"/>
                <w:sz w:val="20"/>
                <w:szCs w:val="20"/>
                <w:lang w:val="bs-Latn-BA"/>
              </w:rPr>
            </w:pPr>
          </w:p>
        </w:tc>
        <w:tc>
          <w:tcPr>
            <w:tcW w:w="1401" w:type="dxa"/>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ne mjeri se</w:t>
            </w:r>
          </w:p>
        </w:tc>
        <w:tc>
          <w:tcPr>
            <w:tcW w:w="1401" w:type="dxa"/>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ne mjeri se</w:t>
            </w:r>
          </w:p>
        </w:tc>
        <w:tc>
          <w:tcPr>
            <w:tcW w:w="1571" w:type="dxa"/>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ne mjeri se</w:t>
            </w:r>
          </w:p>
        </w:tc>
      </w:tr>
    </w:tbl>
    <w:p w:rsidR="00A131AD" w:rsidRPr="00081B73" w:rsidRDefault="00A131AD" w:rsidP="000C0138">
      <w:pPr>
        <w:pStyle w:val="Footer"/>
        <w:spacing w:line="276" w:lineRule="auto"/>
        <w:rPr>
          <w:rFonts w:ascii="Times New Roman" w:hAnsi="Times New Roman"/>
          <w:sz w:val="20"/>
          <w:szCs w:val="20"/>
          <w:lang w:val="bs-Latn-BA"/>
        </w:rPr>
      </w:pPr>
    </w:p>
    <w:p w:rsidR="00A131AD" w:rsidRPr="00081B73" w:rsidRDefault="00A131AD" w:rsidP="00CF03C8">
      <w:pPr>
        <w:pStyle w:val="refererere"/>
        <w:rPr>
          <w:lang w:val="bs-Latn-BA"/>
        </w:rPr>
      </w:pPr>
      <w:r w:rsidRPr="00081B73">
        <w:rPr>
          <w:lang w:val="bs-Latn-BA"/>
        </w:rPr>
        <w:t>Tabl</w:t>
      </w:r>
      <w:r w:rsidR="00CB5BF5">
        <w:rPr>
          <w:lang w:val="bs-Latn-BA"/>
        </w:rPr>
        <w:t>ic</w:t>
      </w:r>
      <w:r w:rsidRPr="00081B73">
        <w:rPr>
          <w:lang w:val="bs-Latn-BA"/>
        </w:rPr>
        <w:t>a 7: Zdravstvena zaštita za 2010</w:t>
      </w:r>
      <w:r w:rsidR="00CB5BF5">
        <w:rPr>
          <w:lang w:val="bs-Latn-BA"/>
        </w:rPr>
        <w:t>.</w:t>
      </w:r>
      <w:r w:rsidRPr="00081B73">
        <w:rPr>
          <w:lang w:val="bs-Latn-BA"/>
        </w:rPr>
        <w:t xml:space="preserve"> i  2015. godinu</w:t>
      </w: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01"/>
        <w:gridCol w:w="8"/>
        <w:gridCol w:w="3807"/>
        <w:gridCol w:w="2279"/>
        <w:gridCol w:w="2293"/>
      </w:tblGrid>
      <w:tr w:rsidR="00A131AD" w:rsidRPr="00081B73" w:rsidTr="001911A6">
        <w:trPr>
          <w:trHeight w:val="509"/>
        </w:trPr>
        <w:tc>
          <w:tcPr>
            <w:tcW w:w="4716" w:type="dxa"/>
            <w:gridSpan w:val="3"/>
            <w:shd w:val="clear" w:color="auto" w:fill="FFFF00"/>
            <w:vAlign w:val="center"/>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sz w:val="20"/>
                <w:szCs w:val="20"/>
                <w:lang w:val="bs-Latn-BA"/>
              </w:rPr>
              <w:t>Broj</w:t>
            </w:r>
          </w:p>
        </w:tc>
        <w:tc>
          <w:tcPr>
            <w:tcW w:w="2279"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2010.</w:t>
            </w:r>
          </w:p>
        </w:tc>
        <w:tc>
          <w:tcPr>
            <w:tcW w:w="2293"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2015.</w:t>
            </w:r>
          </w:p>
        </w:tc>
      </w:tr>
      <w:tr w:rsidR="00A131AD" w:rsidRPr="00081B73" w:rsidTr="001911A6">
        <w:trPr>
          <w:cantSplit/>
        </w:trPr>
        <w:tc>
          <w:tcPr>
            <w:tcW w:w="909" w:type="dxa"/>
            <w:gridSpan w:val="2"/>
            <w:vMerge w:val="restart"/>
            <w:vAlign w:val="bottom"/>
          </w:tcPr>
          <w:p w:rsidR="00A131AD" w:rsidRPr="00081B73" w:rsidRDefault="00A131AD" w:rsidP="000C0138">
            <w:pPr>
              <w:pStyle w:val="NormalWeb"/>
              <w:spacing w:before="0" w:beforeAutospacing="0" w:after="0" w:afterAutospacing="0" w:line="276" w:lineRule="auto"/>
              <w:rPr>
                <w:sz w:val="20"/>
                <w:szCs w:val="20"/>
                <w:lang w:val="bs-Latn-BA"/>
              </w:rPr>
            </w:pPr>
            <w:r w:rsidRPr="00081B73">
              <w:rPr>
                <w:sz w:val="20"/>
                <w:szCs w:val="20"/>
                <w:lang w:val="bs-Latn-BA"/>
              </w:rPr>
              <w:t>PZZ</w:t>
            </w:r>
          </w:p>
        </w:tc>
        <w:tc>
          <w:tcPr>
            <w:tcW w:w="3807" w:type="dxa"/>
          </w:tcPr>
          <w:p w:rsidR="00A131AD" w:rsidRPr="00081B73" w:rsidRDefault="00A131AD" w:rsidP="000C0138">
            <w:pPr>
              <w:pStyle w:val="NormalWeb"/>
              <w:spacing w:before="0" w:beforeAutospacing="0" w:after="0" w:afterAutospacing="0" w:line="276" w:lineRule="auto"/>
              <w:rPr>
                <w:sz w:val="20"/>
                <w:szCs w:val="20"/>
                <w:lang w:val="bs-Latn-BA"/>
              </w:rPr>
            </w:pPr>
            <w:r w:rsidRPr="00081B73">
              <w:rPr>
                <w:sz w:val="20"/>
                <w:szCs w:val="20"/>
                <w:lang w:val="bs-Latn-BA"/>
              </w:rPr>
              <w:t>ordinacije PZZ</w:t>
            </w:r>
          </w:p>
        </w:tc>
        <w:tc>
          <w:tcPr>
            <w:tcW w:w="2279" w:type="dxa"/>
            <w:vAlign w:val="center"/>
          </w:tcPr>
          <w:p w:rsidR="00A131AD" w:rsidRPr="00081B73" w:rsidRDefault="00A131AD" w:rsidP="000C0138">
            <w:pPr>
              <w:pStyle w:val="NormalWeb"/>
              <w:spacing w:line="276" w:lineRule="auto"/>
              <w:jc w:val="right"/>
              <w:rPr>
                <w:sz w:val="20"/>
                <w:szCs w:val="20"/>
                <w:lang w:val="bs-Latn-BA"/>
              </w:rPr>
            </w:pPr>
            <w:r w:rsidRPr="00081B73">
              <w:rPr>
                <w:sz w:val="20"/>
                <w:szCs w:val="20"/>
                <w:lang w:val="bs-Latn-BA"/>
              </w:rPr>
              <w:t>151</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170</w:t>
            </w:r>
          </w:p>
        </w:tc>
      </w:tr>
      <w:tr w:rsidR="00A131AD" w:rsidRPr="00081B73" w:rsidTr="001911A6">
        <w:trPr>
          <w:cantSplit/>
        </w:trPr>
        <w:tc>
          <w:tcPr>
            <w:tcW w:w="909" w:type="dxa"/>
            <w:gridSpan w:val="2"/>
            <w:vMerge/>
          </w:tcPr>
          <w:p w:rsidR="00A131AD" w:rsidRPr="00081B73" w:rsidRDefault="00A131AD" w:rsidP="000C0138">
            <w:pPr>
              <w:spacing w:line="276" w:lineRule="auto"/>
              <w:rPr>
                <w:rFonts w:ascii="Times New Roman" w:hAnsi="Times New Roman"/>
                <w:sz w:val="20"/>
                <w:szCs w:val="20"/>
                <w:lang w:val="bs-Latn-BA"/>
              </w:rPr>
            </w:pPr>
          </w:p>
        </w:tc>
        <w:tc>
          <w:tcPr>
            <w:tcW w:w="3807"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stomatološke ordinacije/stolice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45</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46</w:t>
            </w:r>
          </w:p>
        </w:tc>
      </w:tr>
      <w:tr w:rsidR="00A131AD" w:rsidRPr="00081B73" w:rsidTr="001911A6">
        <w:trPr>
          <w:cantSplit/>
        </w:trPr>
        <w:tc>
          <w:tcPr>
            <w:tcW w:w="909" w:type="dxa"/>
            <w:gridSpan w:val="2"/>
            <w:vMerge/>
          </w:tcPr>
          <w:p w:rsidR="00A131AD" w:rsidRPr="00081B73" w:rsidRDefault="00A131AD" w:rsidP="000C0138">
            <w:pPr>
              <w:spacing w:line="276" w:lineRule="auto"/>
              <w:rPr>
                <w:rFonts w:ascii="Times New Roman" w:hAnsi="Times New Roman"/>
                <w:sz w:val="20"/>
                <w:szCs w:val="20"/>
                <w:lang w:val="bs-Latn-BA"/>
              </w:rPr>
            </w:pPr>
          </w:p>
        </w:tc>
        <w:tc>
          <w:tcPr>
            <w:tcW w:w="3807" w:type="dxa"/>
          </w:tcPr>
          <w:p w:rsidR="00A131AD" w:rsidRPr="00081B73" w:rsidRDefault="00CB5BF5" w:rsidP="000C0138">
            <w:pPr>
              <w:spacing w:line="276" w:lineRule="auto"/>
              <w:rPr>
                <w:rFonts w:ascii="Times New Roman" w:hAnsi="Times New Roman"/>
                <w:sz w:val="20"/>
                <w:szCs w:val="20"/>
                <w:lang w:val="bs-Latn-BA"/>
              </w:rPr>
            </w:pPr>
            <w:r>
              <w:rPr>
                <w:rFonts w:ascii="Times New Roman" w:hAnsi="Times New Roman"/>
                <w:sz w:val="20"/>
                <w:szCs w:val="20"/>
                <w:lang w:val="bs-Latn-BA"/>
              </w:rPr>
              <w:t>ljekarne</w:t>
            </w:r>
            <w:r w:rsidR="00A131AD" w:rsidRPr="00081B73">
              <w:rPr>
                <w:rFonts w:ascii="Times New Roman" w:hAnsi="Times New Roman"/>
                <w:sz w:val="20"/>
                <w:szCs w:val="20"/>
                <w:lang w:val="bs-Latn-BA"/>
              </w:rPr>
              <w:t xml:space="preserve"> u javnom sektoru</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7</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6</w:t>
            </w:r>
          </w:p>
        </w:tc>
      </w:tr>
      <w:tr w:rsidR="00A131AD" w:rsidRPr="00081B73" w:rsidTr="001911A6">
        <w:trPr>
          <w:cantSplit/>
        </w:trPr>
        <w:tc>
          <w:tcPr>
            <w:tcW w:w="901" w:type="dxa"/>
            <w:vMerge w:val="restart"/>
            <w:vAlign w:val="center"/>
          </w:tcPr>
          <w:p w:rsidR="00A131AD" w:rsidRPr="00081B73" w:rsidRDefault="00A131AD" w:rsidP="000C0138">
            <w:pPr>
              <w:spacing w:line="276" w:lineRule="auto"/>
              <w:jc w:val="left"/>
              <w:rPr>
                <w:rFonts w:ascii="Times New Roman" w:hAnsi="Times New Roman"/>
                <w:sz w:val="20"/>
                <w:szCs w:val="20"/>
                <w:lang w:val="bs-Latn-BA"/>
              </w:rPr>
            </w:pPr>
          </w:p>
        </w:tc>
        <w:tc>
          <w:tcPr>
            <w:tcW w:w="3815" w:type="dxa"/>
            <w:gridSpan w:val="2"/>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dr medicine</w:t>
            </w:r>
          </w:p>
        </w:tc>
        <w:tc>
          <w:tcPr>
            <w:tcW w:w="2279" w:type="dxa"/>
            <w:vAlign w:val="center"/>
          </w:tcPr>
          <w:p w:rsidR="00A131AD" w:rsidRPr="00081B73" w:rsidRDefault="00A131AD" w:rsidP="000C0138">
            <w:pPr>
              <w:spacing w:line="276" w:lineRule="auto"/>
              <w:jc w:val="right"/>
              <w:rPr>
                <w:rFonts w:ascii="Times New Roman" w:hAnsi="Times New Roman"/>
                <w:color w:val="FFFFFF"/>
                <w:sz w:val="20"/>
                <w:szCs w:val="20"/>
                <w:lang w:val="bs-Latn-BA"/>
              </w:rPr>
            </w:pPr>
            <w:r w:rsidRPr="00081B73">
              <w:rPr>
                <w:rFonts w:ascii="Times New Roman" w:hAnsi="Times New Roman"/>
                <w:color w:val="000000"/>
                <w:sz w:val="20"/>
                <w:szCs w:val="20"/>
                <w:lang w:val="bs-Latn-BA"/>
              </w:rPr>
              <w:t xml:space="preserve"> 99</w:t>
            </w:r>
            <w:r w:rsidRPr="00081B73">
              <w:rPr>
                <w:rFonts w:ascii="Times New Roman" w:hAnsi="Times New Roman"/>
                <w:color w:val="FFFFFF"/>
                <w:sz w:val="20"/>
                <w:szCs w:val="20"/>
                <w:lang w:val="bs-Latn-BA"/>
              </w:rPr>
              <w:t>9</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125</w:t>
            </w:r>
          </w:p>
        </w:tc>
      </w:tr>
      <w:tr w:rsidR="00A131AD" w:rsidRPr="00081B73" w:rsidTr="001911A6">
        <w:trPr>
          <w:cantSplit/>
        </w:trPr>
        <w:tc>
          <w:tcPr>
            <w:tcW w:w="901" w:type="dxa"/>
            <w:vMerge/>
            <w:vAlign w:val="center"/>
          </w:tcPr>
          <w:p w:rsidR="00A131AD" w:rsidRPr="00081B73" w:rsidRDefault="00A131AD" w:rsidP="000C0138">
            <w:pPr>
              <w:spacing w:line="276" w:lineRule="auto"/>
              <w:jc w:val="left"/>
              <w:rPr>
                <w:rFonts w:ascii="Times New Roman" w:hAnsi="Times New Roman"/>
                <w:sz w:val="20"/>
                <w:szCs w:val="20"/>
                <w:lang w:val="bs-Latn-BA"/>
              </w:rPr>
            </w:pPr>
          </w:p>
        </w:tc>
        <w:tc>
          <w:tcPr>
            <w:tcW w:w="3815" w:type="dxa"/>
            <w:gridSpan w:val="2"/>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zdravstveni tehničari/sestre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315</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271</w:t>
            </w:r>
          </w:p>
        </w:tc>
      </w:tr>
      <w:tr w:rsidR="00A131AD" w:rsidRPr="00081B73" w:rsidTr="001911A6">
        <w:trPr>
          <w:cantSplit/>
        </w:trPr>
        <w:tc>
          <w:tcPr>
            <w:tcW w:w="901" w:type="dxa"/>
            <w:vMerge/>
          </w:tcPr>
          <w:p w:rsidR="00A131AD" w:rsidRPr="00081B73" w:rsidRDefault="00A131AD" w:rsidP="000C0138">
            <w:pPr>
              <w:spacing w:line="276" w:lineRule="auto"/>
              <w:rPr>
                <w:rFonts w:ascii="Times New Roman" w:hAnsi="Times New Roman"/>
                <w:sz w:val="20"/>
                <w:szCs w:val="20"/>
                <w:lang w:val="bs-Latn-BA"/>
              </w:rPr>
            </w:pPr>
          </w:p>
        </w:tc>
        <w:tc>
          <w:tcPr>
            <w:tcW w:w="3815" w:type="dxa"/>
            <w:gridSpan w:val="2"/>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dr stomatologije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52</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53</w:t>
            </w:r>
          </w:p>
        </w:tc>
      </w:tr>
      <w:tr w:rsidR="00A131AD" w:rsidRPr="00081B73" w:rsidTr="001911A6">
        <w:trPr>
          <w:cantSplit/>
        </w:trPr>
        <w:tc>
          <w:tcPr>
            <w:tcW w:w="901" w:type="dxa"/>
            <w:vMerge/>
          </w:tcPr>
          <w:p w:rsidR="00A131AD" w:rsidRPr="00081B73" w:rsidRDefault="00A131AD" w:rsidP="000C0138">
            <w:pPr>
              <w:spacing w:line="276" w:lineRule="auto"/>
              <w:rPr>
                <w:rFonts w:ascii="Times New Roman" w:hAnsi="Times New Roman"/>
                <w:sz w:val="20"/>
                <w:szCs w:val="20"/>
                <w:lang w:val="bs-Latn-BA"/>
              </w:rPr>
            </w:pPr>
          </w:p>
        </w:tc>
        <w:tc>
          <w:tcPr>
            <w:tcW w:w="3815" w:type="dxa"/>
            <w:gridSpan w:val="2"/>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stomatološki tehničari/sestre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60</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58</w:t>
            </w:r>
          </w:p>
        </w:tc>
      </w:tr>
      <w:tr w:rsidR="00A131AD" w:rsidRPr="00081B73" w:rsidTr="001911A6">
        <w:trPr>
          <w:cantSplit/>
        </w:trPr>
        <w:tc>
          <w:tcPr>
            <w:tcW w:w="901" w:type="dxa"/>
            <w:vMerge/>
          </w:tcPr>
          <w:p w:rsidR="00A131AD" w:rsidRPr="00081B73" w:rsidRDefault="00A131AD" w:rsidP="000C0138">
            <w:pPr>
              <w:spacing w:line="276" w:lineRule="auto"/>
              <w:rPr>
                <w:rFonts w:ascii="Times New Roman" w:hAnsi="Times New Roman"/>
                <w:sz w:val="20"/>
                <w:szCs w:val="20"/>
                <w:lang w:val="bs-Latn-BA"/>
              </w:rPr>
            </w:pPr>
          </w:p>
        </w:tc>
        <w:tc>
          <w:tcPr>
            <w:tcW w:w="3815" w:type="dxa"/>
            <w:gridSpan w:val="2"/>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*magistri farmacije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20</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16</w:t>
            </w:r>
          </w:p>
        </w:tc>
      </w:tr>
      <w:tr w:rsidR="00A131AD" w:rsidRPr="00081B73" w:rsidTr="001911A6">
        <w:trPr>
          <w:cantSplit/>
        </w:trPr>
        <w:tc>
          <w:tcPr>
            <w:tcW w:w="901" w:type="dxa"/>
            <w:vMerge/>
          </w:tcPr>
          <w:p w:rsidR="00A131AD" w:rsidRPr="00081B73" w:rsidRDefault="00A131AD" w:rsidP="000C0138">
            <w:pPr>
              <w:spacing w:line="276" w:lineRule="auto"/>
              <w:rPr>
                <w:rFonts w:ascii="Times New Roman" w:hAnsi="Times New Roman"/>
                <w:sz w:val="20"/>
                <w:szCs w:val="20"/>
                <w:lang w:val="bs-Latn-BA"/>
              </w:rPr>
            </w:pPr>
          </w:p>
        </w:tc>
        <w:tc>
          <w:tcPr>
            <w:tcW w:w="3815" w:type="dxa"/>
            <w:gridSpan w:val="2"/>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*farmaceutski tehničari</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53</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35</w:t>
            </w:r>
          </w:p>
        </w:tc>
      </w:tr>
      <w:tr w:rsidR="00A131AD" w:rsidRPr="00081B73" w:rsidTr="001911A6">
        <w:trPr>
          <w:trHeight w:val="582"/>
        </w:trPr>
        <w:tc>
          <w:tcPr>
            <w:tcW w:w="901" w:type="dxa"/>
            <w:vAlign w:val="center"/>
          </w:tcPr>
          <w:p w:rsidR="00A131AD" w:rsidRPr="00081B73" w:rsidRDefault="00A131AD" w:rsidP="000C0138">
            <w:pPr>
              <w:spacing w:line="276" w:lineRule="auto"/>
              <w:jc w:val="left"/>
              <w:rPr>
                <w:rFonts w:ascii="Times New Roman" w:hAnsi="Times New Roman"/>
                <w:sz w:val="20"/>
                <w:szCs w:val="20"/>
                <w:lang w:val="bs-Latn-BA"/>
              </w:rPr>
            </w:pPr>
            <w:r w:rsidRPr="00081B73">
              <w:rPr>
                <w:rFonts w:ascii="Times New Roman" w:hAnsi="Times New Roman"/>
                <w:sz w:val="20"/>
                <w:szCs w:val="20"/>
                <w:lang w:val="bs-Latn-BA"/>
              </w:rPr>
              <w:t>Bolnice</w:t>
            </w:r>
          </w:p>
        </w:tc>
        <w:tc>
          <w:tcPr>
            <w:tcW w:w="3815" w:type="dxa"/>
            <w:gridSpan w:val="2"/>
            <w:vAlign w:val="center"/>
          </w:tcPr>
          <w:p w:rsidR="00A131AD" w:rsidRPr="00081B73" w:rsidRDefault="00A131AD" w:rsidP="000C0138">
            <w:pPr>
              <w:spacing w:line="276" w:lineRule="auto"/>
              <w:jc w:val="left"/>
              <w:rPr>
                <w:rFonts w:ascii="Times New Roman" w:hAnsi="Times New Roman"/>
                <w:sz w:val="20"/>
                <w:szCs w:val="20"/>
                <w:lang w:val="bs-Latn-BA"/>
              </w:rPr>
            </w:pPr>
            <w:r w:rsidRPr="00081B73">
              <w:rPr>
                <w:rFonts w:ascii="Times New Roman" w:hAnsi="Times New Roman"/>
                <w:sz w:val="20"/>
                <w:szCs w:val="20"/>
                <w:lang w:val="bs-Latn-BA"/>
              </w:rPr>
              <w:t>bolničke postelje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732</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676</w:t>
            </w:r>
          </w:p>
        </w:tc>
      </w:tr>
    </w:tbl>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*Izvor: Izvješ</w:t>
      </w:r>
      <w:r w:rsidR="00CB5BF5">
        <w:rPr>
          <w:rFonts w:ascii="Times New Roman" w:hAnsi="Times New Roman"/>
          <w:sz w:val="20"/>
          <w:szCs w:val="20"/>
          <w:lang w:val="bs-Latn-BA"/>
        </w:rPr>
        <w:t>će</w:t>
      </w:r>
      <w:r w:rsidRPr="00081B73">
        <w:rPr>
          <w:rFonts w:ascii="Times New Roman" w:hAnsi="Times New Roman"/>
          <w:sz w:val="20"/>
          <w:szCs w:val="20"/>
          <w:lang w:val="bs-Latn-BA"/>
        </w:rPr>
        <w:t xml:space="preserve"> o radu </w:t>
      </w:r>
      <w:r w:rsidR="00CB5BF5">
        <w:rPr>
          <w:rFonts w:ascii="Times New Roman" w:hAnsi="Times New Roman"/>
          <w:sz w:val="20"/>
          <w:szCs w:val="20"/>
          <w:lang w:val="bs-Latn-BA"/>
        </w:rPr>
        <w:t>ljekarni</w:t>
      </w:r>
      <w:r w:rsidRPr="00081B73">
        <w:rPr>
          <w:rFonts w:ascii="Times New Roman" w:hAnsi="Times New Roman"/>
          <w:sz w:val="20"/>
          <w:szCs w:val="20"/>
          <w:lang w:val="bs-Latn-BA"/>
        </w:rPr>
        <w:t xml:space="preserve"> za 2015. godinu</w:t>
      </w:r>
    </w:p>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br w:type="page"/>
      </w:r>
      <w:r w:rsidRPr="00081B73">
        <w:rPr>
          <w:rFonts w:ascii="Times New Roman" w:hAnsi="Times New Roman"/>
          <w:b/>
          <w:bCs/>
          <w:sz w:val="20"/>
          <w:szCs w:val="20"/>
          <w:lang w:val="bs-Latn-BA"/>
        </w:rPr>
        <w:lastRenderedPageBreak/>
        <w:t>Posavski kanton</w:t>
      </w:r>
    </w:p>
    <w:p w:rsidR="00A131AD" w:rsidRPr="00081B73" w:rsidRDefault="00A131AD" w:rsidP="000C0138">
      <w:pPr>
        <w:spacing w:line="276" w:lineRule="auto"/>
        <w:rPr>
          <w:rFonts w:ascii="Times New Roman" w:hAnsi="Times New Roman"/>
          <w:sz w:val="20"/>
          <w:szCs w:val="20"/>
          <w:lang w:val="bs-Latn-BA"/>
        </w:rPr>
      </w:pPr>
    </w:p>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noProof/>
          <w:sz w:val="20"/>
          <w:szCs w:val="20"/>
          <w:lang w:val="bs-Latn-BA" w:eastAsia="bs-Latn-BA"/>
        </w:rPr>
        <w:drawing>
          <wp:anchor distT="0" distB="0" distL="114300" distR="114300" simplePos="0" relativeHeight="251671552" behindDoc="0" locked="0" layoutInCell="1" allowOverlap="1" wp14:anchorId="7C7786B2" wp14:editId="10775D6B">
            <wp:simplePos x="0" y="0"/>
            <wp:positionH relativeFrom="column">
              <wp:posOffset>-114300</wp:posOffset>
            </wp:positionH>
            <wp:positionV relativeFrom="paragraph">
              <wp:posOffset>92075</wp:posOffset>
            </wp:positionV>
            <wp:extent cx="2146300" cy="2076450"/>
            <wp:effectExtent l="0" t="0" r="6350" b="0"/>
            <wp:wrapSquare wrapText="bothSides"/>
            <wp:docPr id="126" name="Picture 126" descr="canto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anton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146300" cy="2076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1B73">
        <w:rPr>
          <w:rFonts w:ascii="Times New Roman" w:hAnsi="Times New Roman"/>
          <w:sz w:val="20"/>
          <w:szCs w:val="20"/>
          <w:lang w:val="bs-Latn-BA"/>
        </w:rPr>
        <w:t xml:space="preserve">         Tabl</w:t>
      </w:r>
      <w:r w:rsidR="00CB5BF5">
        <w:rPr>
          <w:rFonts w:ascii="Times New Roman" w:hAnsi="Times New Roman"/>
          <w:sz w:val="20"/>
          <w:szCs w:val="20"/>
          <w:lang w:val="bs-Latn-BA"/>
        </w:rPr>
        <w:t>ic</w:t>
      </w:r>
      <w:r w:rsidRPr="00081B73">
        <w:rPr>
          <w:rFonts w:ascii="Times New Roman" w:hAnsi="Times New Roman"/>
          <w:sz w:val="20"/>
          <w:szCs w:val="20"/>
          <w:lang w:val="bs-Latn-BA"/>
        </w:rPr>
        <w:t>a 1: Stanovništvo po općinama*</w:t>
      </w:r>
    </w:p>
    <w:tbl>
      <w:tblPr>
        <w:tblpPr w:leftFromText="180" w:rightFromText="180" w:vertAnchor="text" w:horzAnchor="margin" w:tblpXSpec="right" w:tblpY="564"/>
        <w:tblW w:w="4735" w:type="dxa"/>
        <w:tblCellSpacing w:w="15" w:type="dxa"/>
        <w:tblCellMar>
          <w:top w:w="15" w:type="dxa"/>
          <w:left w:w="15" w:type="dxa"/>
          <w:bottom w:w="15" w:type="dxa"/>
          <w:right w:w="15" w:type="dxa"/>
        </w:tblCellMar>
        <w:tblLook w:val="0000" w:firstRow="0" w:lastRow="0" w:firstColumn="0" w:lastColumn="0" w:noHBand="0" w:noVBand="0"/>
      </w:tblPr>
      <w:tblGrid>
        <w:gridCol w:w="2491"/>
        <w:gridCol w:w="1122"/>
        <w:gridCol w:w="1122"/>
      </w:tblGrid>
      <w:tr w:rsidR="00A131AD" w:rsidRPr="00081B73" w:rsidTr="001911A6">
        <w:trPr>
          <w:trHeight w:val="510"/>
          <w:tblCellSpacing w:w="15" w:type="dxa"/>
        </w:trPr>
        <w:tc>
          <w:tcPr>
            <w:tcW w:w="2446" w:type="dxa"/>
            <w:tcBorders>
              <w:right w:val="single" w:sz="4" w:space="0" w:color="000000"/>
            </w:tcBorders>
            <w:shd w:val="clear" w:color="auto" w:fill="C0C0C0"/>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color w:val="800000"/>
                <w:sz w:val="20"/>
                <w:szCs w:val="20"/>
                <w:lang w:val="bs-Latn-BA"/>
              </w:rPr>
              <w:t>Općina</w:t>
            </w:r>
          </w:p>
        </w:tc>
        <w:tc>
          <w:tcPr>
            <w:tcW w:w="1092" w:type="dxa"/>
            <w:tcBorders>
              <w:left w:val="nil"/>
            </w:tcBorders>
            <w:shd w:val="clear" w:color="auto" w:fill="C0C0C0"/>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color w:val="800000"/>
                <w:sz w:val="20"/>
                <w:szCs w:val="20"/>
                <w:lang w:val="bs-Latn-BA"/>
              </w:rPr>
              <w:t>Površina, km</w:t>
            </w:r>
            <w:r w:rsidRPr="00081B73">
              <w:rPr>
                <w:rFonts w:ascii="Times New Roman" w:hAnsi="Times New Roman"/>
                <w:color w:val="800000"/>
                <w:sz w:val="20"/>
                <w:szCs w:val="20"/>
                <w:vertAlign w:val="superscript"/>
                <w:lang w:val="bs-Latn-BA"/>
              </w:rPr>
              <w:t>2</w:t>
            </w:r>
          </w:p>
        </w:tc>
        <w:tc>
          <w:tcPr>
            <w:tcW w:w="1077" w:type="dxa"/>
            <w:tcBorders>
              <w:left w:val="nil"/>
            </w:tcBorders>
            <w:shd w:val="clear" w:color="auto" w:fill="C0C0C0"/>
            <w:vAlign w:val="center"/>
          </w:tcPr>
          <w:p w:rsidR="00A131AD" w:rsidRPr="00081B73" w:rsidRDefault="00A131AD" w:rsidP="000C0138">
            <w:pPr>
              <w:pStyle w:val="NormalWeb"/>
              <w:spacing w:line="276" w:lineRule="auto"/>
              <w:jc w:val="center"/>
              <w:rPr>
                <w:sz w:val="20"/>
                <w:szCs w:val="20"/>
                <w:lang w:val="bs-Latn-BA"/>
              </w:rPr>
            </w:pPr>
            <w:r w:rsidRPr="00081B73">
              <w:rPr>
                <w:color w:val="800000"/>
                <w:sz w:val="20"/>
                <w:szCs w:val="20"/>
                <w:lang w:val="bs-Latn-BA"/>
              </w:rPr>
              <w:t>Procjena broja stanovnika</w:t>
            </w:r>
          </w:p>
        </w:tc>
      </w:tr>
      <w:tr w:rsidR="00A131AD" w:rsidRPr="00081B73" w:rsidTr="001911A6">
        <w:trPr>
          <w:cantSplit/>
          <w:trHeight w:val="222"/>
          <w:tblCellSpacing w:w="15" w:type="dxa"/>
        </w:trPr>
        <w:tc>
          <w:tcPr>
            <w:tcW w:w="2446" w:type="dxa"/>
            <w:shd w:val="clear" w:color="auto" w:fill="FFFFCC"/>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Domaljevac-Šamac</w:t>
            </w:r>
          </w:p>
        </w:tc>
        <w:tc>
          <w:tcPr>
            <w:tcW w:w="1092"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44,4</w:t>
            </w:r>
          </w:p>
        </w:tc>
        <w:tc>
          <w:tcPr>
            <w:tcW w:w="1077"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4.415</w:t>
            </w:r>
          </w:p>
        </w:tc>
      </w:tr>
      <w:tr w:rsidR="00A131AD" w:rsidRPr="00081B73" w:rsidTr="001911A6">
        <w:trPr>
          <w:trHeight w:val="222"/>
          <w:tblCellSpacing w:w="15" w:type="dxa"/>
        </w:trPr>
        <w:tc>
          <w:tcPr>
            <w:tcW w:w="2446" w:type="dxa"/>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Odžak</w:t>
            </w:r>
          </w:p>
        </w:tc>
        <w:tc>
          <w:tcPr>
            <w:tcW w:w="1092"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158,4</w:t>
            </w:r>
          </w:p>
        </w:tc>
        <w:tc>
          <w:tcPr>
            <w:tcW w:w="1077"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14.972</w:t>
            </w:r>
          </w:p>
        </w:tc>
      </w:tr>
      <w:tr w:rsidR="00A131AD" w:rsidRPr="00081B73" w:rsidTr="001911A6">
        <w:trPr>
          <w:trHeight w:val="222"/>
          <w:tblCellSpacing w:w="15" w:type="dxa"/>
        </w:trPr>
        <w:tc>
          <w:tcPr>
            <w:tcW w:w="2446" w:type="dxa"/>
            <w:shd w:val="clear" w:color="auto" w:fill="FFFFCC"/>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Orašje</w:t>
            </w:r>
          </w:p>
        </w:tc>
        <w:tc>
          <w:tcPr>
            <w:tcW w:w="1092"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121,8</w:t>
            </w:r>
          </w:p>
        </w:tc>
        <w:tc>
          <w:tcPr>
            <w:tcW w:w="1077"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18.988</w:t>
            </w:r>
          </w:p>
        </w:tc>
      </w:tr>
      <w:tr w:rsidR="00A131AD" w:rsidRPr="00081B73" w:rsidTr="001911A6">
        <w:trPr>
          <w:trHeight w:val="176"/>
          <w:tblCellSpacing w:w="15" w:type="dxa"/>
        </w:trPr>
        <w:tc>
          <w:tcPr>
            <w:tcW w:w="2446" w:type="dxa"/>
            <w:shd w:val="clear" w:color="auto" w:fill="FFFFFF"/>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UKUPNO KANTON:</w:t>
            </w:r>
          </w:p>
        </w:tc>
        <w:tc>
          <w:tcPr>
            <w:tcW w:w="1092" w:type="dxa"/>
            <w:shd w:val="clear" w:color="auto" w:fill="FFFFFF"/>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324,6</w:t>
            </w:r>
          </w:p>
        </w:tc>
        <w:tc>
          <w:tcPr>
            <w:tcW w:w="1077" w:type="dxa"/>
            <w:shd w:val="clear" w:color="auto" w:fill="FFFFFF"/>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38.375</w:t>
            </w:r>
          </w:p>
        </w:tc>
      </w:tr>
      <w:tr w:rsidR="00A131AD" w:rsidRPr="00081B73" w:rsidTr="001911A6">
        <w:trPr>
          <w:trHeight w:val="176"/>
          <w:tblCellSpacing w:w="15" w:type="dxa"/>
        </w:trPr>
        <w:tc>
          <w:tcPr>
            <w:tcW w:w="2446" w:type="dxa"/>
            <w:shd w:val="clear" w:color="auto" w:fill="FFFFFF"/>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Broj stanovnika/</w:t>
            </w:r>
            <w:r w:rsidRPr="00081B73">
              <w:rPr>
                <w:rFonts w:ascii="Times New Roman" w:hAnsi="Times New Roman"/>
                <w:b/>
                <w:bCs/>
                <w:sz w:val="20"/>
                <w:szCs w:val="20"/>
                <w:lang w:val="bs-Latn-BA"/>
              </w:rPr>
              <w:t xml:space="preserve"> </w:t>
            </w:r>
            <w:r w:rsidRPr="00081B73">
              <w:rPr>
                <w:rFonts w:ascii="Times New Roman" w:hAnsi="Times New Roman"/>
                <w:sz w:val="20"/>
                <w:szCs w:val="20"/>
                <w:lang w:val="bs-Latn-BA"/>
              </w:rPr>
              <w:t>km</w:t>
            </w:r>
            <w:r w:rsidRPr="00081B73">
              <w:rPr>
                <w:rFonts w:ascii="Times New Roman" w:hAnsi="Times New Roman"/>
                <w:sz w:val="20"/>
                <w:szCs w:val="20"/>
                <w:vertAlign w:val="superscript"/>
                <w:lang w:val="bs-Latn-BA"/>
              </w:rPr>
              <w:t>2</w:t>
            </w:r>
          </w:p>
        </w:tc>
        <w:tc>
          <w:tcPr>
            <w:tcW w:w="1092" w:type="dxa"/>
            <w:shd w:val="clear" w:color="auto" w:fill="FFFFFF"/>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119,1</w:t>
            </w:r>
          </w:p>
        </w:tc>
        <w:tc>
          <w:tcPr>
            <w:tcW w:w="1077" w:type="dxa"/>
            <w:shd w:val="clear" w:color="auto" w:fill="FFFFFF"/>
            <w:vAlign w:val="center"/>
          </w:tcPr>
          <w:p w:rsidR="00A131AD" w:rsidRPr="00081B73" w:rsidRDefault="00A131AD" w:rsidP="000C0138">
            <w:pPr>
              <w:spacing w:line="276" w:lineRule="auto"/>
              <w:jc w:val="right"/>
              <w:rPr>
                <w:rFonts w:ascii="Times New Roman" w:hAnsi="Times New Roman"/>
                <w:sz w:val="20"/>
                <w:szCs w:val="20"/>
                <w:lang w:val="bs-Latn-BA"/>
              </w:rPr>
            </w:pPr>
          </w:p>
        </w:tc>
      </w:tr>
    </w:tbl>
    <w:p w:rsidR="00A131AD" w:rsidRPr="00081B73" w:rsidRDefault="00A131AD" w:rsidP="000C0138">
      <w:pPr>
        <w:spacing w:line="276" w:lineRule="auto"/>
        <w:rPr>
          <w:rFonts w:ascii="Times New Roman" w:hAnsi="Times New Roman"/>
          <w:sz w:val="20"/>
          <w:szCs w:val="20"/>
          <w:lang w:val="bs-Latn-BA"/>
        </w:rPr>
      </w:pPr>
    </w:p>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 xml:space="preserve">        </w:t>
      </w:r>
    </w:p>
    <w:p w:rsidR="00A131AD" w:rsidRPr="00081B73" w:rsidRDefault="00A131AD" w:rsidP="000C0138">
      <w:pPr>
        <w:spacing w:line="276" w:lineRule="auto"/>
        <w:rPr>
          <w:rFonts w:ascii="Times New Roman" w:hAnsi="Times New Roman"/>
          <w:sz w:val="20"/>
          <w:szCs w:val="20"/>
          <w:lang w:val="bs-Latn-BA"/>
        </w:rPr>
      </w:pPr>
    </w:p>
    <w:p w:rsidR="00A131AD" w:rsidRPr="00081B73" w:rsidRDefault="00A131AD" w:rsidP="000C0138">
      <w:pPr>
        <w:spacing w:line="276" w:lineRule="auto"/>
        <w:rPr>
          <w:rFonts w:ascii="Times New Roman" w:hAnsi="Times New Roman"/>
          <w:sz w:val="20"/>
          <w:szCs w:val="20"/>
          <w:lang w:val="bs-Latn-BA"/>
        </w:rPr>
      </w:pPr>
    </w:p>
    <w:p w:rsidR="00A131AD" w:rsidRPr="00081B73" w:rsidRDefault="00A131AD" w:rsidP="000C0138">
      <w:pPr>
        <w:spacing w:line="276" w:lineRule="auto"/>
        <w:rPr>
          <w:rFonts w:ascii="Times New Roman" w:hAnsi="Times New Roman"/>
          <w:sz w:val="20"/>
          <w:szCs w:val="20"/>
          <w:lang w:val="bs-Latn-BA"/>
        </w:rPr>
      </w:pPr>
    </w:p>
    <w:p w:rsidR="00A131AD" w:rsidRPr="00081B73" w:rsidRDefault="00A131AD" w:rsidP="000C0138">
      <w:pPr>
        <w:spacing w:line="276" w:lineRule="auto"/>
        <w:rPr>
          <w:rFonts w:ascii="Times New Roman" w:hAnsi="Times New Roman"/>
          <w:sz w:val="20"/>
          <w:szCs w:val="20"/>
          <w:lang w:val="bs-Latn-BA"/>
        </w:rPr>
      </w:pPr>
    </w:p>
    <w:p w:rsidR="00A131AD" w:rsidRPr="00081B73" w:rsidRDefault="00A131AD" w:rsidP="000C0138">
      <w:pPr>
        <w:spacing w:line="276" w:lineRule="auto"/>
        <w:rPr>
          <w:rFonts w:ascii="Times New Roman" w:hAnsi="Times New Roman"/>
          <w:sz w:val="20"/>
          <w:szCs w:val="20"/>
          <w:lang w:val="bs-Latn-BA"/>
        </w:rPr>
      </w:pPr>
    </w:p>
    <w:p w:rsidR="00A131AD" w:rsidRPr="00081B73" w:rsidRDefault="00A131AD" w:rsidP="000C0138">
      <w:pPr>
        <w:spacing w:line="276" w:lineRule="auto"/>
        <w:rPr>
          <w:rFonts w:ascii="Times New Roman" w:hAnsi="Times New Roman"/>
          <w:sz w:val="20"/>
          <w:szCs w:val="20"/>
          <w:lang w:val="bs-Latn-BA"/>
        </w:rPr>
      </w:pPr>
    </w:p>
    <w:p w:rsidR="00A131AD" w:rsidRPr="00081B73" w:rsidRDefault="00A131AD" w:rsidP="000C0138">
      <w:pPr>
        <w:spacing w:line="276" w:lineRule="auto"/>
        <w:rPr>
          <w:rFonts w:ascii="Times New Roman" w:hAnsi="Times New Roman"/>
          <w:sz w:val="20"/>
          <w:szCs w:val="20"/>
          <w:lang w:val="bs-Latn-BA"/>
        </w:rPr>
      </w:pPr>
    </w:p>
    <w:p w:rsidR="00A131AD" w:rsidRPr="00081B73" w:rsidRDefault="00A131AD" w:rsidP="000C0138">
      <w:pPr>
        <w:spacing w:line="276" w:lineRule="auto"/>
        <w:rPr>
          <w:rFonts w:ascii="Times New Roman" w:hAnsi="Times New Roman"/>
          <w:sz w:val="20"/>
          <w:szCs w:val="20"/>
          <w:lang w:val="bs-Latn-BA"/>
        </w:rPr>
      </w:pPr>
    </w:p>
    <w:p w:rsidR="00A131AD" w:rsidRPr="00081B73" w:rsidRDefault="00A131AD" w:rsidP="000C0138">
      <w:pPr>
        <w:spacing w:line="276" w:lineRule="auto"/>
        <w:rPr>
          <w:rFonts w:ascii="Times New Roman" w:hAnsi="Times New Roman"/>
          <w:sz w:val="20"/>
          <w:szCs w:val="20"/>
          <w:lang w:val="bs-Latn-BA"/>
        </w:rPr>
      </w:pPr>
    </w:p>
    <w:p w:rsidR="00A131AD" w:rsidRPr="00081B73" w:rsidRDefault="00A131AD" w:rsidP="000C0138">
      <w:pPr>
        <w:spacing w:line="276" w:lineRule="auto"/>
        <w:rPr>
          <w:rFonts w:ascii="Times New Roman" w:hAnsi="Times New Roman"/>
          <w:sz w:val="20"/>
          <w:szCs w:val="20"/>
          <w:lang w:val="bs-Latn-BA"/>
        </w:rPr>
      </w:pPr>
    </w:p>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 xml:space="preserve"> * procjena broja stanovnika na dan 30.06.2015. godine</w:t>
      </w:r>
    </w:p>
    <w:p w:rsidR="00A131AD" w:rsidRPr="00081B73" w:rsidRDefault="00624C80" w:rsidP="00CF03C8">
      <w:pPr>
        <w:pStyle w:val="refererere"/>
        <w:rPr>
          <w:lang w:val="bs-Latn-BA"/>
        </w:rPr>
      </w:pPr>
      <w:r>
        <w:rPr>
          <w:lang w:val="bs-Latn-BA"/>
        </w:rPr>
        <w:t>Tab</w:t>
      </w:r>
      <w:r w:rsidR="00A131AD" w:rsidRPr="00081B73">
        <w:rPr>
          <w:lang w:val="bs-Latn-BA"/>
        </w:rPr>
        <w:t>l</w:t>
      </w:r>
      <w:r>
        <w:rPr>
          <w:lang w:val="bs-Latn-BA"/>
        </w:rPr>
        <w:t>ic</w:t>
      </w:r>
      <w:r w:rsidR="00A131AD" w:rsidRPr="00081B73">
        <w:rPr>
          <w:lang w:val="bs-Latn-BA"/>
        </w:rPr>
        <w:t xml:space="preserve">a  2: Preliminarni pokazatelji </w:t>
      </w:r>
      <w:r w:rsidR="00A131AD" w:rsidRPr="00081B73">
        <w:t>vitalne</w:t>
      </w:r>
      <w:r w:rsidR="00A131AD" w:rsidRPr="00081B73">
        <w:rPr>
          <w:lang w:val="bs-Latn-BA"/>
        </w:rPr>
        <w:t xml:space="preserve"> statistike za 2010 i  2015. godinu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671"/>
        <w:gridCol w:w="2689"/>
        <w:gridCol w:w="2496"/>
      </w:tblGrid>
      <w:tr w:rsidR="00A131AD" w:rsidRPr="00081B73" w:rsidTr="001911A6">
        <w:tc>
          <w:tcPr>
            <w:tcW w:w="3671" w:type="dxa"/>
            <w:shd w:val="clear" w:color="auto" w:fill="FFFF00"/>
          </w:tcPr>
          <w:p w:rsidR="00A131AD" w:rsidRPr="00081B73" w:rsidRDefault="00A131AD" w:rsidP="000C0138">
            <w:pPr>
              <w:spacing w:line="276" w:lineRule="auto"/>
              <w:jc w:val="center"/>
              <w:rPr>
                <w:rFonts w:ascii="Times New Roman" w:hAnsi="Times New Roman"/>
                <w:sz w:val="20"/>
                <w:szCs w:val="20"/>
                <w:lang w:val="bs-Latn-BA"/>
              </w:rPr>
            </w:pPr>
          </w:p>
        </w:tc>
        <w:tc>
          <w:tcPr>
            <w:tcW w:w="2689"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2010.</w:t>
            </w:r>
          </w:p>
        </w:tc>
        <w:tc>
          <w:tcPr>
            <w:tcW w:w="2496"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2015.</w:t>
            </w:r>
          </w:p>
        </w:tc>
      </w:tr>
      <w:tr w:rsidR="00A131AD" w:rsidRPr="00081B73" w:rsidTr="001911A6">
        <w:tc>
          <w:tcPr>
            <w:tcW w:w="3671"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Natalitet</w:t>
            </w:r>
          </w:p>
        </w:tc>
        <w:tc>
          <w:tcPr>
            <w:tcW w:w="2689" w:type="dxa"/>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5,9</w:t>
            </w:r>
          </w:p>
        </w:tc>
        <w:tc>
          <w:tcPr>
            <w:tcW w:w="2496" w:type="dxa"/>
          </w:tcPr>
          <w:p w:rsidR="00A131AD" w:rsidRPr="00081B73" w:rsidRDefault="00A131AD" w:rsidP="000C0138">
            <w:pPr>
              <w:spacing w:line="276" w:lineRule="auto"/>
              <w:ind w:right="453"/>
              <w:jc w:val="center"/>
              <w:rPr>
                <w:rFonts w:ascii="Times New Roman" w:hAnsi="Times New Roman"/>
                <w:sz w:val="20"/>
                <w:szCs w:val="20"/>
                <w:lang w:val="bs-Latn-BA"/>
              </w:rPr>
            </w:pPr>
            <w:r w:rsidRPr="00081B73">
              <w:rPr>
                <w:rFonts w:ascii="Times New Roman" w:hAnsi="Times New Roman"/>
                <w:sz w:val="20"/>
                <w:szCs w:val="20"/>
                <w:lang w:val="bs-Latn-BA"/>
              </w:rPr>
              <w:t>5,1</w:t>
            </w:r>
          </w:p>
        </w:tc>
      </w:tr>
      <w:tr w:rsidR="00A131AD" w:rsidRPr="00081B73" w:rsidTr="001911A6">
        <w:tc>
          <w:tcPr>
            <w:tcW w:w="3671"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Mortalitet</w:t>
            </w:r>
          </w:p>
        </w:tc>
        <w:tc>
          <w:tcPr>
            <w:tcW w:w="2689" w:type="dxa"/>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12,2</w:t>
            </w:r>
          </w:p>
        </w:tc>
        <w:tc>
          <w:tcPr>
            <w:tcW w:w="2496" w:type="dxa"/>
          </w:tcPr>
          <w:p w:rsidR="00A131AD" w:rsidRPr="00081B73" w:rsidRDefault="00A131AD" w:rsidP="000C0138">
            <w:pPr>
              <w:spacing w:line="276" w:lineRule="auto"/>
              <w:ind w:right="453"/>
              <w:jc w:val="center"/>
              <w:rPr>
                <w:rFonts w:ascii="Times New Roman" w:hAnsi="Times New Roman"/>
                <w:sz w:val="20"/>
                <w:szCs w:val="20"/>
                <w:lang w:val="bs-Latn-BA"/>
              </w:rPr>
            </w:pPr>
            <w:r w:rsidRPr="00081B73">
              <w:rPr>
                <w:rFonts w:ascii="Times New Roman" w:hAnsi="Times New Roman"/>
                <w:sz w:val="20"/>
                <w:szCs w:val="20"/>
                <w:lang w:val="bs-Latn-BA"/>
              </w:rPr>
              <w:t>12,1</w:t>
            </w:r>
          </w:p>
        </w:tc>
      </w:tr>
      <w:tr w:rsidR="00A131AD" w:rsidRPr="00081B73" w:rsidTr="001911A6">
        <w:tc>
          <w:tcPr>
            <w:tcW w:w="3671"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Smrtnost dojenčadi</w:t>
            </w:r>
          </w:p>
        </w:tc>
        <w:tc>
          <w:tcPr>
            <w:tcW w:w="2689" w:type="dxa"/>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0</w:t>
            </w:r>
          </w:p>
        </w:tc>
        <w:tc>
          <w:tcPr>
            <w:tcW w:w="2496" w:type="dxa"/>
          </w:tcPr>
          <w:p w:rsidR="00A131AD" w:rsidRPr="00081B73" w:rsidRDefault="00A131AD" w:rsidP="000C0138">
            <w:pPr>
              <w:spacing w:line="276" w:lineRule="auto"/>
              <w:ind w:right="453"/>
              <w:jc w:val="center"/>
              <w:rPr>
                <w:rFonts w:ascii="Times New Roman" w:hAnsi="Times New Roman"/>
                <w:sz w:val="20"/>
                <w:szCs w:val="20"/>
                <w:lang w:val="bs-Latn-BA"/>
              </w:rPr>
            </w:pPr>
            <w:r w:rsidRPr="00081B73">
              <w:rPr>
                <w:rFonts w:ascii="Times New Roman" w:hAnsi="Times New Roman"/>
                <w:sz w:val="20"/>
                <w:szCs w:val="20"/>
                <w:lang w:val="bs-Latn-BA"/>
              </w:rPr>
              <w:t>10,3</w:t>
            </w:r>
          </w:p>
        </w:tc>
      </w:tr>
      <w:tr w:rsidR="00A131AD" w:rsidRPr="00081B73" w:rsidTr="001911A6">
        <w:tc>
          <w:tcPr>
            <w:tcW w:w="3671" w:type="dxa"/>
          </w:tcPr>
          <w:p w:rsidR="00A131AD" w:rsidRPr="00081B73" w:rsidRDefault="00A131AD" w:rsidP="00624C80">
            <w:pPr>
              <w:spacing w:line="276" w:lineRule="auto"/>
              <w:rPr>
                <w:rFonts w:ascii="Times New Roman" w:hAnsi="Times New Roman"/>
                <w:sz w:val="20"/>
                <w:szCs w:val="20"/>
                <w:lang w:val="bs-Latn-BA"/>
              </w:rPr>
            </w:pPr>
            <w:r w:rsidRPr="00081B73">
              <w:rPr>
                <w:rFonts w:ascii="Times New Roman" w:hAnsi="Times New Roman"/>
                <w:sz w:val="20"/>
                <w:szCs w:val="20"/>
                <w:lang w:val="bs-Latn-BA"/>
              </w:rPr>
              <w:t>Prirodni prira</w:t>
            </w:r>
            <w:r w:rsidR="00624C80">
              <w:rPr>
                <w:rFonts w:ascii="Times New Roman" w:hAnsi="Times New Roman"/>
                <w:sz w:val="20"/>
                <w:szCs w:val="20"/>
                <w:lang w:val="bs-Latn-BA"/>
              </w:rPr>
              <w:t>st</w:t>
            </w:r>
          </w:p>
        </w:tc>
        <w:tc>
          <w:tcPr>
            <w:tcW w:w="2689" w:type="dxa"/>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-6,3</w:t>
            </w:r>
          </w:p>
        </w:tc>
        <w:tc>
          <w:tcPr>
            <w:tcW w:w="2496" w:type="dxa"/>
          </w:tcPr>
          <w:p w:rsidR="00A131AD" w:rsidRPr="00081B73" w:rsidRDefault="00A131AD" w:rsidP="000C0138">
            <w:pPr>
              <w:spacing w:line="276" w:lineRule="auto"/>
              <w:ind w:right="453"/>
              <w:jc w:val="center"/>
              <w:rPr>
                <w:rFonts w:ascii="Times New Roman" w:hAnsi="Times New Roman"/>
                <w:sz w:val="20"/>
                <w:szCs w:val="20"/>
                <w:lang w:val="bs-Latn-BA"/>
              </w:rPr>
            </w:pPr>
            <w:r w:rsidRPr="00081B73">
              <w:rPr>
                <w:rFonts w:ascii="Times New Roman" w:hAnsi="Times New Roman"/>
                <w:sz w:val="20"/>
                <w:szCs w:val="20"/>
                <w:lang w:val="bs-Latn-BA"/>
              </w:rPr>
              <w:t>-7,1</w:t>
            </w:r>
          </w:p>
        </w:tc>
      </w:tr>
    </w:tbl>
    <w:p w:rsidR="00A131AD" w:rsidRPr="00081B73" w:rsidRDefault="00A131AD" w:rsidP="000C0138">
      <w:pPr>
        <w:spacing w:line="276" w:lineRule="auto"/>
        <w:rPr>
          <w:rFonts w:ascii="Times New Roman" w:hAnsi="Times New Roman"/>
          <w:sz w:val="20"/>
          <w:szCs w:val="20"/>
          <w:lang w:val="bs-Latn-BA"/>
        </w:rPr>
      </w:pPr>
    </w:p>
    <w:p w:rsidR="00A131AD" w:rsidRPr="00081B73" w:rsidRDefault="00A131AD" w:rsidP="00CF03C8">
      <w:pPr>
        <w:pStyle w:val="refererere"/>
        <w:rPr>
          <w:lang w:val="bs-Latn-BA"/>
        </w:rPr>
      </w:pPr>
      <w:r w:rsidRPr="00081B73">
        <w:rPr>
          <w:lang w:val="bs-Latn-BA"/>
        </w:rPr>
        <w:t>Tabl</w:t>
      </w:r>
      <w:r w:rsidR="00624C80">
        <w:rPr>
          <w:lang w:val="bs-Latn-BA"/>
        </w:rPr>
        <w:t>ic</w:t>
      </w:r>
      <w:r w:rsidRPr="00081B73">
        <w:rPr>
          <w:lang w:val="bs-Latn-BA"/>
        </w:rPr>
        <w:t>a 3: Vodeći uzroci smrti za 2010</w:t>
      </w:r>
      <w:r w:rsidR="00624C80">
        <w:rPr>
          <w:lang w:val="bs-Latn-BA"/>
        </w:rPr>
        <w:t>.</w:t>
      </w:r>
      <w:r w:rsidRPr="00081B73">
        <w:rPr>
          <w:lang w:val="bs-Latn-BA"/>
        </w:rPr>
        <w:t xml:space="preserve"> i  2015. godinu *</w:t>
      </w:r>
    </w:p>
    <w:tbl>
      <w:tblPr>
        <w:tblW w:w="92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88"/>
        <w:gridCol w:w="2739"/>
        <w:gridCol w:w="567"/>
        <w:gridCol w:w="850"/>
        <w:gridCol w:w="426"/>
        <w:gridCol w:w="2693"/>
        <w:gridCol w:w="573"/>
        <w:gridCol w:w="935"/>
      </w:tblGrid>
      <w:tr w:rsidR="00A131AD" w:rsidRPr="00081B73" w:rsidTr="001911A6">
        <w:trPr>
          <w:trHeight w:val="405"/>
        </w:trPr>
        <w:tc>
          <w:tcPr>
            <w:tcW w:w="4644" w:type="dxa"/>
            <w:gridSpan w:val="4"/>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2010.</w:t>
            </w:r>
          </w:p>
        </w:tc>
        <w:tc>
          <w:tcPr>
            <w:tcW w:w="4627" w:type="dxa"/>
            <w:gridSpan w:val="4"/>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2015.</w:t>
            </w:r>
          </w:p>
        </w:tc>
      </w:tr>
      <w:tr w:rsidR="00A131AD" w:rsidRPr="00081B73" w:rsidTr="001911A6">
        <w:trPr>
          <w:trHeight w:val="345"/>
        </w:trPr>
        <w:tc>
          <w:tcPr>
            <w:tcW w:w="488" w:type="dxa"/>
            <w:shd w:val="clear" w:color="auto" w:fill="FFFF00"/>
            <w:vAlign w:val="center"/>
          </w:tcPr>
          <w:p w:rsidR="00A131AD" w:rsidRPr="00081B73" w:rsidRDefault="00A131AD" w:rsidP="000C0138">
            <w:pPr>
              <w:spacing w:line="276" w:lineRule="auto"/>
              <w:ind w:right="-108"/>
              <w:jc w:val="center"/>
              <w:rPr>
                <w:rFonts w:ascii="Times New Roman" w:hAnsi="Times New Roman"/>
                <w:bCs/>
                <w:sz w:val="20"/>
                <w:szCs w:val="20"/>
                <w:lang w:val="bs-Latn-BA"/>
              </w:rPr>
            </w:pPr>
            <w:r w:rsidRPr="00081B73">
              <w:rPr>
                <w:rFonts w:ascii="Times New Roman" w:hAnsi="Times New Roman"/>
                <w:bCs/>
                <w:sz w:val="20"/>
                <w:szCs w:val="20"/>
                <w:lang w:val="bs-Latn-BA"/>
              </w:rPr>
              <w:t>Rang</w:t>
            </w:r>
          </w:p>
        </w:tc>
        <w:tc>
          <w:tcPr>
            <w:tcW w:w="2739"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Oboljenje</w:t>
            </w:r>
          </w:p>
        </w:tc>
        <w:tc>
          <w:tcPr>
            <w:tcW w:w="567"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Broj umrlih</w:t>
            </w:r>
          </w:p>
        </w:tc>
        <w:tc>
          <w:tcPr>
            <w:tcW w:w="850"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Indeks strukture (%)</w:t>
            </w:r>
          </w:p>
        </w:tc>
        <w:tc>
          <w:tcPr>
            <w:tcW w:w="426" w:type="dxa"/>
            <w:shd w:val="clear" w:color="auto" w:fill="FFFF00"/>
            <w:vAlign w:val="center"/>
          </w:tcPr>
          <w:p w:rsidR="00A131AD" w:rsidRPr="00081B73" w:rsidRDefault="00A131AD" w:rsidP="000C0138">
            <w:pPr>
              <w:spacing w:line="276" w:lineRule="auto"/>
              <w:ind w:right="-108"/>
              <w:rPr>
                <w:rFonts w:ascii="Times New Roman" w:hAnsi="Times New Roman"/>
                <w:bCs/>
                <w:sz w:val="20"/>
                <w:szCs w:val="20"/>
                <w:lang w:val="bs-Latn-BA"/>
              </w:rPr>
            </w:pPr>
            <w:r w:rsidRPr="00081B73">
              <w:rPr>
                <w:rFonts w:ascii="Times New Roman" w:hAnsi="Times New Roman"/>
                <w:bCs/>
                <w:sz w:val="20"/>
                <w:szCs w:val="20"/>
                <w:lang w:val="bs-Latn-BA"/>
              </w:rPr>
              <w:t>Rang</w:t>
            </w:r>
          </w:p>
        </w:tc>
        <w:tc>
          <w:tcPr>
            <w:tcW w:w="2693"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Oboljenje</w:t>
            </w:r>
          </w:p>
        </w:tc>
        <w:tc>
          <w:tcPr>
            <w:tcW w:w="573"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Broj umrlih</w:t>
            </w:r>
          </w:p>
        </w:tc>
        <w:tc>
          <w:tcPr>
            <w:tcW w:w="935"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Indeks strukture (%)</w:t>
            </w:r>
          </w:p>
        </w:tc>
      </w:tr>
      <w:tr w:rsidR="00A131AD" w:rsidRPr="00081B73" w:rsidTr="001911A6">
        <w:tc>
          <w:tcPr>
            <w:tcW w:w="488"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1</w:t>
            </w:r>
          </w:p>
        </w:tc>
        <w:tc>
          <w:tcPr>
            <w:tcW w:w="2739"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 xml:space="preserve">Srčani zastoj </w:t>
            </w:r>
            <w:r w:rsidRPr="00081B73">
              <w:rPr>
                <w:rFonts w:ascii="Times New Roman" w:hAnsi="Times New Roman"/>
                <w:sz w:val="20"/>
                <w:szCs w:val="20"/>
              </w:rPr>
              <w:t>( I46)</w:t>
            </w:r>
          </w:p>
        </w:tc>
        <w:tc>
          <w:tcPr>
            <w:tcW w:w="567"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69</w:t>
            </w:r>
          </w:p>
        </w:tc>
        <w:tc>
          <w:tcPr>
            <w:tcW w:w="850" w:type="dxa"/>
          </w:tcPr>
          <w:p w:rsidR="00A131AD" w:rsidRPr="00081B73" w:rsidRDefault="00A131AD" w:rsidP="000C0138">
            <w:pPr>
              <w:tabs>
                <w:tab w:val="left" w:pos="300"/>
              </w:tabs>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14,3</w:t>
            </w:r>
          </w:p>
        </w:tc>
        <w:tc>
          <w:tcPr>
            <w:tcW w:w="426"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1</w:t>
            </w:r>
          </w:p>
        </w:tc>
        <w:tc>
          <w:tcPr>
            <w:tcW w:w="2693"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Kardiomiopatija (I42)</w:t>
            </w:r>
          </w:p>
        </w:tc>
        <w:tc>
          <w:tcPr>
            <w:tcW w:w="573"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77</w:t>
            </w:r>
          </w:p>
        </w:tc>
        <w:tc>
          <w:tcPr>
            <w:tcW w:w="935"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16,6</w:t>
            </w:r>
          </w:p>
        </w:tc>
      </w:tr>
      <w:tr w:rsidR="00A131AD" w:rsidRPr="00081B73" w:rsidTr="001911A6">
        <w:tc>
          <w:tcPr>
            <w:tcW w:w="488"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2</w:t>
            </w:r>
          </w:p>
        </w:tc>
        <w:tc>
          <w:tcPr>
            <w:tcW w:w="2739" w:type="dxa"/>
          </w:tcPr>
          <w:p w:rsidR="00A131AD" w:rsidRPr="00081B73" w:rsidRDefault="00A131AD" w:rsidP="000C0138">
            <w:pPr>
              <w:tabs>
                <w:tab w:val="right" w:pos="2523"/>
              </w:tabs>
              <w:spacing w:line="276" w:lineRule="auto"/>
              <w:rPr>
                <w:rFonts w:ascii="Times New Roman" w:hAnsi="Times New Roman"/>
                <w:sz w:val="20"/>
                <w:szCs w:val="20"/>
                <w:lang w:val="bs-Latn-BA"/>
              </w:rPr>
            </w:pPr>
            <w:r w:rsidRPr="00081B73">
              <w:rPr>
                <w:rFonts w:ascii="Times New Roman" w:hAnsi="Times New Roman"/>
                <w:sz w:val="20"/>
                <w:szCs w:val="20"/>
                <w:lang w:val="bs-Latn-BA"/>
              </w:rPr>
              <w:t xml:space="preserve">Kardiomiopatija </w:t>
            </w:r>
            <w:r w:rsidRPr="00081B73">
              <w:rPr>
                <w:rFonts w:ascii="Times New Roman" w:hAnsi="Times New Roman"/>
                <w:sz w:val="20"/>
                <w:szCs w:val="20"/>
              </w:rPr>
              <w:t>(I42)</w:t>
            </w:r>
          </w:p>
        </w:tc>
        <w:tc>
          <w:tcPr>
            <w:tcW w:w="567"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57</w:t>
            </w:r>
          </w:p>
        </w:tc>
        <w:tc>
          <w:tcPr>
            <w:tcW w:w="850" w:type="dxa"/>
          </w:tcPr>
          <w:p w:rsidR="00A131AD" w:rsidRPr="00081B73" w:rsidRDefault="00A131AD" w:rsidP="000C0138">
            <w:pPr>
              <w:tabs>
                <w:tab w:val="left" w:pos="480"/>
              </w:tabs>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11,8</w:t>
            </w:r>
          </w:p>
        </w:tc>
        <w:tc>
          <w:tcPr>
            <w:tcW w:w="426"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2</w:t>
            </w:r>
          </w:p>
        </w:tc>
        <w:tc>
          <w:tcPr>
            <w:tcW w:w="2693" w:type="dxa"/>
          </w:tcPr>
          <w:p w:rsidR="00A131AD" w:rsidRPr="00081B73" w:rsidRDefault="00624C80" w:rsidP="000C0138">
            <w:pPr>
              <w:spacing w:line="276" w:lineRule="auto"/>
              <w:rPr>
                <w:rFonts w:ascii="Times New Roman" w:hAnsi="Times New Roman"/>
                <w:sz w:val="20"/>
                <w:szCs w:val="20"/>
                <w:lang w:val="bs-Latn-BA"/>
              </w:rPr>
            </w:pPr>
            <w:r>
              <w:rPr>
                <w:rFonts w:ascii="Times New Roman" w:hAnsi="Times New Roman"/>
                <w:sz w:val="20"/>
                <w:szCs w:val="20"/>
                <w:lang w:val="bs-Latn-BA"/>
              </w:rPr>
              <w:t>K</w:t>
            </w:r>
            <w:r w:rsidR="00A131AD" w:rsidRPr="00081B73">
              <w:rPr>
                <w:rFonts w:ascii="Times New Roman" w:hAnsi="Times New Roman"/>
                <w:sz w:val="20"/>
                <w:szCs w:val="20"/>
                <w:lang w:val="bs-Latn-BA"/>
              </w:rPr>
              <w:t>ronična ishemična oboljenja srca (I25)</w:t>
            </w:r>
          </w:p>
        </w:tc>
        <w:tc>
          <w:tcPr>
            <w:tcW w:w="573"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34</w:t>
            </w:r>
          </w:p>
        </w:tc>
        <w:tc>
          <w:tcPr>
            <w:tcW w:w="935"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7,3</w:t>
            </w:r>
          </w:p>
        </w:tc>
      </w:tr>
      <w:tr w:rsidR="00A131AD" w:rsidRPr="00081B73" w:rsidTr="001911A6">
        <w:trPr>
          <w:trHeight w:val="554"/>
        </w:trPr>
        <w:tc>
          <w:tcPr>
            <w:tcW w:w="488"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3</w:t>
            </w:r>
          </w:p>
        </w:tc>
        <w:tc>
          <w:tcPr>
            <w:tcW w:w="2739"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 xml:space="preserve">Akutni infarkt miokarda </w:t>
            </w:r>
            <w:r w:rsidRPr="00081B73">
              <w:rPr>
                <w:rFonts w:ascii="Times New Roman" w:hAnsi="Times New Roman"/>
                <w:sz w:val="20"/>
                <w:szCs w:val="20"/>
              </w:rPr>
              <w:t>( I21)</w:t>
            </w:r>
          </w:p>
        </w:tc>
        <w:tc>
          <w:tcPr>
            <w:tcW w:w="567"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24</w:t>
            </w:r>
          </w:p>
        </w:tc>
        <w:tc>
          <w:tcPr>
            <w:tcW w:w="85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5,0</w:t>
            </w:r>
          </w:p>
        </w:tc>
        <w:tc>
          <w:tcPr>
            <w:tcW w:w="426"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3</w:t>
            </w:r>
          </w:p>
        </w:tc>
        <w:tc>
          <w:tcPr>
            <w:tcW w:w="2693"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Srčana slabost (I50)</w:t>
            </w:r>
          </w:p>
        </w:tc>
        <w:tc>
          <w:tcPr>
            <w:tcW w:w="573"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31</w:t>
            </w:r>
          </w:p>
        </w:tc>
        <w:tc>
          <w:tcPr>
            <w:tcW w:w="935"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6,7</w:t>
            </w:r>
          </w:p>
        </w:tc>
      </w:tr>
      <w:tr w:rsidR="00A131AD" w:rsidRPr="00081B73" w:rsidTr="001911A6">
        <w:tc>
          <w:tcPr>
            <w:tcW w:w="488"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4</w:t>
            </w:r>
          </w:p>
        </w:tc>
        <w:tc>
          <w:tcPr>
            <w:tcW w:w="2739"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 xml:space="preserve">Sekvele cerebrovaskularnih oboljenja </w:t>
            </w:r>
            <w:r w:rsidRPr="00081B73">
              <w:rPr>
                <w:rFonts w:ascii="Times New Roman" w:hAnsi="Times New Roman"/>
                <w:sz w:val="20"/>
                <w:szCs w:val="20"/>
              </w:rPr>
              <w:t>(I69)</w:t>
            </w:r>
          </w:p>
        </w:tc>
        <w:tc>
          <w:tcPr>
            <w:tcW w:w="567"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22</w:t>
            </w:r>
          </w:p>
        </w:tc>
        <w:tc>
          <w:tcPr>
            <w:tcW w:w="85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4,6</w:t>
            </w:r>
          </w:p>
        </w:tc>
        <w:tc>
          <w:tcPr>
            <w:tcW w:w="426"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4</w:t>
            </w:r>
          </w:p>
        </w:tc>
        <w:tc>
          <w:tcPr>
            <w:tcW w:w="2693" w:type="dxa"/>
            <w:vAlign w:val="bottom"/>
          </w:tcPr>
          <w:p w:rsidR="00A131AD" w:rsidRPr="00081B73" w:rsidRDefault="00A131AD" w:rsidP="000C0138">
            <w:pPr>
              <w:spacing w:line="276" w:lineRule="auto"/>
              <w:jc w:val="left"/>
              <w:rPr>
                <w:rFonts w:ascii="Times New Roman" w:hAnsi="Times New Roman"/>
                <w:sz w:val="20"/>
                <w:szCs w:val="20"/>
                <w:lang w:val="en-US"/>
              </w:rPr>
            </w:pPr>
            <w:r w:rsidRPr="00081B73">
              <w:rPr>
                <w:rFonts w:ascii="Times New Roman" w:hAnsi="Times New Roman"/>
                <w:sz w:val="20"/>
                <w:szCs w:val="20"/>
                <w:lang w:val="en-US"/>
              </w:rPr>
              <w:t>Moždani udar (I63)</w:t>
            </w:r>
          </w:p>
        </w:tc>
        <w:tc>
          <w:tcPr>
            <w:tcW w:w="573"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28</w:t>
            </w:r>
          </w:p>
        </w:tc>
        <w:tc>
          <w:tcPr>
            <w:tcW w:w="935"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6,0</w:t>
            </w:r>
          </w:p>
        </w:tc>
      </w:tr>
      <w:tr w:rsidR="00A131AD" w:rsidRPr="00081B73" w:rsidTr="001911A6">
        <w:tc>
          <w:tcPr>
            <w:tcW w:w="488"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5</w:t>
            </w:r>
          </w:p>
        </w:tc>
        <w:tc>
          <w:tcPr>
            <w:tcW w:w="2739"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 xml:space="preserve">Maligna neoplazma bronha i pluća </w:t>
            </w:r>
            <w:r w:rsidRPr="00081B73">
              <w:rPr>
                <w:rFonts w:ascii="Times New Roman" w:hAnsi="Times New Roman"/>
                <w:sz w:val="20"/>
                <w:szCs w:val="20"/>
              </w:rPr>
              <w:t>(C34)</w:t>
            </w:r>
          </w:p>
        </w:tc>
        <w:tc>
          <w:tcPr>
            <w:tcW w:w="567"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18</w:t>
            </w:r>
          </w:p>
        </w:tc>
        <w:tc>
          <w:tcPr>
            <w:tcW w:w="85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3,7</w:t>
            </w:r>
          </w:p>
        </w:tc>
        <w:tc>
          <w:tcPr>
            <w:tcW w:w="426"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5</w:t>
            </w:r>
          </w:p>
        </w:tc>
        <w:tc>
          <w:tcPr>
            <w:tcW w:w="2693" w:type="dxa"/>
          </w:tcPr>
          <w:p w:rsidR="00A131AD" w:rsidRPr="00081B73" w:rsidRDefault="00A131AD" w:rsidP="000C0138">
            <w:pPr>
              <w:spacing w:line="276" w:lineRule="auto"/>
              <w:jc w:val="left"/>
              <w:rPr>
                <w:rFonts w:ascii="Times New Roman" w:hAnsi="Times New Roman"/>
                <w:sz w:val="20"/>
                <w:szCs w:val="20"/>
                <w:lang w:val="bs-Latn-BA"/>
              </w:rPr>
            </w:pPr>
            <w:r w:rsidRPr="00081B73">
              <w:rPr>
                <w:rFonts w:ascii="Times New Roman" w:hAnsi="Times New Roman"/>
                <w:sz w:val="20"/>
                <w:szCs w:val="20"/>
                <w:lang w:val="bs-Latn-BA"/>
              </w:rPr>
              <w:t>Maligna neoplazma bronha i pluća (C34)</w:t>
            </w:r>
          </w:p>
        </w:tc>
        <w:tc>
          <w:tcPr>
            <w:tcW w:w="573"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17</w:t>
            </w:r>
          </w:p>
        </w:tc>
        <w:tc>
          <w:tcPr>
            <w:tcW w:w="935"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3,7</w:t>
            </w:r>
          </w:p>
        </w:tc>
      </w:tr>
      <w:tr w:rsidR="00A131AD" w:rsidRPr="00081B73" w:rsidTr="001911A6">
        <w:tc>
          <w:tcPr>
            <w:tcW w:w="488" w:type="dxa"/>
          </w:tcPr>
          <w:p w:rsidR="00A131AD" w:rsidRPr="00081B73" w:rsidRDefault="00A131AD" w:rsidP="000C0138">
            <w:pPr>
              <w:spacing w:line="276" w:lineRule="auto"/>
              <w:ind w:right="-108"/>
              <w:jc w:val="center"/>
              <w:rPr>
                <w:rFonts w:ascii="Times New Roman" w:hAnsi="Times New Roman"/>
                <w:sz w:val="20"/>
                <w:szCs w:val="20"/>
                <w:lang w:val="bs-Latn-BA"/>
              </w:rPr>
            </w:pPr>
          </w:p>
        </w:tc>
        <w:tc>
          <w:tcPr>
            <w:tcW w:w="2739"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Ostali uzroci smrti</w:t>
            </w:r>
          </w:p>
        </w:tc>
        <w:tc>
          <w:tcPr>
            <w:tcW w:w="567"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292</w:t>
            </w:r>
          </w:p>
        </w:tc>
        <w:tc>
          <w:tcPr>
            <w:tcW w:w="85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60,6</w:t>
            </w:r>
          </w:p>
        </w:tc>
        <w:tc>
          <w:tcPr>
            <w:tcW w:w="426" w:type="dxa"/>
          </w:tcPr>
          <w:p w:rsidR="00A131AD" w:rsidRPr="00081B73" w:rsidRDefault="00A131AD" w:rsidP="000C0138">
            <w:pPr>
              <w:spacing w:line="276" w:lineRule="auto"/>
              <w:ind w:right="-108"/>
              <w:jc w:val="center"/>
              <w:rPr>
                <w:rFonts w:ascii="Times New Roman" w:hAnsi="Times New Roman"/>
                <w:sz w:val="20"/>
                <w:szCs w:val="20"/>
                <w:lang w:val="bs-Latn-BA"/>
              </w:rPr>
            </w:pPr>
          </w:p>
        </w:tc>
        <w:tc>
          <w:tcPr>
            <w:tcW w:w="2693"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Ostali uzroci smrti</w:t>
            </w:r>
          </w:p>
        </w:tc>
        <w:tc>
          <w:tcPr>
            <w:tcW w:w="573"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278</w:t>
            </w:r>
          </w:p>
        </w:tc>
        <w:tc>
          <w:tcPr>
            <w:tcW w:w="935"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59,8</w:t>
            </w:r>
          </w:p>
        </w:tc>
      </w:tr>
      <w:tr w:rsidR="00A131AD" w:rsidRPr="00081B73" w:rsidTr="001911A6">
        <w:tc>
          <w:tcPr>
            <w:tcW w:w="488" w:type="dxa"/>
          </w:tcPr>
          <w:p w:rsidR="00A131AD" w:rsidRPr="00081B73" w:rsidRDefault="00A131AD" w:rsidP="000C0138">
            <w:pPr>
              <w:spacing w:line="276" w:lineRule="auto"/>
              <w:ind w:right="-108"/>
              <w:jc w:val="center"/>
              <w:rPr>
                <w:rFonts w:ascii="Times New Roman" w:hAnsi="Times New Roman"/>
                <w:sz w:val="20"/>
                <w:szCs w:val="20"/>
                <w:lang w:val="bs-Latn-BA"/>
              </w:rPr>
            </w:pPr>
          </w:p>
        </w:tc>
        <w:tc>
          <w:tcPr>
            <w:tcW w:w="2739"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Ukupno umrlih</w:t>
            </w:r>
          </w:p>
        </w:tc>
        <w:tc>
          <w:tcPr>
            <w:tcW w:w="567"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482</w:t>
            </w:r>
          </w:p>
        </w:tc>
        <w:tc>
          <w:tcPr>
            <w:tcW w:w="85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100%</w:t>
            </w:r>
          </w:p>
        </w:tc>
        <w:tc>
          <w:tcPr>
            <w:tcW w:w="426" w:type="dxa"/>
          </w:tcPr>
          <w:p w:rsidR="00A131AD" w:rsidRPr="00081B73" w:rsidRDefault="00A131AD" w:rsidP="000C0138">
            <w:pPr>
              <w:spacing w:line="276" w:lineRule="auto"/>
              <w:ind w:right="-108"/>
              <w:jc w:val="center"/>
              <w:rPr>
                <w:rFonts w:ascii="Times New Roman" w:hAnsi="Times New Roman"/>
                <w:sz w:val="20"/>
                <w:szCs w:val="20"/>
                <w:lang w:val="bs-Latn-BA"/>
              </w:rPr>
            </w:pPr>
          </w:p>
        </w:tc>
        <w:tc>
          <w:tcPr>
            <w:tcW w:w="2693"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Ukupno umrlih</w:t>
            </w:r>
          </w:p>
        </w:tc>
        <w:tc>
          <w:tcPr>
            <w:tcW w:w="573"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465</w:t>
            </w:r>
          </w:p>
        </w:tc>
        <w:tc>
          <w:tcPr>
            <w:tcW w:w="935"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100,0</w:t>
            </w:r>
          </w:p>
        </w:tc>
      </w:tr>
    </w:tbl>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 Poda</w:t>
      </w:r>
      <w:r w:rsidR="00624C80">
        <w:rPr>
          <w:rFonts w:ascii="Times New Roman" w:hAnsi="Times New Roman"/>
          <w:sz w:val="20"/>
          <w:szCs w:val="20"/>
          <w:lang w:val="bs-Latn-BA"/>
        </w:rPr>
        <w:t>t</w:t>
      </w:r>
      <w:r w:rsidRPr="00081B73">
        <w:rPr>
          <w:rFonts w:ascii="Times New Roman" w:hAnsi="Times New Roman"/>
          <w:sz w:val="20"/>
          <w:szCs w:val="20"/>
          <w:lang w:val="bs-Latn-BA"/>
        </w:rPr>
        <w:t>ci Federalnog zavoda za statistiku-obrada uzroka smrti FBiH 2015. god.</w:t>
      </w:r>
    </w:p>
    <w:p w:rsidR="00A131AD" w:rsidRPr="00081B73" w:rsidRDefault="00A131AD" w:rsidP="000C0138">
      <w:pPr>
        <w:spacing w:line="276" w:lineRule="auto"/>
        <w:rPr>
          <w:rFonts w:ascii="Times New Roman" w:hAnsi="Times New Roman"/>
          <w:sz w:val="20"/>
          <w:szCs w:val="20"/>
          <w:lang w:val="bs-Latn-BA"/>
        </w:rPr>
      </w:pPr>
    </w:p>
    <w:p w:rsidR="00A131AD" w:rsidRPr="00081B73" w:rsidRDefault="00A131AD" w:rsidP="000C0138">
      <w:pPr>
        <w:spacing w:line="276" w:lineRule="auto"/>
        <w:rPr>
          <w:rFonts w:ascii="Times New Roman" w:hAnsi="Times New Roman"/>
          <w:sz w:val="20"/>
          <w:szCs w:val="20"/>
          <w:lang w:val="bs-Latn-BA"/>
        </w:rPr>
      </w:pPr>
    </w:p>
    <w:p w:rsidR="00CF03C8" w:rsidRPr="00081B73" w:rsidRDefault="00CF03C8" w:rsidP="000C0138">
      <w:pPr>
        <w:spacing w:line="276" w:lineRule="auto"/>
        <w:rPr>
          <w:rFonts w:ascii="Times New Roman" w:hAnsi="Times New Roman"/>
          <w:sz w:val="20"/>
          <w:szCs w:val="20"/>
          <w:lang w:val="bs-Latn-BA"/>
        </w:rPr>
      </w:pPr>
    </w:p>
    <w:p w:rsidR="00CF03C8" w:rsidRDefault="00CF03C8" w:rsidP="00081B73">
      <w:pPr>
        <w:spacing w:after="160" w:line="259" w:lineRule="auto"/>
        <w:jc w:val="left"/>
        <w:rPr>
          <w:rFonts w:ascii="Times New Roman" w:hAnsi="Times New Roman"/>
          <w:sz w:val="20"/>
          <w:szCs w:val="20"/>
          <w:lang w:val="bs-Latn-BA"/>
        </w:rPr>
      </w:pPr>
    </w:p>
    <w:p w:rsidR="00081B73" w:rsidRDefault="00081B73" w:rsidP="00081B73">
      <w:pPr>
        <w:spacing w:after="160" w:line="259" w:lineRule="auto"/>
        <w:jc w:val="left"/>
        <w:rPr>
          <w:rFonts w:ascii="Times New Roman" w:hAnsi="Times New Roman"/>
          <w:sz w:val="20"/>
          <w:szCs w:val="20"/>
          <w:lang w:val="bs-Latn-BA"/>
        </w:rPr>
      </w:pPr>
    </w:p>
    <w:p w:rsidR="00081B73" w:rsidRPr="00081B73" w:rsidRDefault="00081B73" w:rsidP="00081B73">
      <w:pPr>
        <w:spacing w:after="160" w:line="259" w:lineRule="auto"/>
        <w:jc w:val="left"/>
        <w:rPr>
          <w:rFonts w:ascii="Times New Roman" w:hAnsi="Times New Roman"/>
          <w:sz w:val="20"/>
          <w:szCs w:val="20"/>
          <w:lang w:val="bs-Latn-BA"/>
        </w:rPr>
      </w:pPr>
    </w:p>
    <w:p w:rsidR="00A131AD" w:rsidRPr="00081B73" w:rsidRDefault="00A131AD" w:rsidP="000C0138">
      <w:pPr>
        <w:spacing w:after="160" w:line="276" w:lineRule="auto"/>
        <w:jc w:val="left"/>
        <w:rPr>
          <w:rFonts w:ascii="Times New Roman" w:hAnsi="Times New Roman"/>
          <w:sz w:val="20"/>
          <w:szCs w:val="20"/>
          <w:lang w:val="bs-Latn-BA"/>
        </w:rPr>
      </w:pPr>
    </w:p>
    <w:p w:rsidR="00CF03C8" w:rsidRPr="00081B73" w:rsidRDefault="00CF03C8" w:rsidP="00CF03C8">
      <w:pPr>
        <w:pStyle w:val="refererere"/>
        <w:rPr>
          <w:lang w:val="bs-Latn-BA"/>
        </w:rPr>
      </w:pPr>
    </w:p>
    <w:p w:rsidR="00A131AD" w:rsidRPr="00081B73" w:rsidRDefault="00A131AD" w:rsidP="00CF03C8">
      <w:pPr>
        <w:pStyle w:val="refererere"/>
        <w:rPr>
          <w:lang w:val="bs-Latn-BA"/>
        </w:rPr>
      </w:pPr>
      <w:r w:rsidRPr="00081B73">
        <w:rPr>
          <w:lang w:val="bs-Latn-BA"/>
        </w:rPr>
        <w:lastRenderedPageBreak/>
        <w:t>Tabl</w:t>
      </w:r>
      <w:r w:rsidR="00624C80">
        <w:rPr>
          <w:lang w:val="bs-Latn-BA"/>
        </w:rPr>
        <w:t>ic</w:t>
      </w:r>
      <w:r w:rsidRPr="00081B73">
        <w:rPr>
          <w:lang w:val="bs-Latn-BA"/>
        </w:rPr>
        <w:t>a 4: Vodeće zarazne bolesti za 2010</w:t>
      </w:r>
      <w:r w:rsidR="00624C80">
        <w:rPr>
          <w:lang w:val="bs-Latn-BA"/>
        </w:rPr>
        <w:t>.</w:t>
      </w:r>
      <w:r w:rsidRPr="00081B73">
        <w:rPr>
          <w:lang w:val="bs-Latn-BA"/>
        </w:rPr>
        <w:t xml:space="preserve"> i  2015. godinu</w:t>
      </w:r>
    </w:p>
    <w:tbl>
      <w:tblPr>
        <w:tblW w:w="92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8"/>
        <w:gridCol w:w="2221"/>
        <w:gridCol w:w="839"/>
        <w:gridCol w:w="1015"/>
        <w:gridCol w:w="540"/>
        <w:gridCol w:w="2037"/>
        <w:gridCol w:w="1023"/>
        <w:gridCol w:w="1129"/>
      </w:tblGrid>
      <w:tr w:rsidR="00A131AD" w:rsidRPr="00081B73" w:rsidTr="001911A6">
        <w:trPr>
          <w:trHeight w:val="476"/>
          <w:jc w:val="center"/>
        </w:trPr>
        <w:tc>
          <w:tcPr>
            <w:tcW w:w="4543" w:type="dxa"/>
            <w:gridSpan w:val="4"/>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2010.</w:t>
            </w:r>
          </w:p>
        </w:tc>
        <w:tc>
          <w:tcPr>
            <w:tcW w:w="4729" w:type="dxa"/>
            <w:gridSpan w:val="4"/>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2015.</w:t>
            </w:r>
          </w:p>
        </w:tc>
      </w:tr>
      <w:tr w:rsidR="00A131AD" w:rsidRPr="00081B73" w:rsidTr="00CF03C8">
        <w:trPr>
          <w:cantSplit/>
          <w:trHeight w:val="516"/>
          <w:jc w:val="center"/>
        </w:trPr>
        <w:tc>
          <w:tcPr>
            <w:tcW w:w="468" w:type="dxa"/>
            <w:shd w:val="clear" w:color="auto" w:fill="FFFF00"/>
            <w:textDirection w:val="btLr"/>
          </w:tcPr>
          <w:p w:rsidR="00A131AD" w:rsidRPr="00081B73" w:rsidRDefault="00A131AD" w:rsidP="000C0138">
            <w:pPr>
              <w:autoSpaceDE w:val="0"/>
              <w:autoSpaceDN w:val="0"/>
              <w:adjustRightInd w:val="0"/>
              <w:spacing w:line="276" w:lineRule="auto"/>
              <w:ind w:left="113" w:right="113"/>
              <w:rPr>
                <w:rFonts w:ascii="Times New Roman" w:hAnsi="Times New Roman"/>
                <w:color w:val="000000"/>
                <w:sz w:val="20"/>
                <w:szCs w:val="20"/>
                <w:lang w:val="bs-Latn-BA"/>
              </w:rPr>
            </w:pPr>
            <w:r w:rsidRPr="00081B73">
              <w:rPr>
                <w:rFonts w:ascii="Times New Roman" w:hAnsi="Times New Roman"/>
                <w:color w:val="000000"/>
                <w:sz w:val="20"/>
                <w:szCs w:val="20"/>
                <w:lang w:val="bs-Latn-BA"/>
              </w:rPr>
              <w:t>Rang</w:t>
            </w:r>
          </w:p>
        </w:tc>
        <w:tc>
          <w:tcPr>
            <w:tcW w:w="2221"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Bolest / stanje</w:t>
            </w:r>
          </w:p>
        </w:tc>
        <w:tc>
          <w:tcPr>
            <w:tcW w:w="839"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sz w:val="20"/>
                <w:szCs w:val="20"/>
                <w:lang w:val="bs-Latn-BA"/>
              </w:rPr>
              <w:t>Broj registriranih</w:t>
            </w:r>
          </w:p>
        </w:tc>
        <w:tc>
          <w:tcPr>
            <w:tcW w:w="1015"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Mb/</w:t>
            </w:r>
          </w:p>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100000</w:t>
            </w:r>
          </w:p>
        </w:tc>
        <w:tc>
          <w:tcPr>
            <w:tcW w:w="540" w:type="dxa"/>
            <w:shd w:val="clear" w:color="auto" w:fill="FFFF00"/>
            <w:textDirection w:val="btLr"/>
          </w:tcPr>
          <w:p w:rsidR="00A131AD" w:rsidRPr="00081B73" w:rsidRDefault="00A131AD" w:rsidP="000C0138">
            <w:pPr>
              <w:autoSpaceDE w:val="0"/>
              <w:autoSpaceDN w:val="0"/>
              <w:adjustRightInd w:val="0"/>
              <w:spacing w:line="276" w:lineRule="auto"/>
              <w:ind w:left="113" w:right="113"/>
              <w:rPr>
                <w:rFonts w:ascii="Times New Roman" w:hAnsi="Times New Roman"/>
                <w:color w:val="000000"/>
                <w:sz w:val="20"/>
                <w:szCs w:val="20"/>
                <w:lang w:val="bs-Latn-BA"/>
              </w:rPr>
            </w:pPr>
            <w:r w:rsidRPr="00081B73">
              <w:rPr>
                <w:rFonts w:ascii="Times New Roman" w:hAnsi="Times New Roman"/>
                <w:color w:val="000000"/>
                <w:sz w:val="20"/>
                <w:szCs w:val="20"/>
                <w:lang w:val="bs-Latn-BA"/>
              </w:rPr>
              <w:t>Rang</w:t>
            </w:r>
          </w:p>
        </w:tc>
        <w:tc>
          <w:tcPr>
            <w:tcW w:w="2037"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Bolest / stanje</w:t>
            </w:r>
          </w:p>
        </w:tc>
        <w:tc>
          <w:tcPr>
            <w:tcW w:w="1023"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sz w:val="20"/>
                <w:szCs w:val="20"/>
                <w:lang w:val="bs-Latn-BA"/>
              </w:rPr>
              <w:t>Broj registriranih</w:t>
            </w:r>
          </w:p>
        </w:tc>
        <w:tc>
          <w:tcPr>
            <w:tcW w:w="1129"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Mb/</w:t>
            </w:r>
          </w:p>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100000</w:t>
            </w:r>
          </w:p>
        </w:tc>
      </w:tr>
      <w:tr w:rsidR="00A131AD" w:rsidRPr="00081B73" w:rsidTr="00CF03C8">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1</w:t>
            </w:r>
          </w:p>
        </w:tc>
        <w:tc>
          <w:tcPr>
            <w:tcW w:w="2221"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Enterocolitis ac</w:t>
            </w:r>
          </w:p>
        </w:tc>
        <w:tc>
          <w:tcPr>
            <w:tcW w:w="839"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58</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146,76</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w:t>
            </w:r>
          </w:p>
        </w:tc>
        <w:tc>
          <w:tcPr>
            <w:tcW w:w="2037" w:type="dxa"/>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sz w:val="20"/>
                <w:szCs w:val="20"/>
              </w:rPr>
              <w:t>Varicella</w:t>
            </w:r>
          </w:p>
        </w:tc>
        <w:tc>
          <w:tcPr>
            <w:tcW w:w="1023"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64</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166,76</w:t>
            </w:r>
          </w:p>
        </w:tc>
      </w:tr>
      <w:tr w:rsidR="00A131AD" w:rsidRPr="00081B73" w:rsidTr="00CF03C8">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2</w:t>
            </w:r>
          </w:p>
        </w:tc>
        <w:tc>
          <w:tcPr>
            <w:tcW w:w="2221"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Varicella</w:t>
            </w:r>
          </w:p>
        </w:tc>
        <w:tc>
          <w:tcPr>
            <w:tcW w:w="839"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33</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83,50</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2</w:t>
            </w:r>
          </w:p>
        </w:tc>
        <w:tc>
          <w:tcPr>
            <w:tcW w:w="2037" w:type="dxa"/>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sz w:val="20"/>
                <w:szCs w:val="20"/>
              </w:rPr>
              <w:t>Enterocolitis ac</w:t>
            </w:r>
          </w:p>
        </w:tc>
        <w:tc>
          <w:tcPr>
            <w:tcW w:w="1023"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55</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143,32</w:t>
            </w:r>
          </w:p>
        </w:tc>
      </w:tr>
      <w:tr w:rsidR="00A131AD" w:rsidRPr="00081B73" w:rsidTr="00CF03C8">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3</w:t>
            </w:r>
          </w:p>
        </w:tc>
        <w:tc>
          <w:tcPr>
            <w:tcW w:w="2221"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TBC activa resp</w:t>
            </w:r>
          </w:p>
        </w:tc>
        <w:tc>
          <w:tcPr>
            <w:tcW w:w="839"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19</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48,08</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3</w:t>
            </w:r>
          </w:p>
        </w:tc>
        <w:tc>
          <w:tcPr>
            <w:tcW w:w="2037" w:type="dxa"/>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Ili/gripa</w:t>
            </w:r>
          </w:p>
        </w:tc>
        <w:tc>
          <w:tcPr>
            <w:tcW w:w="1023"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44</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104,23</w:t>
            </w:r>
          </w:p>
        </w:tc>
      </w:tr>
      <w:tr w:rsidR="00A131AD" w:rsidRPr="00081B73" w:rsidTr="00CF03C8">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4</w:t>
            </w:r>
          </w:p>
        </w:tc>
        <w:tc>
          <w:tcPr>
            <w:tcW w:w="2221"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Influenza</w:t>
            </w:r>
          </w:p>
        </w:tc>
        <w:tc>
          <w:tcPr>
            <w:tcW w:w="839" w:type="dxa"/>
            <w:vAlign w:val="bottom"/>
          </w:tcPr>
          <w:p w:rsidR="00A131AD" w:rsidRPr="00081B73" w:rsidRDefault="00A131AD" w:rsidP="000C0138">
            <w:pPr>
              <w:widowControl w:val="0"/>
              <w:autoSpaceDE w:val="0"/>
              <w:autoSpaceDN w:val="0"/>
              <w:adjustRightInd w:val="0"/>
              <w:spacing w:line="276" w:lineRule="auto"/>
              <w:jc w:val="right"/>
              <w:rPr>
                <w:rFonts w:ascii="Times New Roman" w:hAnsi="Times New Roman"/>
                <w:sz w:val="20"/>
                <w:szCs w:val="20"/>
              </w:rPr>
            </w:pPr>
            <w:r w:rsidRPr="00081B73">
              <w:rPr>
                <w:rFonts w:ascii="Times New Roman" w:hAnsi="Times New Roman"/>
                <w:sz w:val="20"/>
                <w:szCs w:val="20"/>
              </w:rPr>
              <w:t>15</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37,96</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4</w:t>
            </w:r>
          </w:p>
        </w:tc>
        <w:tc>
          <w:tcPr>
            <w:tcW w:w="2037" w:type="dxa"/>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Morbilli</w:t>
            </w:r>
          </w:p>
        </w:tc>
        <w:tc>
          <w:tcPr>
            <w:tcW w:w="1023"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6</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15,64</w:t>
            </w:r>
          </w:p>
        </w:tc>
      </w:tr>
      <w:tr w:rsidR="00A131AD" w:rsidRPr="00081B73" w:rsidTr="00CF03C8">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5</w:t>
            </w:r>
          </w:p>
        </w:tc>
        <w:tc>
          <w:tcPr>
            <w:tcW w:w="2221"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Toxiinfectio alim.</w:t>
            </w:r>
          </w:p>
        </w:tc>
        <w:tc>
          <w:tcPr>
            <w:tcW w:w="839"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3</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7,59</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5</w:t>
            </w:r>
          </w:p>
        </w:tc>
        <w:tc>
          <w:tcPr>
            <w:tcW w:w="2037"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sz w:val="20"/>
                <w:szCs w:val="20"/>
              </w:rPr>
              <w:t>TBC activa resp</w:t>
            </w:r>
          </w:p>
        </w:tc>
        <w:tc>
          <w:tcPr>
            <w:tcW w:w="1023"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4</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10,42</w:t>
            </w:r>
          </w:p>
        </w:tc>
      </w:tr>
      <w:tr w:rsidR="00A131AD" w:rsidRPr="00081B73" w:rsidTr="00CF03C8">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p>
        </w:tc>
        <w:tc>
          <w:tcPr>
            <w:tcW w:w="2221"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Ukupno 5 vodećih</w:t>
            </w:r>
          </w:p>
        </w:tc>
        <w:tc>
          <w:tcPr>
            <w:tcW w:w="839"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128</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323,88</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p>
        </w:tc>
        <w:tc>
          <w:tcPr>
            <w:tcW w:w="2037" w:type="dxa"/>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Ukupno 5 vodećih</w:t>
            </w:r>
          </w:p>
        </w:tc>
        <w:tc>
          <w:tcPr>
            <w:tcW w:w="1023"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17</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44,3</w:t>
            </w:r>
          </w:p>
        </w:tc>
      </w:tr>
      <w:tr w:rsidR="00A131AD" w:rsidRPr="00081B73" w:rsidTr="00CF03C8">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p>
        </w:tc>
        <w:tc>
          <w:tcPr>
            <w:tcW w:w="2221"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Sveukupno</w:t>
            </w:r>
          </w:p>
        </w:tc>
        <w:tc>
          <w:tcPr>
            <w:tcW w:w="839"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139</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351,72</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p>
        </w:tc>
        <w:tc>
          <w:tcPr>
            <w:tcW w:w="2037" w:type="dxa"/>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Ukupno prijavljeno</w:t>
            </w:r>
          </w:p>
        </w:tc>
        <w:tc>
          <w:tcPr>
            <w:tcW w:w="1023"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190</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495,11</w:t>
            </w:r>
          </w:p>
        </w:tc>
      </w:tr>
    </w:tbl>
    <w:p w:rsidR="00A131AD" w:rsidRPr="00081B73" w:rsidRDefault="00A131AD" w:rsidP="000C0138">
      <w:pPr>
        <w:spacing w:line="276" w:lineRule="auto"/>
        <w:rPr>
          <w:rFonts w:ascii="Times New Roman" w:hAnsi="Times New Roman"/>
          <w:sz w:val="20"/>
          <w:szCs w:val="20"/>
          <w:lang w:val="bs-Latn-BA"/>
        </w:rPr>
      </w:pPr>
    </w:p>
    <w:p w:rsidR="00A131AD" w:rsidRPr="00081B73" w:rsidRDefault="00A131AD" w:rsidP="00CF03C8">
      <w:pPr>
        <w:pStyle w:val="refererere"/>
        <w:rPr>
          <w:lang w:val="bs-Latn-BA"/>
        </w:rPr>
      </w:pPr>
      <w:r w:rsidRPr="00BB3160">
        <w:rPr>
          <w:lang w:val="bs-Latn-BA"/>
        </w:rPr>
        <w:t>Tabl</w:t>
      </w:r>
      <w:r w:rsidR="00624C80">
        <w:rPr>
          <w:lang w:val="bs-Latn-BA"/>
        </w:rPr>
        <w:t>ic</w:t>
      </w:r>
      <w:r w:rsidRPr="00BB3160">
        <w:rPr>
          <w:lang w:val="bs-Latn-BA"/>
        </w:rPr>
        <w:t>a 5: Prevalenc</w:t>
      </w:r>
      <w:r w:rsidR="00624C80">
        <w:rPr>
          <w:lang w:val="bs-Latn-BA"/>
        </w:rPr>
        <w:t>ij</w:t>
      </w:r>
      <w:r w:rsidRPr="00BB3160">
        <w:rPr>
          <w:lang w:val="bs-Latn-BA"/>
        </w:rPr>
        <w:t>a nezaraznih bolesti za 2010 i  2015. godinu</w:t>
      </w:r>
    </w:p>
    <w:tbl>
      <w:tblPr>
        <w:tblW w:w="87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08"/>
        <w:gridCol w:w="2388"/>
        <w:gridCol w:w="1800"/>
      </w:tblGrid>
      <w:tr w:rsidR="00A131AD" w:rsidRPr="00081B73" w:rsidTr="001911A6">
        <w:trPr>
          <w:cantSplit/>
          <w:trHeight w:val="405"/>
        </w:trPr>
        <w:tc>
          <w:tcPr>
            <w:tcW w:w="4608" w:type="dxa"/>
            <w:vMerge w:val="restart"/>
            <w:shd w:val="clear" w:color="auto" w:fill="FFFF00"/>
            <w:vAlign w:val="center"/>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Bolest</w:t>
            </w:r>
          </w:p>
        </w:tc>
        <w:tc>
          <w:tcPr>
            <w:tcW w:w="2388"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2010.</w:t>
            </w:r>
          </w:p>
        </w:tc>
        <w:tc>
          <w:tcPr>
            <w:tcW w:w="1800"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2015.</w:t>
            </w:r>
          </w:p>
        </w:tc>
      </w:tr>
      <w:tr w:rsidR="00A131AD" w:rsidRPr="00081B73" w:rsidTr="001911A6">
        <w:trPr>
          <w:cantSplit/>
          <w:trHeight w:val="345"/>
        </w:trPr>
        <w:tc>
          <w:tcPr>
            <w:tcW w:w="4608" w:type="dxa"/>
            <w:vMerge/>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p>
        </w:tc>
        <w:tc>
          <w:tcPr>
            <w:tcW w:w="2388"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Morbiditet</w:t>
            </w:r>
            <w:r w:rsidRPr="00081B73">
              <w:rPr>
                <w:rFonts w:ascii="Times New Roman" w:hAnsi="Times New Roman"/>
                <w:bCs/>
                <w:sz w:val="20"/>
                <w:szCs w:val="20"/>
                <w:lang w:val="bs-Latn-BA"/>
              </w:rPr>
              <w:br/>
              <w:t>/10.000</w:t>
            </w:r>
          </w:p>
        </w:tc>
        <w:tc>
          <w:tcPr>
            <w:tcW w:w="1800"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Morbiditet</w:t>
            </w:r>
            <w:r w:rsidRPr="00081B73">
              <w:rPr>
                <w:rFonts w:ascii="Times New Roman" w:hAnsi="Times New Roman"/>
                <w:bCs/>
                <w:sz w:val="20"/>
                <w:szCs w:val="20"/>
                <w:lang w:val="bs-Latn-BA"/>
              </w:rPr>
              <w:br/>
              <w:t>/10.000</w:t>
            </w:r>
          </w:p>
        </w:tc>
      </w:tr>
      <w:tr w:rsidR="00A131AD" w:rsidRPr="00081B73" w:rsidTr="001911A6">
        <w:tc>
          <w:tcPr>
            <w:tcW w:w="460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Kardiovaskularne (I00-I99)</w:t>
            </w:r>
          </w:p>
        </w:tc>
        <w:tc>
          <w:tcPr>
            <w:tcW w:w="2388" w:type="dxa"/>
            <w:vAlign w:val="bottom"/>
          </w:tcPr>
          <w:p w:rsidR="00A131AD" w:rsidRPr="00081B73" w:rsidRDefault="00A131AD" w:rsidP="000C0138">
            <w:pPr>
              <w:widowControl w:val="0"/>
              <w:autoSpaceDE w:val="0"/>
              <w:autoSpaceDN w:val="0"/>
              <w:adjustRightInd w:val="0"/>
              <w:spacing w:line="276" w:lineRule="auto"/>
              <w:jc w:val="right"/>
              <w:rPr>
                <w:rFonts w:ascii="Times New Roman" w:hAnsi="Times New Roman"/>
                <w:sz w:val="20"/>
                <w:szCs w:val="20"/>
              </w:rPr>
            </w:pPr>
            <w:r w:rsidRPr="00081B73">
              <w:rPr>
                <w:rFonts w:ascii="Times New Roman" w:hAnsi="Times New Roman"/>
                <w:sz w:val="20"/>
                <w:szCs w:val="20"/>
              </w:rPr>
              <w:t>858,3</w:t>
            </w:r>
          </w:p>
        </w:tc>
        <w:tc>
          <w:tcPr>
            <w:tcW w:w="1800" w:type="dxa"/>
          </w:tcPr>
          <w:p w:rsidR="00A131AD" w:rsidRPr="00BB3160" w:rsidRDefault="00AC4206" w:rsidP="000C0138">
            <w:pPr>
              <w:spacing w:line="276" w:lineRule="auto"/>
              <w:jc w:val="right"/>
              <w:rPr>
                <w:rFonts w:ascii="Times New Roman" w:hAnsi="Times New Roman"/>
                <w:sz w:val="20"/>
                <w:szCs w:val="20"/>
                <w:lang w:val="bs-Latn-BA"/>
              </w:rPr>
            </w:pPr>
            <w:r w:rsidRPr="00BB3160">
              <w:rPr>
                <w:rFonts w:ascii="Times New Roman" w:hAnsi="Times New Roman"/>
                <w:sz w:val="20"/>
                <w:szCs w:val="20"/>
                <w:lang w:val="bs-Latn-BA"/>
              </w:rPr>
              <w:t>1155,7</w:t>
            </w:r>
          </w:p>
        </w:tc>
      </w:tr>
      <w:tr w:rsidR="00A131AD" w:rsidRPr="00081B73" w:rsidTr="001911A6">
        <w:tc>
          <w:tcPr>
            <w:tcW w:w="460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Maligne neoplazme (C00-C97)</w:t>
            </w:r>
          </w:p>
        </w:tc>
        <w:tc>
          <w:tcPr>
            <w:tcW w:w="2388" w:type="dxa"/>
            <w:vAlign w:val="bottom"/>
          </w:tcPr>
          <w:p w:rsidR="00A131AD" w:rsidRPr="00081B73" w:rsidRDefault="00A131AD" w:rsidP="000C0138">
            <w:pPr>
              <w:widowControl w:val="0"/>
              <w:autoSpaceDE w:val="0"/>
              <w:autoSpaceDN w:val="0"/>
              <w:adjustRightInd w:val="0"/>
              <w:spacing w:line="276" w:lineRule="auto"/>
              <w:jc w:val="right"/>
              <w:rPr>
                <w:rFonts w:ascii="Times New Roman" w:hAnsi="Times New Roman"/>
                <w:sz w:val="20"/>
                <w:szCs w:val="20"/>
              </w:rPr>
            </w:pPr>
            <w:r w:rsidRPr="00081B73">
              <w:rPr>
                <w:rFonts w:ascii="Times New Roman" w:hAnsi="Times New Roman"/>
                <w:sz w:val="20"/>
                <w:szCs w:val="20"/>
              </w:rPr>
              <w:t>24,0</w:t>
            </w:r>
          </w:p>
        </w:tc>
        <w:tc>
          <w:tcPr>
            <w:tcW w:w="1800" w:type="dxa"/>
          </w:tcPr>
          <w:p w:rsidR="00A131AD" w:rsidRPr="00BB3160" w:rsidRDefault="00AC4206" w:rsidP="000C0138">
            <w:pPr>
              <w:spacing w:line="276" w:lineRule="auto"/>
              <w:jc w:val="right"/>
              <w:rPr>
                <w:rFonts w:ascii="Times New Roman" w:hAnsi="Times New Roman"/>
                <w:sz w:val="20"/>
                <w:szCs w:val="20"/>
                <w:lang w:val="bs-Latn-BA"/>
              </w:rPr>
            </w:pPr>
            <w:r w:rsidRPr="00BB3160">
              <w:rPr>
                <w:rFonts w:ascii="Times New Roman" w:hAnsi="Times New Roman"/>
                <w:sz w:val="20"/>
                <w:szCs w:val="20"/>
                <w:lang w:val="bs-Latn-BA"/>
              </w:rPr>
              <w:t>53,9</w:t>
            </w:r>
          </w:p>
        </w:tc>
      </w:tr>
      <w:tr w:rsidR="00A131AD" w:rsidRPr="00081B73" w:rsidTr="001911A6">
        <w:tc>
          <w:tcPr>
            <w:tcW w:w="460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Diabetes mellitus (E10-E14)</w:t>
            </w:r>
          </w:p>
        </w:tc>
        <w:tc>
          <w:tcPr>
            <w:tcW w:w="2388" w:type="dxa"/>
            <w:vAlign w:val="bottom"/>
          </w:tcPr>
          <w:p w:rsidR="00A131AD" w:rsidRPr="00081B73" w:rsidRDefault="00A131AD" w:rsidP="000C0138">
            <w:pPr>
              <w:widowControl w:val="0"/>
              <w:autoSpaceDE w:val="0"/>
              <w:autoSpaceDN w:val="0"/>
              <w:adjustRightInd w:val="0"/>
              <w:spacing w:line="276" w:lineRule="auto"/>
              <w:jc w:val="right"/>
              <w:rPr>
                <w:rFonts w:ascii="Times New Roman" w:hAnsi="Times New Roman"/>
                <w:sz w:val="20"/>
                <w:szCs w:val="20"/>
              </w:rPr>
            </w:pPr>
            <w:r w:rsidRPr="00081B73">
              <w:rPr>
                <w:rFonts w:ascii="Times New Roman" w:hAnsi="Times New Roman"/>
                <w:sz w:val="20"/>
                <w:szCs w:val="20"/>
              </w:rPr>
              <w:t>140,4</w:t>
            </w:r>
          </w:p>
        </w:tc>
        <w:tc>
          <w:tcPr>
            <w:tcW w:w="1800" w:type="dxa"/>
          </w:tcPr>
          <w:p w:rsidR="00A131AD" w:rsidRPr="00BB3160" w:rsidRDefault="00AC4206" w:rsidP="000C0138">
            <w:pPr>
              <w:spacing w:line="276" w:lineRule="auto"/>
              <w:jc w:val="right"/>
              <w:rPr>
                <w:rFonts w:ascii="Times New Roman" w:hAnsi="Times New Roman"/>
                <w:sz w:val="20"/>
                <w:szCs w:val="20"/>
                <w:lang w:val="bs-Latn-BA"/>
              </w:rPr>
            </w:pPr>
            <w:r w:rsidRPr="00BB3160">
              <w:rPr>
                <w:rFonts w:ascii="Times New Roman" w:hAnsi="Times New Roman"/>
                <w:sz w:val="20"/>
                <w:szCs w:val="20"/>
                <w:lang w:val="bs-Latn-BA"/>
              </w:rPr>
              <w:t>336,7</w:t>
            </w:r>
          </w:p>
        </w:tc>
      </w:tr>
      <w:tr w:rsidR="00A131AD" w:rsidRPr="00081B73" w:rsidTr="001911A6">
        <w:tc>
          <w:tcPr>
            <w:tcW w:w="4608" w:type="dxa"/>
          </w:tcPr>
          <w:p w:rsidR="00A131AD" w:rsidRPr="00081B73" w:rsidRDefault="00624C80" w:rsidP="000C0138">
            <w:pPr>
              <w:spacing w:line="276" w:lineRule="auto"/>
              <w:rPr>
                <w:rFonts w:ascii="Times New Roman" w:hAnsi="Times New Roman"/>
                <w:sz w:val="20"/>
                <w:szCs w:val="20"/>
                <w:lang w:val="bs-Latn-BA"/>
              </w:rPr>
            </w:pPr>
            <w:r>
              <w:rPr>
                <w:rFonts w:ascii="Times New Roman" w:hAnsi="Times New Roman"/>
                <w:sz w:val="20"/>
                <w:szCs w:val="20"/>
                <w:lang w:val="bs-Latn-BA"/>
              </w:rPr>
              <w:t>K</w:t>
            </w:r>
            <w:r w:rsidR="00A131AD" w:rsidRPr="00081B73">
              <w:rPr>
                <w:rFonts w:ascii="Times New Roman" w:hAnsi="Times New Roman"/>
                <w:sz w:val="20"/>
                <w:szCs w:val="20"/>
                <w:lang w:val="bs-Latn-BA"/>
              </w:rPr>
              <w:t>ronične plućne opstruktivne (J40-J46)</w:t>
            </w:r>
          </w:p>
        </w:tc>
        <w:tc>
          <w:tcPr>
            <w:tcW w:w="2388" w:type="dxa"/>
            <w:vAlign w:val="bottom"/>
          </w:tcPr>
          <w:p w:rsidR="00A131AD" w:rsidRPr="00081B73" w:rsidRDefault="00A131AD" w:rsidP="000C0138">
            <w:pPr>
              <w:widowControl w:val="0"/>
              <w:autoSpaceDE w:val="0"/>
              <w:autoSpaceDN w:val="0"/>
              <w:adjustRightInd w:val="0"/>
              <w:spacing w:line="276" w:lineRule="auto"/>
              <w:jc w:val="right"/>
              <w:rPr>
                <w:rFonts w:ascii="Times New Roman" w:hAnsi="Times New Roman"/>
                <w:sz w:val="20"/>
                <w:szCs w:val="20"/>
              </w:rPr>
            </w:pPr>
            <w:r w:rsidRPr="00081B73">
              <w:rPr>
                <w:rFonts w:ascii="Times New Roman" w:hAnsi="Times New Roman"/>
                <w:sz w:val="20"/>
                <w:szCs w:val="20"/>
              </w:rPr>
              <w:t>229,8</w:t>
            </w:r>
          </w:p>
        </w:tc>
        <w:tc>
          <w:tcPr>
            <w:tcW w:w="1800" w:type="dxa"/>
          </w:tcPr>
          <w:p w:rsidR="00A131AD" w:rsidRPr="00BB3160" w:rsidRDefault="00AC4206" w:rsidP="000C0138">
            <w:pPr>
              <w:tabs>
                <w:tab w:val="left" w:pos="390"/>
              </w:tabs>
              <w:spacing w:line="276" w:lineRule="auto"/>
              <w:jc w:val="right"/>
              <w:rPr>
                <w:rFonts w:ascii="Times New Roman" w:hAnsi="Times New Roman"/>
                <w:sz w:val="20"/>
                <w:szCs w:val="20"/>
                <w:lang w:val="bs-Latn-BA"/>
              </w:rPr>
            </w:pPr>
            <w:r w:rsidRPr="00BB3160">
              <w:rPr>
                <w:rFonts w:ascii="Times New Roman" w:hAnsi="Times New Roman"/>
                <w:sz w:val="20"/>
                <w:szCs w:val="20"/>
                <w:lang w:val="bs-Latn-BA"/>
              </w:rPr>
              <w:t>120,4</w:t>
            </w:r>
          </w:p>
        </w:tc>
      </w:tr>
      <w:tr w:rsidR="00A131AD" w:rsidRPr="00081B73" w:rsidTr="001911A6">
        <w:tc>
          <w:tcPr>
            <w:tcW w:w="460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Mentalne (F00-F99)</w:t>
            </w:r>
          </w:p>
        </w:tc>
        <w:tc>
          <w:tcPr>
            <w:tcW w:w="2388" w:type="dxa"/>
            <w:vAlign w:val="bottom"/>
          </w:tcPr>
          <w:p w:rsidR="00A131AD" w:rsidRPr="00081B73" w:rsidRDefault="00A131AD" w:rsidP="000C0138">
            <w:pPr>
              <w:widowControl w:val="0"/>
              <w:autoSpaceDE w:val="0"/>
              <w:autoSpaceDN w:val="0"/>
              <w:adjustRightInd w:val="0"/>
              <w:spacing w:line="276" w:lineRule="auto"/>
              <w:jc w:val="right"/>
              <w:rPr>
                <w:rFonts w:ascii="Times New Roman" w:hAnsi="Times New Roman"/>
                <w:sz w:val="20"/>
                <w:szCs w:val="20"/>
              </w:rPr>
            </w:pPr>
            <w:r w:rsidRPr="00081B73">
              <w:rPr>
                <w:rFonts w:ascii="Times New Roman" w:hAnsi="Times New Roman"/>
                <w:sz w:val="20"/>
                <w:szCs w:val="20"/>
              </w:rPr>
              <w:t>162,7</w:t>
            </w:r>
          </w:p>
        </w:tc>
        <w:tc>
          <w:tcPr>
            <w:tcW w:w="1800" w:type="dxa"/>
          </w:tcPr>
          <w:p w:rsidR="00A131AD" w:rsidRPr="00BB3160" w:rsidRDefault="00AC4206" w:rsidP="000C0138">
            <w:pPr>
              <w:spacing w:line="276" w:lineRule="auto"/>
              <w:jc w:val="right"/>
              <w:rPr>
                <w:rFonts w:ascii="Times New Roman" w:hAnsi="Times New Roman"/>
                <w:sz w:val="20"/>
                <w:szCs w:val="20"/>
                <w:lang w:val="bs-Latn-BA"/>
              </w:rPr>
            </w:pPr>
            <w:r w:rsidRPr="00BB3160">
              <w:rPr>
                <w:rFonts w:ascii="Times New Roman" w:hAnsi="Times New Roman"/>
                <w:sz w:val="20"/>
                <w:szCs w:val="20"/>
                <w:lang w:val="bs-Latn-BA"/>
              </w:rPr>
              <w:t>455,0</w:t>
            </w:r>
          </w:p>
        </w:tc>
      </w:tr>
      <w:tr w:rsidR="00A131AD" w:rsidRPr="00081B73" w:rsidTr="001911A6">
        <w:tc>
          <w:tcPr>
            <w:tcW w:w="460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Koštano-mišićne (M00-M99)</w:t>
            </w:r>
          </w:p>
        </w:tc>
        <w:tc>
          <w:tcPr>
            <w:tcW w:w="2388" w:type="dxa"/>
            <w:vAlign w:val="bottom"/>
          </w:tcPr>
          <w:p w:rsidR="00A131AD" w:rsidRPr="00081B73" w:rsidRDefault="00A131AD" w:rsidP="000C0138">
            <w:pPr>
              <w:widowControl w:val="0"/>
              <w:autoSpaceDE w:val="0"/>
              <w:autoSpaceDN w:val="0"/>
              <w:adjustRightInd w:val="0"/>
              <w:spacing w:line="276" w:lineRule="auto"/>
              <w:jc w:val="right"/>
              <w:rPr>
                <w:rFonts w:ascii="Times New Roman" w:hAnsi="Times New Roman"/>
                <w:sz w:val="20"/>
                <w:szCs w:val="20"/>
              </w:rPr>
            </w:pPr>
            <w:r w:rsidRPr="00081B73">
              <w:rPr>
                <w:rFonts w:ascii="Times New Roman" w:hAnsi="Times New Roman"/>
                <w:sz w:val="20"/>
                <w:szCs w:val="20"/>
              </w:rPr>
              <w:t>354,8</w:t>
            </w:r>
          </w:p>
        </w:tc>
        <w:tc>
          <w:tcPr>
            <w:tcW w:w="1800" w:type="dxa"/>
          </w:tcPr>
          <w:p w:rsidR="00A131AD" w:rsidRPr="00BB3160" w:rsidRDefault="00AC4206" w:rsidP="000C0138">
            <w:pPr>
              <w:spacing w:line="276" w:lineRule="auto"/>
              <w:jc w:val="right"/>
              <w:rPr>
                <w:rFonts w:ascii="Times New Roman" w:hAnsi="Times New Roman"/>
                <w:sz w:val="20"/>
                <w:szCs w:val="20"/>
                <w:lang w:val="bs-Latn-BA"/>
              </w:rPr>
            </w:pPr>
            <w:r w:rsidRPr="00BB3160">
              <w:rPr>
                <w:rFonts w:ascii="Times New Roman" w:hAnsi="Times New Roman"/>
                <w:sz w:val="20"/>
                <w:szCs w:val="20"/>
                <w:lang w:val="bs-Latn-BA"/>
              </w:rPr>
              <w:t>1053,6</w:t>
            </w:r>
          </w:p>
        </w:tc>
      </w:tr>
    </w:tbl>
    <w:p w:rsidR="00CF03C8" w:rsidRPr="00081B73" w:rsidRDefault="00CF03C8" w:rsidP="00CF03C8">
      <w:pPr>
        <w:pStyle w:val="refererere"/>
        <w:rPr>
          <w:lang w:val="bs-Latn-BA"/>
        </w:rPr>
      </w:pPr>
    </w:p>
    <w:p w:rsidR="00A131AD" w:rsidRPr="00081B73" w:rsidRDefault="00A131AD" w:rsidP="00CF03C8">
      <w:pPr>
        <w:pStyle w:val="refererere"/>
        <w:rPr>
          <w:lang w:val="bs-Latn-BA"/>
        </w:rPr>
      </w:pPr>
      <w:r w:rsidRPr="00081B73">
        <w:rPr>
          <w:lang w:val="bs-Latn-BA"/>
        </w:rPr>
        <w:t>Tabl</w:t>
      </w:r>
      <w:r w:rsidR="00FE3B0D">
        <w:rPr>
          <w:lang w:val="bs-Latn-BA"/>
        </w:rPr>
        <w:t>ic</w:t>
      </w:r>
      <w:r w:rsidRPr="00081B73">
        <w:rPr>
          <w:lang w:val="bs-Latn-BA"/>
        </w:rPr>
        <w:t>a 6:  Okolinski zdravstveni indikatori</w:t>
      </w:r>
    </w:p>
    <w:tbl>
      <w:tblPr>
        <w:tblW w:w="93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68"/>
        <w:gridCol w:w="1969"/>
        <w:gridCol w:w="1622"/>
        <w:gridCol w:w="1401"/>
        <w:gridCol w:w="1401"/>
        <w:gridCol w:w="1571"/>
      </w:tblGrid>
      <w:tr w:rsidR="00A131AD" w:rsidRPr="00081B73" w:rsidTr="001911A6">
        <w:trPr>
          <w:cantSplit/>
        </w:trPr>
        <w:tc>
          <w:tcPr>
            <w:tcW w:w="1368" w:type="dxa"/>
            <w:vMerge w:val="restart"/>
            <w:shd w:val="clear" w:color="auto" w:fill="FFFF00"/>
            <w:vAlign w:val="center"/>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Posavski kanton</w:t>
            </w:r>
          </w:p>
        </w:tc>
        <w:tc>
          <w:tcPr>
            <w:tcW w:w="1969" w:type="dxa"/>
            <w:shd w:val="clear" w:color="auto" w:fill="FFFF00"/>
            <w:vAlign w:val="center"/>
          </w:tcPr>
          <w:p w:rsidR="00A131AD" w:rsidRPr="00081B73" w:rsidRDefault="00A131AD" w:rsidP="00624C80">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 xml:space="preserve">% stanovništva priključen na </w:t>
            </w:r>
            <w:r w:rsidR="00624C80">
              <w:rPr>
                <w:rFonts w:ascii="Times New Roman" w:hAnsi="Times New Roman"/>
                <w:sz w:val="20"/>
                <w:szCs w:val="20"/>
                <w:lang w:val="bs-Latn-BA"/>
              </w:rPr>
              <w:t>središnji</w:t>
            </w:r>
            <w:r w:rsidRPr="00081B73">
              <w:rPr>
                <w:rFonts w:ascii="Times New Roman" w:hAnsi="Times New Roman"/>
                <w:sz w:val="20"/>
                <w:szCs w:val="20"/>
                <w:lang w:val="bs-Latn-BA"/>
              </w:rPr>
              <w:t xml:space="preserve"> s</w:t>
            </w:r>
            <w:r w:rsidR="00624C80">
              <w:rPr>
                <w:rFonts w:ascii="Times New Roman" w:hAnsi="Times New Roman"/>
                <w:sz w:val="20"/>
                <w:szCs w:val="20"/>
                <w:lang w:val="bs-Latn-BA"/>
              </w:rPr>
              <w:t>ustav</w:t>
            </w:r>
            <w:r w:rsidRPr="00081B73">
              <w:rPr>
                <w:rFonts w:ascii="Times New Roman" w:hAnsi="Times New Roman"/>
                <w:sz w:val="20"/>
                <w:szCs w:val="20"/>
                <w:lang w:val="bs-Latn-BA"/>
              </w:rPr>
              <w:t xml:space="preserve"> vodo</w:t>
            </w:r>
            <w:r w:rsidR="00624C80">
              <w:rPr>
                <w:rFonts w:ascii="Times New Roman" w:hAnsi="Times New Roman"/>
                <w:sz w:val="20"/>
                <w:szCs w:val="20"/>
                <w:lang w:val="bs-Latn-BA"/>
              </w:rPr>
              <w:t>opskrbe</w:t>
            </w:r>
          </w:p>
        </w:tc>
        <w:tc>
          <w:tcPr>
            <w:tcW w:w="1622" w:type="dxa"/>
            <w:shd w:val="clear" w:color="auto" w:fill="FFFF00"/>
            <w:vAlign w:val="center"/>
          </w:tcPr>
          <w:p w:rsidR="00A131AD" w:rsidRPr="00081B73" w:rsidRDefault="00A131AD" w:rsidP="00624C80">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 stanovništva priključen na kanalizaci</w:t>
            </w:r>
            <w:r w:rsidR="00624C80">
              <w:rPr>
                <w:rFonts w:ascii="Times New Roman" w:hAnsi="Times New Roman"/>
                <w:sz w:val="20"/>
                <w:szCs w:val="20"/>
                <w:lang w:val="bs-Latn-BA"/>
              </w:rPr>
              <w:t>jski</w:t>
            </w:r>
            <w:r w:rsidRPr="00081B73">
              <w:rPr>
                <w:rFonts w:ascii="Times New Roman" w:hAnsi="Times New Roman"/>
                <w:sz w:val="20"/>
                <w:szCs w:val="20"/>
                <w:lang w:val="bs-Latn-BA"/>
              </w:rPr>
              <w:t xml:space="preserve"> s</w:t>
            </w:r>
            <w:r w:rsidR="00624C80">
              <w:rPr>
                <w:rFonts w:ascii="Times New Roman" w:hAnsi="Times New Roman"/>
                <w:sz w:val="20"/>
                <w:szCs w:val="20"/>
                <w:lang w:val="bs-Latn-BA"/>
              </w:rPr>
              <w:t>ustav</w:t>
            </w:r>
          </w:p>
        </w:tc>
        <w:tc>
          <w:tcPr>
            <w:tcW w:w="1401" w:type="dxa"/>
            <w:shd w:val="clear" w:color="auto" w:fill="FFFF00"/>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Mjerenje koncentracije SO</w:t>
            </w:r>
            <w:r w:rsidRPr="00081B73">
              <w:rPr>
                <w:rFonts w:ascii="Times New Roman" w:hAnsi="Times New Roman"/>
                <w:sz w:val="20"/>
                <w:szCs w:val="20"/>
                <w:vertAlign w:val="subscript"/>
                <w:lang w:val="bs-Latn-BA"/>
              </w:rPr>
              <w:t>2</w:t>
            </w:r>
            <w:r w:rsidRPr="00081B73">
              <w:rPr>
                <w:rFonts w:ascii="Times New Roman" w:hAnsi="Times New Roman"/>
                <w:sz w:val="20"/>
                <w:szCs w:val="20"/>
                <w:lang w:val="bs-Latn-BA"/>
              </w:rPr>
              <w:t xml:space="preserve"> u zraku</w:t>
            </w:r>
          </w:p>
        </w:tc>
        <w:tc>
          <w:tcPr>
            <w:tcW w:w="1401" w:type="dxa"/>
            <w:shd w:val="clear" w:color="auto" w:fill="FFFF00"/>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Mjerenje koncentracije NO</w:t>
            </w:r>
            <w:r w:rsidRPr="00081B73">
              <w:rPr>
                <w:rFonts w:ascii="Times New Roman" w:hAnsi="Times New Roman"/>
                <w:sz w:val="20"/>
                <w:szCs w:val="20"/>
                <w:vertAlign w:val="subscript"/>
                <w:lang w:val="bs-Latn-BA"/>
              </w:rPr>
              <w:t>2</w:t>
            </w:r>
            <w:r w:rsidRPr="00081B73">
              <w:rPr>
                <w:rFonts w:ascii="Times New Roman" w:hAnsi="Times New Roman"/>
                <w:sz w:val="20"/>
                <w:szCs w:val="20"/>
                <w:lang w:val="bs-Latn-BA"/>
              </w:rPr>
              <w:t xml:space="preserve"> u zraku</w:t>
            </w:r>
          </w:p>
        </w:tc>
        <w:tc>
          <w:tcPr>
            <w:tcW w:w="1571" w:type="dxa"/>
            <w:shd w:val="clear" w:color="auto" w:fill="FFFF00"/>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Mjerenje koncentracije dima u zraku</w:t>
            </w:r>
          </w:p>
        </w:tc>
      </w:tr>
      <w:tr w:rsidR="00A131AD" w:rsidRPr="00081B73" w:rsidTr="001911A6">
        <w:trPr>
          <w:cantSplit/>
          <w:trHeight w:val="431"/>
        </w:trPr>
        <w:tc>
          <w:tcPr>
            <w:tcW w:w="1368" w:type="dxa"/>
            <w:vMerge/>
            <w:vAlign w:val="center"/>
          </w:tcPr>
          <w:p w:rsidR="00A131AD" w:rsidRPr="00081B73" w:rsidRDefault="00A131AD" w:rsidP="000C0138">
            <w:pPr>
              <w:spacing w:line="276" w:lineRule="auto"/>
              <w:jc w:val="center"/>
              <w:rPr>
                <w:rFonts w:ascii="Times New Roman" w:hAnsi="Times New Roman"/>
                <w:sz w:val="20"/>
                <w:szCs w:val="20"/>
                <w:lang w:val="bs-Latn-BA"/>
              </w:rPr>
            </w:pPr>
          </w:p>
        </w:tc>
        <w:tc>
          <w:tcPr>
            <w:tcW w:w="1969" w:type="dxa"/>
            <w:vAlign w:val="center"/>
          </w:tcPr>
          <w:p w:rsidR="00A131AD" w:rsidRPr="00081B73" w:rsidRDefault="00775AB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27%</w:t>
            </w:r>
          </w:p>
        </w:tc>
        <w:tc>
          <w:tcPr>
            <w:tcW w:w="1622" w:type="dxa"/>
            <w:vAlign w:val="center"/>
          </w:tcPr>
          <w:p w:rsidR="00A131AD" w:rsidRPr="00081B73" w:rsidRDefault="00775AB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17%</w:t>
            </w:r>
          </w:p>
        </w:tc>
        <w:tc>
          <w:tcPr>
            <w:tcW w:w="1401" w:type="dxa"/>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ne mjeri se</w:t>
            </w:r>
          </w:p>
        </w:tc>
        <w:tc>
          <w:tcPr>
            <w:tcW w:w="1401" w:type="dxa"/>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ne mjeri se</w:t>
            </w:r>
          </w:p>
        </w:tc>
        <w:tc>
          <w:tcPr>
            <w:tcW w:w="1571" w:type="dxa"/>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ne mjeri se</w:t>
            </w:r>
          </w:p>
        </w:tc>
      </w:tr>
    </w:tbl>
    <w:p w:rsidR="00CF03C8" w:rsidRPr="00081B73" w:rsidRDefault="00CF03C8" w:rsidP="000C0138">
      <w:pPr>
        <w:spacing w:line="276" w:lineRule="auto"/>
        <w:rPr>
          <w:rFonts w:ascii="Times New Roman" w:hAnsi="Times New Roman"/>
          <w:sz w:val="20"/>
          <w:szCs w:val="20"/>
          <w:lang w:val="bs-Latn-BA"/>
        </w:rPr>
      </w:pPr>
    </w:p>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Tabl</w:t>
      </w:r>
      <w:r w:rsidR="00FE3B0D">
        <w:rPr>
          <w:rFonts w:ascii="Times New Roman" w:hAnsi="Times New Roman"/>
          <w:sz w:val="20"/>
          <w:szCs w:val="20"/>
          <w:lang w:val="bs-Latn-BA"/>
        </w:rPr>
        <w:t>ic</w:t>
      </w:r>
      <w:r w:rsidRPr="00081B73">
        <w:rPr>
          <w:rFonts w:ascii="Times New Roman" w:hAnsi="Times New Roman"/>
          <w:sz w:val="20"/>
          <w:szCs w:val="20"/>
          <w:lang w:val="bs-Latn-BA"/>
        </w:rPr>
        <w:t>a 7: Zdravstvena zaštita za 2010 i  2015. godinu</w:t>
      </w: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01"/>
        <w:gridCol w:w="8"/>
        <w:gridCol w:w="3807"/>
        <w:gridCol w:w="2279"/>
        <w:gridCol w:w="2293"/>
      </w:tblGrid>
      <w:tr w:rsidR="00A131AD" w:rsidRPr="00081B73" w:rsidTr="001911A6">
        <w:trPr>
          <w:trHeight w:val="509"/>
        </w:trPr>
        <w:tc>
          <w:tcPr>
            <w:tcW w:w="4716" w:type="dxa"/>
            <w:gridSpan w:val="3"/>
            <w:shd w:val="clear" w:color="auto" w:fill="FFFF00"/>
            <w:vAlign w:val="center"/>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sz w:val="20"/>
                <w:szCs w:val="20"/>
                <w:lang w:val="bs-Latn-BA"/>
              </w:rPr>
              <w:t>Broj</w:t>
            </w:r>
          </w:p>
        </w:tc>
        <w:tc>
          <w:tcPr>
            <w:tcW w:w="2279"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2010.</w:t>
            </w:r>
          </w:p>
        </w:tc>
        <w:tc>
          <w:tcPr>
            <w:tcW w:w="2293"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2015.</w:t>
            </w:r>
          </w:p>
        </w:tc>
      </w:tr>
      <w:tr w:rsidR="00A131AD" w:rsidRPr="00081B73" w:rsidTr="001911A6">
        <w:trPr>
          <w:cantSplit/>
        </w:trPr>
        <w:tc>
          <w:tcPr>
            <w:tcW w:w="909" w:type="dxa"/>
            <w:gridSpan w:val="2"/>
            <w:vMerge w:val="restart"/>
            <w:tcBorders>
              <w:top w:val="single" w:sz="4" w:space="0" w:color="auto"/>
              <w:left w:val="single" w:sz="4" w:space="0" w:color="auto"/>
              <w:bottom w:val="nil"/>
              <w:right w:val="single" w:sz="4" w:space="0" w:color="auto"/>
            </w:tcBorders>
            <w:vAlign w:val="bottom"/>
          </w:tcPr>
          <w:p w:rsidR="00A131AD" w:rsidRPr="00081B73" w:rsidRDefault="00A131AD" w:rsidP="000C0138">
            <w:pPr>
              <w:pStyle w:val="NormalWeb"/>
              <w:spacing w:before="0" w:beforeAutospacing="0" w:after="0" w:afterAutospacing="0" w:line="276" w:lineRule="auto"/>
              <w:rPr>
                <w:sz w:val="20"/>
                <w:szCs w:val="20"/>
                <w:lang w:val="bs-Latn-BA"/>
              </w:rPr>
            </w:pPr>
            <w:r w:rsidRPr="00081B73">
              <w:rPr>
                <w:sz w:val="20"/>
                <w:szCs w:val="20"/>
                <w:lang w:val="bs-Latn-BA"/>
              </w:rPr>
              <w:t>PZZ</w:t>
            </w:r>
          </w:p>
        </w:tc>
        <w:tc>
          <w:tcPr>
            <w:tcW w:w="3807" w:type="dxa"/>
            <w:tcBorders>
              <w:left w:val="single" w:sz="4" w:space="0" w:color="auto"/>
            </w:tcBorders>
          </w:tcPr>
          <w:p w:rsidR="00A131AD" w:rsidRPr="00081B73" w:rsidRDefault="00A131AD" w:rsidP="000C0138">
            <w:pPr>
              <w:pStyle w:val="NormalWeb"/>
              <w:spacing w:before="0" w:beforeAutospacing="0" w:after="0" w:afterAutospacing="0" w:line="276" w:lineRule="auto"/>
              <w:rPr>
                <w:sz w:val="20"/>
                <w:szCs w:val="20"/>
                <w:lang w:val="bs-Latn-BA"/>
              </w:rPr>
            </w:pPr>
            <w:r w:rsidRPr="00081B73">
              <w:rPr>
                <w:sz w:val="20"/>
                <w:szCs w:val="20"/>
                <w:lang w:val="bs-Latn-BA"/>
              </w:rPr>
              <w:t>ordinacije PZZ</w:t>
            </w:r>
          </w:p>
        </w:tc>
        <w:tc>
          <w:tcPr>
            <w:tcW w:w="2279" w:type="dxa"/>
            <w:vAlign w:val="center"/>
          </w:tcPr>
          <w:p w:rsidR="00A131AD" w:rsidRPr="00081B73" w:rsidRDefault="00A131AD" w:rsidP="000C0138">
            <w:pPr>
              <w:pStyle w:val="NormalWeb"/>
              <w:spacing w:line="276" w:lineRule="auto"/>
              <w:jc w:val="right"/>
              <w:rPr>
                <w:sz w:val="20"/>
                <w:szCs w:val="20"/>
                <w:lang w:val="bs-Latn-BA"/>
              </w:rPr>
            </w:pPr>
            <w:r w:rsidRPr="00081B73">
              <w:rPr>
                <w:sz w:val="20"/>
                <w:szCs w:val="20"/>
                <w:lang w:val="bs-Latn-BA"/>
              </w:rPr>
              <w:t>19</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19</w:t>
            </w:r>
          </w:p>
        </w:tc>
      </w:tr>
      <w:tr w:rsidR="00A131AD" w:rsidRPr="00081B73" w:rsidTr="001911A6">
        <w:trPr>
          <w:cantSplit/>
        </w:trPr>
        <w:tc>
          <w:tcPr>
            <w:tcW w:w="909" w:type="dxa"/>
            <w:gridSpan w:val="2"/>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07" w:type="dxa"/>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stomatološke ordinacije/stolice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5</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7</w:t>
            </w:r>
          </w:p>
        </w:tc>
      </w:tr>
      <w:tr w:rsidR="00A131AD" w:rsidRPr="00081B73" w:rsidTr="001911A6">
        <w:trPr>
          <w:cantSplit/>
        </w:trPr>
        <w:tc>
          <w:tcPr>
            <w:tcW w:w="909" w:type="dxa"/>
            <w:gridSpan w:val="2"/>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07" w:type="dxa"/>
            <w:tcBorders>
              <w:left w:val="single" w:sz="4" w:space="0" w:color="auto"/>
            </w:tcBorders>
          </w:tcPr>
          <w:p w:rsidR="00A131AD" w:rsidRPr="00081B73" w:rsidRDefault="00624C80" w:rsidP="000C0138">
            <w:pPr>
              <w:spacing w:line="276" w:lineRule="auto"/>
              <w:rPr>
                <w:rFonts w:ascii="Times New Roman" w:hAnsi="Times New Roman"/>
                <w:sz w:val="20"/>
                <w:szCs w:val="20"/>
                <w:lang w:val="bs-Latn-BA"/>
              </w:rPr>
            </w:pPr>
            <w:r>
              <w:rPr>
                <w:rFonts w:ascii="Times New Roman" w:hAnsi="Times New Roman"/>
                <w:sz w:val="20"/>
                <w:szCs w:val="20"/>
                <w:lang w:val="bs-Latn-BA"/>
              </w:rPr>
              <w:t>ljekarne</w:t>
            </w:r>
            <w:r w:rsidR="00A131AD" w:rsidRPr="00081B73">
              <w:rPr>
                <w:rFonts w:ascii="Times New Roman" w:hAnsi="Times New Roman"/>
                <w:sz w:val="20"/>
                <w:szCs w:val="20"/>
                <w:lang w:val="bs-Latn-BA"/>
              </w:rPr>
              <w:t xml:space="preserve"> u javnom sektoru</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w:t>
            </w:r>
          </w:p>
        </w:tc>
      </w:tr>
      <w:tr w:rsidR="00A131AD" w:rsidRPr="00081B73" w:rsidTr="001911A6">
        <w:trPr>
          <w:cantSplit/>
        </w:trPr>
        <w:tc>
          <w:tcPr>
            <w:tcW w:w="901" w:type="dxa"/>
            <w:vMerge w:val="restart"/>
            <w:tcBorders>
              <w:top w:val="nil"/>
              <w:left w:val="single" w:sz="4" w:space="0" w:color="auto"/>
              <w:bottom w:val="nil"/>
              <w:right w:val="single" w:sz="4" w:space="0" w:color="auto"/>
            </w:tcBorders>
            <w:vAlign w:val="center"/>
          </w:tcPr>
          <w:p w:rsidR="00A131AD" w:rsidRPr="00081B73" w:rsidRDefault="00A131AD" w:rsidP="000C0138">
            <w:pPr>
              <w:spacing w:line="276" w:lineRule="auto"/>
              <w:jc w:val="left"/>
              <w:rPr>
                <w:rFonts w:ascii="Times New Roman" w:hAnsi="Times New Roman"/>
                <w:sz w:val="20"/>
                <w:szCs w:val="20"/>
                <w:lang w:val="bs-Latn-BA"/>
              </w:rPr>
            </w:pPr>
          </w:p>
        </w:tc>
        <w:tc>
          <w:tcPr>
            <w:tcW w:w="381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dr medicine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25</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20</w:t>
            </w:r>
          </w:p>
        </w:tc>
      </w:tr>
      <w:tr w:rsidR="00A131AD" w:rsidRPr="00081B73" w:rsidTr="001911A6">
        <w:trPr>
          <w:cantSplit/>
        </w:trPr>
        <w:tc>
          <w:tcPr>
            <w:tcW w:w="901" w:type="dxa"/>
            <w:vMerge/>
            <w:tcBorders>
              <w:top w:val="nil"/>
              <w:left w:val="single" w:sz="4" w:space="0" w:color="auto"/>
              <w:bottom w:val="nil"/>
              <w:right w:val="single" w:sz="4" w:space="0" w:color="auto"/>
            </w:tcBorders>
            <w:vAlign w:val="center"/>
          </w:tcPr>
          <w:p w:rsidR="00A131AD" w:rsidRPr="00081B73" w:rsidRDefault="00A131AD" w:rsidP="000C0138">
            <w:pPr>
              <w:spacing w:line="276" w:lineRule="auto"/>
              <w:jc w:val="left"/>
              <w:rPr>
                <w:rFonts w:ascii="Times New Roman" w:hAnsi="Times New Roman"/>
                <w:sz w:val="20"/>
                <w:szCs w:val="20"/>
                <w:lang w:val="bs-Latn-BA"/>
              </w:rPr>
            </w:pPr>
          </w:p>
        </w:tc>
        <w:tc>
          <w:tcPr>
            <w:tcW w:w="381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zdravstveni tehničari/sestre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31</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31</w:t>
            </w:r>
          </w:p>
        </w:tc>
      </w:tr>
      <w:tr w:rsidR="00A131AD" w:rsidRPr="00081B73" w:rsidTr="001911A6">
        <w:trPr>
          <w:cantSplit/>
        </w:trPr>
        <w:tc>
          <w:tcPr>
            <w:tcW w:w="901" w:type="dxa"/>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1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dr stomatologije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5</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6</w:t>
            </w:r>
          </w:p>
        </w:tc>
      </w:tr>
      <w:tr w:rsidR="00A131AD" w:rsidRPr="00081B73" w:rsidTr="001911A6">
        <w:trPr>
          <w:cantSplit/>
        </w:trPr>
        <w:tc>
          <w:tcPr>
            <w:tcW w:w="901" w:type="dxa"/>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1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stomatološki tehničari/sestre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9</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5</w:t>
            </w:r>
          </w:p>
        </w:tc>
      </w:tr>
      <w:tr w:rsidR="00A131AD" w:rsidRPr="00081B73" w:rsidTr="001911A6">
        <w:trPr>
          <w:cantSplit/>
        </w:trPr>
        <w:tc>
          <w:tcPr>
            <w:tcW w:w="901" w:type="dxa"/>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1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*magistri farmacije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w:t>
            </w:r>
          </w:p>
        </w:tc>
      </w:tr>
      <w:tr w:rsidR="00A131AD" w:rsidRPr="00081B73" w:rsidTr="001911A6">
        <w:trPr>
          <w:cantSplit/>
        </w:trPr>
        <w:tc>
          <w:tcPr>
            <w:tcW w:w="901" w:type="dxa"/>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1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*farmaceutski tehničari</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7</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16</w:t>
            </w:r>
          </w:p>
        </w:tc>
      </w:tr>
      <w:tr w:rsidR="00A131AD" w:rsidRPr="00081B73" w:rsidTr="001911A6">
        <w:trPr>
          <w:trHeight w:val="582"/>
        </w:trPr>
        <w:tc>
          <w:tcPr>
            <w:tcW w:w="901" w:type="dxa"/>
            <w:vAlign w:val="center"/>
          </w:tcPr>
          <w:p w:rsidR="00A131AD" w:rsidRPr="00081B73" w:rsidRDefault="00A131AD" w:rsidP="000C0138">
            <w:pPr>
              <w:spacing w:line="276" w:lineRule="auto"/>
              <w:jc w:val="left"/>
              <w:rPr>
                <w:rFonts w:ascii="Times New Roman" w:hAnsi="Times New Roman"/>
                <w:sz w:val="20"/>
                <w:szCs w:val="20"/>
                <w:lang w:val="bs-Latn-BA"/>
              </w:rPr>
            </w:pPr>
            <w:r w:rsidRPr="00081B73">
              <w:rPr>
                <w:rFonts w:ascii="Times New Roman" w:hAnsi="Times New Roman"/>
                <w:sz w:val="20"/>
                <w:szCs w:val="20"/>
                <w:lang w:val="bs-Latn-BA"/>
              </w:rPr>
              <w:t>Bolnice</w:t>
            </w:r>
          </w:p>
        </w:tc>
        <w:tc>
          <w:tcPr>
            <w:tcW w:w="3815" w:type="dxa"/>
            <w:gridSpan w:val="2"/>
            <w:vAlign w:val="center"/>
          </w:tcPr>
          <w:p w:rsidR="00A131AD" w:rsidRPr="00081B73" w:rsidRDefault="00A131AD" w:rsidP="000C0138">
            <w:pPr>
              <w:spacing w:line="276" w:lineRule="auto"/>
              <w:jc w:val="left"/>
              <w:rPr>
                <w:rFonts w:ascii="Times New Roman" w:hAnsi="Times New Roman"/>
                <w:sz w:val="20"/>
                <w:szCs w:val="20"/>
                <w:lang w:val="bs-Latn-BA"/>
              </w:rPr>
            </w:pPr>
            <w:r w:rsidRPr="00081B73">
              <w:rPr>
                <w:rFonts w:ascii="Times New Roman" w:hAnsi="Times New Roman"/>
                <w:sz w:val="20"/>
                <w:szCs w:val="20"/>
                <w:lang w:val="bs-Latn-BA"/>
              </w:rPr>
              <w:t>bolničke postelje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112</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111</w:t>
            </w:r>
          </w:p>
        </w:tc>
      </w:tr>
    </w:tbl>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*Izvor: Izvješ</w:t>
      </w:r>
      <w:r w:rsidR="00624C80">
        <w:rPr>
          <w:rFonts w:ascii="Times New Roman" w:hAnsi="Times New Roman"/>
          <w:sz w:val="20"/>
          <w:szCs w:val="20"/>
          <w:lang w:val="bs-Latn-BA"/>
        </w:rPr>
        <w:t>će</w:t>
      </w:r>
      <w:r w:rsidRPr="00081B73">
        <w:rPr>
          <w:rFonts w:ascii="Times New Roman" w:hAnsi="Times New Roman"/>
          <w:sz w:val="20"/>
          <w:szCs w:val="20"/>
          <w:lang w:val="bs-Latn-BA"/>
        </w:rPr>
        <w:t xml:space="preserve"> o radu </w:t>
      </w:r>
      <w:r w:rsidR="00624C80">
        <w:rPr>
          <w:rFonts w:ascii="Times New Roman" w:hAnsi="Times New Roman"/>
          <w:sz w:val="20"/>
          <w:szCs w:val="20"/>
          <w:lang w:val="bs-Latn-BA"/>
        </w:rPr>
        <w:t>ljekarni</w:t>
      </w:r>
      <w:r w:rsidRPr="00081B73">
        <w:rPr>
          <w:rFonts w:ascii="Times New Roman" w:hAnsi="Times New Roman"/>
          <w:sz w:val="20"/>
          <w:szCs w:val="20"/>
          <w:lang w:val="bs-Latn-BA"/>
        </w:rPr>
        <w:t xml:space="preserve"> za 2015 godinu</w:t>
      </w:r>
    </w:p>
    <w:p w:rsidR="00081B73" w:rsidRDefault="00081B73">
      <w:pPr>
        <w:spacing w:after="160" w:line="259" w:lineRule="auto"/>
        <w:jc w:val="left"/>
        <w:rPr>
          <w:rFonts w:ascii="Times New Roman" w:hAnsi="Times New Roman"/>
          <w:b/>
          <w:sz w:val="20"/>
          <w:szCs w:val="20"/>
          <w:lang w:val="bs-Latn-BA"/>
        </w:rPr>
      </w:pPr>
      <w:r>
        <w:rPr>
          <w:rFonts w:ascii="Times New Roman" w:hAnsi="Times New Roman"/>
          <w:b/>
          <w:sz w:val="20"/>
          <w:szCs w:val="20"/>
          <w:lang w:val="bs-Latn-BA"/>
        </w:rPr>
        <w:br w:type="page"/>
      </w:r>
    </w:p>
    <w:p w:rsidR="00A131AD" w:rsidRPr="00081B73" w:rsidRDefault="00CF03C8" w:rsidP="000C0138">
      <w:pPr>
        <w:spacing w:line="276" w:lineRule="auto"/>
        <w:jc w:val="center"/>
        <w:rPr>
          <w:rFonts w:ascii="Times New Roman" w:hAnsi="Times New Roman"/>
          <w:b/>
          <w:sz w:val="20"/>
          <w:szCs w:val="20"/>
          <w:lang w:val="bs-Latn-BA"/>
        </w:rPr>
      </w:pPr>
      <w:r w:rsidRPr="00081B73">
        <w:rPr>
          <w:rFonts w:ascii="Times New Roman" w:hAnsi="Times New Roman"/>
          <w:b/>
          <w:sz w:val="20"/>
          <w:szCs w:val="20"/>
          <w:lang w:val="bs-Latn-BA"/>
        </w:rPr>
        <w:lastRenderedPageBreak/>
        <w:t>T</w:t>
      </w:r>
      <w:r w:rsidR="00A131AD" w:rsidRPr="00081B73">
        <w:rPr>
          <w:rFonts w:ascii="Times New Roman" w:hAnsi="Times New Roman"/>
          <w:b/>
          <w:sz w:val="20"/>
          <w:szCs w:val="20"/>
          <w:lang w:val="bs-Latn-BA"/>
        </w:rPr>
        <w:t>uzlanski kanton</w:t>
      </w:r>
    </w:p>
    <w:p w:rsidR="00A131AD" w:rsidRPr="00081B73" w:rsidRDefault="00A131AD" w:rsidP="000C0138">
      <w:pPr>
        <w:spacing w:line="276" w:lineRule="auto"/>
        <w:jc w:val="center"/>
        <w:rPr>
          <w:rFonts w:ascii="Times New Roman" w:hAnsi="Times New Roman"/>
          <w:sz w:val="20"/>
          <w:szCs w:val="20"/>
          <w:lang w:val="bs-Latn-BA"/>
        </w:rPr>
      </w:pPr>
    </w:p>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 xml:space="preserve">                                                               Tabl</w:t>
      </w:r>
      <w:r w:rsidR="00624C80">
        <w:rPr>
          <w:rFonts w:ascii="Times New Roman" w:hAnsi="Times New Roman"/>
          <w:sz w:val="20"/>
          <w:szCs w:val="20"/>
          <w:lang w:val="bs-Latn-BA"/>
        </w:rPr>
        <w:t>ic</w:t>
      </w:r>
      <w:r w:rsidRPr="00081B73">
        <w:rPr>
          <w:rFonts w:ascii="Times New Roman" w:hAnsi="Times New Roman"/>
          <w:sz w:val="20"/>
          <w:szCs w:val="20"/>
          <w:lang w:val="bs-Latn-BA"/>
        </w:rPr>
        <w:t>a 1: Stanovništvo po općinama*</w:t>
      </w:r>
    </w:p>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noProof/>
          <w:sz w:val="20"/>
          <w:szCs w:val="20"/>
          <w:lang w:val="bs-Latn-BA" w:eastAsia="bs-Latn-BA"/>
        </w:rPr>
        <w:drawing>
          <wp:anchor distT="0" distB="0" distL="114300" distR="114300" simplePos="0" relativeHeight="251663360" behindDoc="0" locked="0" layoutInCell="1" allowOverlap="1" wp14:anchorId="4E4783FF" wp14:editId="289FBB55">
            <wp:simplePos x="0" y="0"/>
            <wp:positionH relativeFrom="column">
              <wp:posOffset>-571500</wp:posOffset>
            </wp:positionH>
            <wp:positionV relativeFrom="paragraph">
              <wp:posOffset>206375</wp:posOffset>
            </wp:positionV>
            <wp:extent cx="2380615" cy="2263775"/>
            <wp:effectExtent l="0" t="0" r="635" b="3175"/>
            <wp:wrapSquare wrapText="bothSides"/>
            <wp:docPr id="125" name="Picture 125" descr="canton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nton3"/>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380615" cy="226377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4761" w:type="dxa"/>
        <w:tblCellSpacing w:w="15" w:type="dxa"/>
        <w:tblCellMar>
          <w:top w:w="15" w:type="dxa"/>
          <w:left w:w="15" w:type="dxa"/>
          <w:bottom w:w="15" w:type="dxa"/>
          <w:right w:w="15" w:type="dxa"/>
        </w:tblCellMar>
        <w:tblLook w:val="0000" w:firstRow="0" w:lastRow="0" w:firstColumn="0" w:lastColumn="0" w:noHBand="0" w:noVBand="0"/>
      </w:tblPr>
      <w:tblGrid>
        <w:gridCol w:w="2421"/>
        <w:gridCol w:w="1237"/>
        <w:gridCol w:w="1103"/>
      </w:tblGrid>
      <w:tr w:rsidR="00A131AD" w:rsidRPr="00081B73" w:rsidTr="001911A6">
        <w:trPr>
          <w:trHeight w:val="930"/>
          <w:tblCellSpacing w:w="15" w:type="dxa"/>
        </w:trPr>
        <w:tc>
          <w:tcPr>
            <w:tcW w:w="2376" w:type="dxa"/>
            <w:tcBorders>
              <w:right w:val="single" w:sz="4" w:space="0" w:color="000000"/>
            </w:tcBorders>
            <w:shd w:val="clear" w:color="auto" w:fill="C0C0C0"/>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b/>
                <w:bCs/>
                <w:color w:val="800000"/>
                <w:sz w:val="20"/>
                <w:szCs w:val="20"/>
                <w:lang w:val="bs-Latn-BA"/>
              </w:rPr>
              <w:t>Općina</w:t>
            </w:r>
          </w:p>
        </w:tc>
        <w:tc>
          <w:tcPr>
            <w:tcW w:w="1207" w:type="dxa"/>
            <w:tcBorders>
              <w:left w:val="nil"/>
            </w:tcBorders>
            <w:shd w:val="clear" w:color="auto" w:fill="C0C0C0"/>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b/>
                <w:bCs/>
                <w:color w:val="800000"/>
                <w:sz w:val="20"/>
                <w:szCs w:val="20"/>
                <w:lang w:val="bs-Latn-BA"/>
              </w:rPr>
              <w:t>Površina, km</w:t>
            </w:r>
            <w:r w:rsidRPr="00081B73">
              <w:rPr>
                <w:rFonts w:ascii="Times New Roman" w:hAnsi="Times New Roman"/>
                <w:b/>
                <w:bCs/>
                <w:color w:val="800000"/>
                <w:sz w:val="20"/>
                <w:szCs w:val="20"/>
                <w:vertAlign w:val="superscript"/>
                <w:lang w:val="bs-Latn-BA"/>
              </w:rPr>
              <w:t>2</w:t>
            </w:r>
          </w:p>
        </w:tc>
        <w:tc>
          <w:tcPr>
            <w:tcW w:w="1058" w:type="dxa"/>
            <w:tcBorders>
              <w:left w:val="nil"/>
            </w:tcBorders>
            <w:shd w:val="clear" w:color="auto" w:fill="C0C0C0"/>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color w:val="800000"/>
                <w:sz w:val="20"/>
                <w:szCs w:val="20"/>
                <w:lang w:val="bs-Latn-BA"/>
              </w:rPr>
              <w:t>Procjena broja stanovnika</w:t>
            </w:r>
          </w:p>
        </w:tc>
      </w:tr>
      <w:tr w:rsidR="00A131AD" w:rsidRPr="00081B73" w:rsidTr="001911A6">
        <w:trPr>
          <w:cantSplit/>
          <w:trHeight w:val="315"/>
          <w:tblCellSpacing w:w="15" w:type="dxa"/>
        </w:trPr>
        <w:tc>
          <w:tcPr>
            <w:tcW w:w="2376" w:type="dxa"/>
            <w:shd w:val="clear" w:color="auto" w:fill="FFFFCC"/>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Banovići</w:t>
            </w:r>
          </w:p>
        </w:tc>
        <w:tc>
          <w:tcPr>
            <w:tcW w:w="1207"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185,0</w:t>
            </w:r>
          </w:p>
        </w:tc>
        <w:tc>
          <w:tcPr>
            <w:tcW w:w="1058" w:type="dxa"/>
            <w:shd w:val="clear" w:color="auto" w:fill="FFFFCC"/>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25.922</w:t>
            </w:r>
          </w:p>
        </w:tc>
      </w:tr>
      <w:tr w:rsidR="00A131AD" w:rsidRPr="00081B73" w:rsidTr="001911A6">
        <w:trPr>
          <w:trHeight w:val="225"/>
          <w:tblCellSpacing w:w="15" w:type="dxa"/>
        </w:trPr>
        <w:tc>
          <w:tcPr>
            <w:tcW w:w="2376" w:type="dxa"/>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Čelić</w:t>
            </w:r>
          </w:p>
        </w:tc>
        <w:tc>
          <w:tcPr>
            <w:tcW w:w="1207"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140,0</w:t>
            </w:r>
          </w:p>
        </w:tc>
        <w:tc>
          <w:tcPr>
            <w:tcW w:w="1058" w:type="dxa"/>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13.575</w:t>
            </w:r>
          </w:p>
        </w:tc>
      </w:tr>
      <w:tr w:rsidR="00A131AD" w:rsidRPr="00081B73" w:rsidTr="001911A6">
        <w:trPr>
          <w:trHeight w:val="225"/>
          <w:tblCellSpacing w:w="15" w:type="dxa"/>
        </w:trPr>
        <w:tc>
          <w:tcPr>
            <w:tcW w:w="2376" w:type="dxa"/>
            <w:shd w:val="clear" w:color="auto" w:fill="FFFFCC"/>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Doboj-Istok</w:t>
            </w:r>
          </w:p>
        </w:tc>
        <w:tc>
          <w:tcPr>
            <w:tcW w:w="1207"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41,0</w:t>
            </w:r>
          </w:p>
        </w:tc>
        <w:tc>
          <w:tcPr>
            <w:tcW w:w="1058" w:type="dxa"/>
            <w:shd w:val="clear" w:color="auto" w:fill="FFFFCC"/>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10.167</w:t>
            </w:r>
          </w:p>
        </w:tc>
      </w:tr>
      <w:tr w:rsidR="00A131AD" w:rsidRPr="00081B73" w:rsidTr="001911A6">
        <w:trPr>
          <w:cantSplit/>
          <w:trHeight w:val="315"/>
          <w:tblCellSpacing w:w="15" w:type="dxa"/>
        </w:trPr>
        <w:tc>
          <w:tcPr>
            <w:tcW w:w="2376" w:type="dxa"/>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Gračanica</w:t>
            </w:r>
          </w:p>
        </w:tc>
        <w:tc>
          <w:tcPr>
            <w:tcW w:w="1207"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216,0</w:t>
            </w:r>
          </w:p>
        </w:tc>
        <w:tc>
          <w:tcPr>
            <w:tcW w:w="1058" w:type="dxa"/>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52.701</w:t>
            </w:r>
          </w:p>
        </w:tc>
      </w:tr>
      <w:tr w:rsidR="00A131AD" w:rsidRPr="00081B73" w:rsidTr="001911A6">
        <w:trPr>
          <w:cantSplit/>
          <w:trHeight w:val="315"/>
          <w:tblCellSpacing w:w="15" w:type="dxa"/>
        </w:trPr>
        <w:tc>
          <w:tcPr>
            <w:tcW w:w="2376" w:type="dxa"/>
            <w:shd w:val="clear" w:color="auto" w:fill="FFFFCC"/>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Gradačac</w:t>
            </w:r>
          </w:p>
        </w:tc>
        <w:tc>
          <w:tcPr>
            <w:tcW w:w="1207"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218,0</w:t>
            </w:r>
          </w:p>
        </w:tc>
        <w:tc>
          <w:tcPr>
            <w:tcW w:w="1058" w:type="dxa"/>
            <w:shd w:val="clear" w:color="auto" w:fill="FFFFCC"/>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 xml:space="preserve">     45.875</w:t>
            </w:r>
          </w:p>
        </w:tc>
      </w:tr>
      <w:tr w:rsidR="00A131AD" w:rsidRPr="00081B73" w:rsidTr="001911A6">
        <w:trPr>
          <w:cantSplit/>
          <w:trHeight w:val="315"/>
          <w:tblCellSpacing w:w="15" w:type="dxa"/>
        </w:trPr>
        <w:tc>
          <w:tcPr>
            <w:tcW w:w="2376" w:type="dxa"/>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Kalesija</w:t>
            </w:r>
          </w:p>
        </w:tc>
        <w:tc>
          <w:tcPr>
            <w:tcW w:w="1207"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201,0</w:t>
            </w:r>
          </w:p>
        </w:tc>
        <w:tc>
          <w:tcPr>
            <w:tcW w:w="1058" w:type="dxa"/>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35.990</w:t>
            </w:r>
          </w:p>
        </w:tc>
      </w:tr>
      <w:tr w:rsidR="00A131AD" w:rsidRPr="00081B73" w:rsidTr="001911A6">
        <w:trPr>
          <w:trHeight w:val="225"/>
          <w:tblCellSpacing w:w="15" w:type="dxa"/>
        </w:trPr>
        <w:tc>
          <w:tcPr>
            <w:tcW w:w="2376" w:type="dxa"/>
            <w:shd w:val="clear" w:color="auto" w:fill="FFFFCC"/>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Kladanj</w:t>
            </w:r>
          </w:p>
        </w:tc>
        <w:tc>
          <w:tcPr>
            <w:tcW w:w="1207"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331,0</w:t>
            </w:r>
          </w:p>
        </w:tc>
        <w:tc>
          <w:tcPr>
            <w:tcW w:w="1058" w:type="dxa"/>
            <w:shd w:val="clear" w:color="auto" w:fill="FFFFCC"/>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14.470</w:t>
            </w:r>
          </w:p>
        </w:tc>
      </w:tr>
      <w:tr w:rsidR="00A131AD" w:rsidRPr="00081B73" w:rsidTr="001911A6">
        <w:trPr>
          <w:trHeight w:val="225"/>
          <w:tblCellSpacing w:w="15" w:type="dxa"/>
        </w:trPr>
        <w:tc>
          <w:tcPr>
            <w:tcW w:w="2376" w:type="dxa"/>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Lukavac</w:t>
            </w:r>
          </w:p>
        </w:tc>
        <w:tc>
          <w:tcPr>
            <w:tcW w:w="1207"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337,0</w:t>
            </w:r>
          </w:p>
        </w:tc>
        <w:tc>
          <w:tcPr>
            <w:tcW w:w="1058" w:type="dxa"/>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50.316</w:t>
            </w:r>
          </w:p>
        </w:tc>
      </w:tr>
      <w:tr w:rsidR="00A131AD" w:rsidRPr="00081B73" w:rsidTr="001911A6">
        <w:trPr>
          <w:trHeight w:val="225"/>
          <w:tblCellSpacing w:w="15" w:type="dxa"/>
        </w:trPr>
        <w:tc>
          <w:tcPr>
            <w:tcW w:w="2376" w:type="dxa"/>
            <w:shd w:val="clear" w:color="auto" w:fill="FFFFCC"/>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Sapna</w:t>
            </w:r>
          </w:p>
        </w:tc>
        <w:tc>
          <w:tcPr>
            <w:tcW w:w="1207"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118,0</w:t>
            </w:r>
          </w:p>
        </w:tc>
        <w:tc>
          <w:tcPr>
            <w:tcW w:w="1058" w:type="dxa"/>
            <w:shd w:val="clear" w:color="auto" w:fill="FFFFCC"/>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12.629</w:t>
            </w:r>
          </w:p>
        </w:tc>
      </w:tr>
      <w:tr w:rsidR="00A131AD" w:rsidRPr="00081B73" w:rsidTr="001911A6">
        <w:trPr>
          <w:trHeight w:val="225"/>
          <w:tblCellSpacing w:w="15" w:type="dxa"/>
        </w:trPr>
        <w:tc>
          <w:tcPr>
            <w:tcW w:w="2376" w:type="dxa"/>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Srebrenik</w:t>
            </w:r>
          </w:p>
        </w:tc>
        <w:tc>
          <w:tcPr>
            <w:tcW w:w="1207"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248,0</w:t>
            </w:r>
          </w:p>
        </w:tc>
        <w:tc>
          <w:tcPr>
            <w:tcW w:w="1058" w:type="dxa"/>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41.906</w:t>
            </w:r>
          </w:p>
        </w:tc>
      </w:tr>
      <w:tr w:rsidR="00A131AD" w:rsidRPr="00081B73" w:rsidTr="001911A6">
        <w:trPr>
          <w:trHeight w:val="225"/>
          <w:tblCellSpacing w:w="15" w:type="dxa"/>
        </w:trPr>
        <w:tc>
          <w:tcPr>
            <w:tcW w:w="2376" w:type="dxa"/>
            <w:shd w:val="clear" w:color="auto" w:fill="FFFFCC"/>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Teočak</w:t>
            </w:r>
          </w:p>
        </w:tc>
        <w:tc>
          <w:tcPr>
            <w:tcW w:w="1207"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29,0</w:t>
            </w:r>
          </w:p>
        </w:tc>
        <w:tc>
          <w:tcPr>
            <w:tcW w:w="1058" w:type="dxa"/>
            <w:shd w:val="clear" w:color="auto" w:fill="FFFFCC"/>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7.299</w:t>
            </w:r>
          </w:p>
        </w:tc>
      </w:tr>
      <w:tr w:rsidR="00A131AD" w:rsidRPr="00081B73" w:rsidTr="001911A6">
        <w:trPr>
          <w:trHeight w:val="225"/>
          <w:tblCellSpacing w:w="15" w:type="dxa"/>
        </w:trPr>
        <w:tc>
          <w:tcPr>
            <w:tcW w:w="2376" w:type="dxa"/>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Tuzla</w:t>
            </w:r>
          </w:p>
        </w:tc>
        <w:tc>
          <w:tcPr>
            <w:tcW w:w="1207"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294,0</w:t>
            </w:r>
          </w:p>
        </w:tc>
        <w:tc>
          <w:tcPr>
            <w:tcW w:w="1058" w:type="dxa"/>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131.684</w:t>
            </w:r>
          </w:p>
        </w:tc>
      </w:tr>
      <w:tr w:rsidR="00A131AD" w:rsidRPr="00081B73" w:rsidTr="001911A6">
        <w:trPr>
          <w:trHeight w:val="225"/>
          <w:tblCellSpacing w:w="15" w:type="dxa"/>
        </w:trPr>
        <w:tc>
          <w:tcPr>
            <w:tcW w:w="2376" w:type="dxa"/>
            <w:shd w:val="clear" w:color="auto" w:fill="FFFFCC"/>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 xml:space="preserve">Živinice </w:t>
            </w:r>
          </w:p>
        </w:tc>
        <w:tc>
          <w:tcPr>
            <w:tcW w:w="1207"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291,0</w:t>
            </w:r>
          </w:p>
        </w:tc>
        <w:tc>
          <w:tcPr>
            <w:tcW w:w="1058" w:type="dxa"/>
            <w:shd w:val="clear" w:color="auto" w:fill="FFFFCC"/>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56.232</w:t>
            </w:r>
          </w:p>
        </w:tc>
      </w:tr>
      <w:tr w:rsidR="00A131AD" w:rsidRPr="00081B73" w:rsidTr="001911A6">
        <w:trPr>
          <w:trHeight w:val="315"/>
          <w:tblCellSpacing w:w="15" w:type="dxa"/>
        </w:trPr>
        <w:tc>
          <w:tcPr>
            <w:tcW w:w="2376" w:type="dxa"/>
            <w:shd w:val="clear" w:color="auto" w:fill="FFFFFF"/>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 xml:space="preserve">UKUPNO KANTON: </w:t>
            </w:r>
          </w:p>
        </w:tc>
        <w:tc>
          <w:tcPr>
            <w:tcW w:w="1207" w:type="dxa"/>
            <w:shd w:val="clear" w:color="auto" w:fill="FFFFFF"/>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2.649,0</w:t>
            </w:r>
          </w:p>
        </w:tc>
        <w:tc>
          <w:tcPr>
            <w:tcW w:w="1058" w:type="dxa"/>
            <w:shd w:val="clear" w:color="auto" w:fill="FFFFFF"/>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498.766</w:t>
            </w:r>
          </w:p>
        </w:tc>
      </w:tr>
      <w:tr w:rsidR="00A131AD" w:rsidRPr="00081B73" w:rsidTr="001911A6">
        <w:trPr>
          <w:trHeight w:val="315"/>
          <w:tblCellSpacing w:w="15" w:type="dxa"/>
        </w:trPr>
        <w:tc>
          <w:tcPr>
            <w:tcW w:w="2376" w:type="dxa"/>
            <w:shd w:val="clear" w:color="auto" w:fill="FFFFFF"/>
            <w:vAlign w:val="center"/>
          </w:tcPr>
          <w:p w:rsidR="00A131AD" w:rsidRPr="00081B73" w:rsidRDefault="00A131AD" w:rsidP="000C0138">
            <w:pPr>
              <w:spacing w:line="276" w:lineRule="auto"/>
              <w:rPr>
                <w:rFonts w:ascii="Times New Roman" w:hAnsi="Times New Roman"/>
                <w:color w:val="000080"/>
                <w:sz w:val="20"/>
                <w:szCs w:val="20"/>
                <w:lang w:val="bs-Latn-BA"/>
              </w:rPr>
            </w:pPr>
            <w:r w:rsidRPr="00081B73">
              <w:rPr>
                <w:rFonts w:ascii="Times New Roman" w:hAnsi="Times New Roman"/>
                <w:sz w:val="20"/>
                <w:szCs w:val="20"/>
                <w:lang w:val="bs-Latn-BA"/>
              </w:rPr>
              <w:t>Broj stanovnika/</w:t>
            </w:r>
            <w:r w:rsidRPr="00081B73">
              <w:rPr>
                <w:rFonts w:ascii="Times New Roman" w:hAnsi="Times New Roman"/>
                <w:b/>
                <w:bCs/>
                <w:color w:val="800000"/>
                <w:sz w:val="20"/>
                <w:szCs w:val="20"/>
                <w:lang w:val="bs-Latn-BA"/>
              </w:rPr>
              <w:t xml:space="preserve"> </w:t>
            </w:r>
            <w:r w:rsidRPr="00081B73">
              <w:rPr>
                <w:rFonts w:ascii="Times New Roman" w:hAnsi="Times New Roman"/>
                <w:sz w:val="20"/>
                <w:szCs w:val="20"/>
                <w:lang w:val="bs-Latn-BA"/>
              </w:rPr>
              <w:t>km</w:t>
            </w:r>
            <w:r w:rsidRPr="00081B73">
              <w:rPr>
                <w:rFonts w:ascii="Times New Roman" w:hAnsi="Times New Roman"/>
                <w:sz w:val="20"/>
                <w:szCs w:val="20"/>
                <w:vertAlign w:val="superscript"/>
                <w:lang w:val="bs-Latn-BA"/>
              </w:rPr>
              <w:t>2</w:t>
            </w:r>
          </w:p>
        </w:tc>
        <w:tc>
          <w:tcPr>
            <w:tcW w:w="1207" w:type="dxa"/>
            <w:shd w:val="clear" w:color="auto" w:fill="FFFFFF"/>
            <w:vAlign w:val="center"/>
          </w:tcPr>
          <w:p w:rsidR="00A131AD" w:rsidRPr="00081B73" w:rsidRDefault="00A131AD" w:rsidP="000C0138">
            <w:pPr>
              <w:spacing w:line="276" w:lineRule="auto"/>
              <w:jc w:val="right"/>
              <w:rPr>
                <w:rFonts w:ascii="Times New Roman" w:hAnsi="Times New Roman"/>
                <w:color w:val="000080"/>
                <w:sz w:val="20"/>
                <w:szCs w:val="20"/>
                <w:lang w:val="bs-Latn-BA"/>
              </w:rPr>
            </w:pPr>
            <w:r w:rsidRPr="00081B73">
              <w:rPr>
                <w:rFonts w:ascii="Times New Roman" w:hAnsi="Times New Roman"/>
                <w:color w:val="000080"/>
                <w:sz w:val="20"/>
                <w:szCs w:val="20"/>
                <w:lang w:val="bs-Latn-BA"/>
              </w:rPr>
              <w:t>188,4</w:t>
            </w:r>
          </w:p>
        </w:tc>
        <w:tc>
          <w:tcPr>
            <w:tcW w:w="1058" w:type="dxa"/>
            <w:shd w:val="clear" w:color="auto" w:fill="FFFFFF"/>
            <w:vAlign w:val="center"/>
          </w:tcPr>
          <w:p w:rsidR="00A131AD" w:rsidRPr="00081B73" w:rsidRDefault="00A131AD" w:rsidP="000C0138">
            <w:pPr>
              <w:spacing w:line="276" w:lineRule="auto"/>
              <w:jc w:val="right"/>
              <w:rPr>
                <w:rFonts w:ascii="Times New Roman" w:hAnsi="Times New Roman"/>
                <w:sz w:val="20"/>
                <w:szCs w:val="20"/>
                <w:lang w:val="bs-Latn-BA"/>
              </w:rPr>
            </w:pPr>
          </w:p>
        </w:tc>
      </w:tr>
    </w:tbl>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 xml:space="preserve"> </w:t>
      </w:r>
      <w:r w:rsidRPr="00081B73">
        <w:rPr>
          <w:rFonts w:ascii="Times New Roman" w:hAnsi="Times New Roman"/>
          <w:sz w:val="20"/>
          <w:szCs w:val="20"/>
          <w:lang w:val="bs-Latn-BA"/>
        </w:rPr>
        <w:tab/>
      </w:r>
      <w:r w:rsidRPr="00081B73">
        <w:rPr>
          <w:rFonts w:ascii="Times New Roman" w:hAnsi="Times New Roman"/>
          <w:sz w:val="20"/>
          <w:szCs w:val="20"/>
          <w:lang w:val="bs-Latn-BA"/>
        </w:rPr>
        <w:tab/>
      </w:r>
      <w:r w:rsidRPr="00081B73">
        <w:rPr>
          <w:rFonts w:ascii="Times New Roman" w:hAnsi="Times New Roman"/>
          <w:sz w:val="20"/>
          <w:szCs w:val="20"/>
          <w:lang w:val="bs-Latn-BA"/>
        </w:rPr>
        <w:tab/>
      </w:r>
      <w:r w:rsidRPr="00081B73">
        <w:rPr>
          <w:rFonts w:ascii="Times New Roman" w:hAnsi="Times New Roman"/>
          <w:sz w:val="20"/>
          <w:szCs w:val="20"/>
          <w:lang w:val="bs-Latn-BA"/>
        </w:rPr>
        <w:tab/>
        <w:t xml:space="preserve">  * procjena broja stanovnika na dan 30.06.2015. godine</w:t>
      </w:r>
    </w:p>
    <w:p w:rsidR="00A131AD" w:rsidRPr="00081B73" w:rsidRDefault="00A131AD" w:rsidP="00CF03C8">
      <w:pPr>
        <w:pStyle w:val="refererere"/>
        <w:rPr>
          <w:lang w:val="bs-Latn-BA"/>
        </w:rPr>
      </w:pPr>
      <w:r w:rsidRPr="00081B73">
        <w:rPr>
          <w:lang w:val="bs-Latn-BA"/>
        </w:rPr>
        <w:t>Tabl</w:t>
      </w:r>
      <w:r w:rsidR="00624C80">
        <w:rPr>
          <w:lang w:val="bs-Latn-BA"/>
        </w:rPr>
        <w:t>ic</w:t>
      </w:r>
      <w:r w:rsidRPr="00081B73">
        <w:rPr>
          <w:lang w:val="bs-Latn-BA"/>
        </w:rPr>
        <w:t>a 2: Preliminarni pokazatelji vitalne statistike za 2010 i  2015. godinu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669"/>
        <w:gridCol w:w="2693"/>
        <w:gridCol w:w="2494"/>
      </w:tblGrid>
      <w:tr w:rsidR="00A131AD" w:rsidRPr="00081B73" w:rsidTr="001911A6">
        <w:tc>
          <w:tcPr>
            <w:tcW w:w="3669" w:type="dxa"/>
            <w:shd w:val="clear" w:color="auto" w:fill="FFFF00"/>
          </w:tcPr>
          <w:p w:rsidR="00A131AD" w:rsidRPr="00081B73" w:rsidRDefault="00A131AD" w:rsidP="000C0138">
            <w:pPr>
              <w:spacing w:line="276" w:lineRule="auto"/>
              <w:jc w:val="center"/>
              <w:rPr>
                <w:rFonts w:ascii="Times New Roman" w:hAnsi="Times New Roman"/>
                <w:sz w:val="20"/>
                <w:szCs w:val="20"/>
                <w:lang w:val="bs-Latn-BA"/>
              </w:rPr>
            </w:pPr>
          </w:p>
        </w:tc>
        <w:tc>
          <w:tcPr>
            <w:tcW w:w="2693"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2010.</w:t>
            </w:r>
          </w:p>
        </w:tc>
        <w:tc>
          <w:tcPr>
            <w:tcW w:w="2494"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2015.</w:t>
            </w:r>
          </w:p>
        </w:tc>
      </w:tr>
      <w:tr w:rsidR="00A131AD" w:rsidRPr="00081B73" w:rsidTr="001911A6">
        <w:tc>
          <w:tcPr>
            <w:tcW w:w="3669"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Natalitet</w:t>
            </w:r>
          </w:p>
        </w:tc>
        <w:tc>
          <w:tcPr>
            <w:tcW w:w="2693" w:type="dxa"/>
          </w:tcPr>
          <w:p w:rsidR="00A131AD" w:rsidRPr="00081B73" w:rsidRDefault="00A131AD" w:rsidP="000C0138">
            <w:pPr>
              <w:tabs>
                <w:tab w:val="left" w:pos="465"/>
              </w:tabs>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9,7</w:t>
            </w:r>
          </w:p>
        </w:tc>
        <w:tc>
          <w:tcPr>
            <w:tcW w:w="2494" w:type="dxa"/>
          </w:tcPr>
          <w:p w:rsidR="00A131AD" w:rsidRPr="00081B73" w:rsidRDefault="00A131AD" w:rsidP="000C0138">
            <w:pPr>
              <w:spacing w:line="276" w:lineRule="auto"/>
              <w:ind w:right="453"/>
              <w:jc w:val="center"/>
              <w:rPr>
                <w:rFonts w:ascii="Times New Roman" w:hAnsi="Times New Roman"/>
                <w:sz w:val="20"/>
                <w:szCs w:val="20"/>
                <w:lang w:val="bs-Latn-BA"/>
              </w:rPr>
            </w:pPr>
            <w:r w:rsidRPr="00081B73">
              <w:rPr>
                <w:rFonts w:ascii="Times New Roman" w:hAnsi="Times New Roman"/>
                <w:sz w:val="20"/>
                <w:szCs w:val="20"/>
                <w:lang w:val="bs-Latn-BA"/>
              </w:rPr>
              <w:t>7,8</w:t>
            </w:r>
          </w:p>
        </w:tc>
      </w:tr>
      <w:tr w:rsidR="00A131AD" w:rsidRPr="00081B73" w:rsidTr="001911A6">
        <w:tc>
          <w:tcPr>
            <w:tcW w:w="3669"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Mortalitet</w:t>
            </w:r>
          </w:p>
        </w:tc>
        <w:tc>
          <w:tcPr>
            <w:tcW w:w="2693" w:type="dxa"/>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7,9</w:t>
            </w:r>
          </w:p>
        </w:tc>
        <w:tc>
          <w:tcPr>
            <w:tcW w:w="2494" w:type="dxa"/>
          </w:tcPr>
          <w:p w:rsidR="00A131AD" w:rsidRPr="00081B73" w:rsidRDefault="00A131AD" w:rsidP="000C0138">
            <w:pPr>
              <w:spacing w:line="276" w:lineRule="auto"/>
              <w:ind w:right="453"/>
              <w:jc w:val="center"/>
              <w:rPr>
                <w:rFonts w:ascii="Times New Roman" w:hAnsi="Times New Roman"/>
                <w:sz w:val="20"/>
                <w:szCs w:val="20"/>
                <w:lang w:val="bs-Latn-BA"/>
              </w:rPr>
            </w:pPr>
            <w:r w:rsidRPr="00081B73">
              <w:rPr>
                <w:rFonts w:ascii="Times New Roman" w:hAnsi="Times New Roman"/>
                <w:sz w:val="20"/>
                <w:szCs w:val="20"/>
                <w:lang w:val="bs-Latn-BA"/>
              </w:rPr>
              <w:t>8,2</w:t>
            </w:r>
          </w:p>
        </w:tc>
      </w:tr>
      <w:tr w:rsidR="00A131AD" w:rsidRPr="00081B73" w:rsidTr="001911A6">
        <w:tc>
          <w:tcPr>
            <w:tcW w:w="3669"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Smrtnost dojenčadi</w:t>
            </w:r>
          </w:p>
        </w:tc>
        <w:tc>
          <w:tcPr>
            <w:tcW w:w="2693" w:type="dxa"/>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7,5</w:t>
            </w:r>
          </w:p>
        </w:tc>
        <w:tc>
          <w:tcPr>
            <w:tcW w:w="2494" w:type="dxa"/>
          </w:tcPr>
          <w:p w:rsidR="00A131AD" w:rsidRPr="00081B73" w:rsidRDefault="00A131AD" w:rsidP="000C0138">
            <w:pPr>
              <w:spacing w:line="276" w:lineRule="auto"/>
              <w:ind w:right="453"/>
              <w:jc w:val="center"/>
              <w:rPr>
                <w:rFonts w:ascii="Times New Roman" w:hAnsi="Times New Roman"/>
                <w:sz w:val="20"/>
                <w:szCs w:val="20"/>
                <w:lang w:val="bs-Latn-BA"/>
              </w:rPr>
            </w:pPr>
            <w:r w:rsidRPr="00081B73">
              <w:rPr>
                <w:rFonts w:ascii="Times New Roman" w:hAnsi="Times New Roman"/>
                <w:sz w:val="20"/>
                <w:szCs w:val="20"/>
                <w:lang w:val="bs-Latn-BA"/>
              </w:rPr>
              <w:t>7,4</w:t>
            </w:r>
          </w:p>
        </w:tc>
      </w:tr>
      <w:tr w:rsidR="00A131AD" w:rsidRPr="00081B73" w:rsidTr="001911A6">
        <w:tc>
          <w:tcPr>
            <w:tcW w:w="3669" w:type="dxa"/>
          </w:tcPr>
          <w:p w:rsidR="00A131AD" w:rsidRPr="00081B73" w:rsidRDefault="00A131AD" w:rsidP="00624C80">
            <w:pPr>
              <w:spacing w:line="276" w:lineRule="auto"/>
              <w:rPr>
                <w:rFonts w:ascii="Times New Roman" w:hAnsi="Times New Roman"/>
                <w:sz w:val="20"/>
                <w:szCs w:val="20"/>
                <w:lang w:val="bs-Latn-BA"/>
              </w:rPr>
            </w:pPr>
            <w:r w:rsidRPr="00081B73">
              <w:rPr>
                <w:rFonts w:ascii="Times New Roman" w:hAnsi="Times New Roman"/>
                <w:sz w:val="20"/>
                <w:szCs w:val="20"/>
                <w:lang w:val="bs-Latn-BA"/>
              </w:rPr>
              <w:t>Prirodni prira</w:t>
            </w:r>
            <w:r w:rsidR="00624C80">
              <w:rPr>
                <w:rFonts w:ascii="Times New Roman" w:hAnsi="Times New Roman"/>
                <w:sz w:val="20"/>
                <w:szCs w:val="20"/>
                <w:lang w:val="bs-Latn-BA"/>
              </w:rPr>
              <w:t>st</w:t>
            </w:r>
          </w:p>
        </w:tc>
        <w:tc>
          <w:tcPr>
            <w:tcW w:w="2693" w:type="dxa"/>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1,8</w:t>
            </w:r>
          </w:p>
        </w:tc>
        <w:tc>
          <w:tcPr>
            <w:tcW w:w="2494" w:type="dxa"/>
          </w:tcPr>
          <w:p w:rsidR="00A131AD" w:rsidRPr="00081B73" w:rsidRDefault="00A131AD" w:rsidP="000C0138">
            <w:pPr>
              <w:spacing w:line="276" w:lineRule="auto"/>
              <w:ind w:right="453"/>
              <w:jc w:val="center"/>
              <w:rPr>
                <w:rFonts w:ascii="Times New Roman" w:hAnsi="Times New Roman"/>
                <w:sz w:val="20"/>
                <w:szCs w:val="20"/>
                <w:lang w:val="bs-Latn-BA"/>
              </w:rPr>
            </w:pPr>
            <w:r w:rsidRPr="00081B73">
              <w:rPr>
                <w:rFonts w:ascii="Times New Roman" w:hAnsi="Times New Roman"/>
                <w:sz w:val="20"/>
                <w:szCs w:val="20"/>
                <w:lang w:val="bs-Latn-BA"/>
              </w:rPr>
              <w:t>-0,4</w:t>
            </w:r>
          </w:p>
        </w:tc>
      </w:tr>
    </w:tbl>
    <w:p w:rsidR="00F83CAD" w:rsidRPr="00081B73" w:rsidRDefault="00F83CAD" w:rsidP="00CF03C8">
      <w:pPr>
        <w:pStyle w:val="refererere"/>
        <w:rPr>
          <w:lang w:val="bs-Latn-BA"/>
        </w:rPr>
      </w:pPr>
    </w:p>
    <w:p w:rsidR="00A131AD" w:rsidRPr="00081B73" w:rsidRDefault="00A131AD" w:rsidP="00CF03C8">
      <w:pPr>
        <w:pStyle w:val="refererere"/>
        <w:rPr>
          <w:lang w:val="bs-Latn-BA"/>
        </w:rPr>
      </w:pPr>
      <w:r w:rsidRPr="00081B73">
        <w:rPr>
          <w:lang w:val="bs-Latn-BA"/>
        </w:rPr>
        <w:t>Tabl</w:t>
      </w:r>
      <w:r w:rsidR="00624C80">
        <w:rPr>
          <w:lang w:val="bs-Latn-BA"/>
        </w:rPr>
        <w:t>ic</w:t>
      </w:r>
      <w:r w:rsidRPr="00081B73">
        <w:rPr>
          <w:lang w:val="bs-Latn-BA"/>
        </w:rPr>
        <w:t>a 3: Vodeći uzroci smrti za 2010</w:t>
      </w:r>
      <w:r w:rsidR="00624C80">
        <w:rPr>
          <w:lang w:val="bs-Latn-BA"/>
        </w:rPr>
        <w:t>.</w:t>
      </w:r>
      <w:r w:rsidRPr="00081B73">
        <w:rPr>
          <w:lang w:val="bs-Latn-BA"/>
        </w:rPr>
        <w:t xml:space="preserve"> i  2015. godinu **</w:t>
      </w:r>
    </w:p>
    <w:tbl>
      <w:tblPr>
        <w:tblW w:w="92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32"/>
        <w:gridCol w:w="2369"/>
        <w:gridCol w:w="750"/>
        <w:gridCol w:w="968"/>
        <w:gridCol w:w="531"/>
        <w:gridCol w:w="2325"/>
        <w:gridCol w:w="765"/>
        <w:gridCol w:w="1031"/>
      </w:tblGrid>
      <w:tr w:rsidR="00A131AD" w:rsidRPr="00081B73" w:rsidTr="001911A6">
        <w:trPr>
          <w:trHeight w:val="405"/>
        </w:trPr>
        <w:tc>
          <w:tcPr>
            <w:tcW w:w="4614" w:type="dxa"/>
            <w:gridSpan w:val="4"/>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2010.</w:t>
            </w:r>
          </w:p>
        </w:tc>
        <w:tc>
          <w:tcPr>
            <w:tcW w:w="4657" w:type="dxa"/>
            <w:gridSpan w:val="4"/>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2015.</w:t>
            </w:r>
          </w:p>
        </w:tc>
      </w:tr>
      <w:tr w:rsidR="00A131AD" w:rsidRPr="00081B73" w:rsidTr="001911A6">
        <w:trPr>
          <w:trHeight w:val="345"/>
        </w:trPr>
        <w:tc>
          <w:tcPr>
            <w:tcW w:w="512" w:type="dxa"/>
            <w:shd w:val="clear" w:color="auto" w:fill="FFFF00"/>
            <w:vAlign w:val="center"/>
          </w:tcPr>
          <w:p w:rsidR="00A131AD" w:rsidRPr="00081B73" w:rsidRDefault="00A131AD" w:rsidP="000C0138">
            <w:pPr>
              <w:spacing w:line="276" w:lineRule="auto"/>
              <w:ind w:right="-108"/>
              <w:jc w:val="center"/>
              <w:rPr>
                <w:rFonts w:ascii="Times New Roman" w:hAnsi="Times New Roman"/>
                <w:bCs/>
                <w:sz w:val="20"/>
                <w:szCs w:val="20"/>
                <w:lang w:val="bs-Latn-BA"/>
              </w:rPr>
            </w:pPr>
            <w:r w:rsidRPr="00081B73">
              <w:rPr>
                <w:rFonts w:ascii="Times New Roman" w:hAnsi="Times New Roman"/>
                <w:bCs/>
                <w:sz w:val="20"/>
                <w:szCs w:val="20"/>
                <w:lang w:val="bs-Latn-BA"/>
              </w:rPr>
              <w:t>Rang</w:t>
            </w:r>
          </w:p>
        </w:tc>
        <w:tc>
          <w:tcPr>
            <w:tcW w:w="2385"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Oboljenje</w:t>
            </w:r>
          </w:p>
        </w:tc>
        <w:tc>
          <w:tcPr>
            <w:tcW w:w="748"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Broj umrlih</w:t>
            </w:r>
          </w:p>
        </w:tc>
        <w:tc>
          <w:tcPr>
            <w:tcW w:w="969"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Indeks strukture (%)</w:t>
            </w:r>
          </w:p>
        </w:tc>
        <w:tc>
          <w:tcPr>
            <w:tcW w:w="512" w:type="dxa"/>
            <w:shd w:val="clear" w:color="auto" w:fill="FFFF00"/>
            <w:vAlign w:val="center"/>
          </w:tcPr>
          <w:p w:rsidR="00A131AD" w:rsidRPr="00081B73" w:rsidRDefault="00A131AD" w:rsidP="000C0138">
            <w:pPr>
              <w:spacing w:line="276" w:lineRule="auto"/>
              <w:ind w:right="-108"/>
              <w:rPr>
                <w:rFonts w:ascii="Times New Roman" w:hAnsi="Times New Roman"/>
                <w:bCs/>
                <w:sz w:val="20"/>
                <w:szCs w:val="20"/>
                <w:lang w:val="bs-Latn-BA"/>
              </w:rPr>
            </w:pPr>
            <w:r w:rsidRPr="00081B73">
              <w:rPr>
                <w:rFonts w:ascii="Times New Roman" w:hAnsi="Times New Roman"/>
                <w:bCs/>
                <w:sz w:val="20"/>
                <w:szCs w:val="20"/>
                <w:lang w:val="bs-Latn-BA"/>
              </w:rPr>
              <w:t>Rang</w:t>
            </w:r>
          </w:p>
        </w:tc>
        <w:tc>
          <w:tcPr>
            <w:tcW w:w="2347"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Oboljenje</w:t>
            </w:r>
          </w:p>
        </w:tc>
        <w:tc>
          <w:tcPr>
            <w:tcW w:w="765"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Broj umrlih</w:t>
            </w:r>
          </w:p>
        </w:tc>
        <w:tc>
          <w:tcPr>
            <w:tcW w:w="1033"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Indeks strukture (%)</w:t>
            </w:r>
          </w:p>
        </w:tc>
      </w:tr>
      <w:tr w:rsidR="00A131AD" w:rsidRPr="00081B73" w:rsidTr="001911A6">
        <w:tc>
          <w:tcPr>
            <w:tcW w:w="512"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1</w:t>
            </w:r>
          </w:p>
        </w:tc>
        <w:tc>
          <w:tcPr>
            <w:tcW w:w="2385"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 xml:space="preserve">Kardiomiopatija </w:t>
            </w:r>
            <w:r w:rsidRPr="00081B73">
              <w:rPr>
                <w:rFonts w:ascii="Times New Roman" w:hAnsi="Times New Roman"/>
                <w:sz w:val="20"/>
                <w:szCs w:val="20"/>
              </w:rPr>
              <w:t>(I42)</w:t>
            </w:r>
          </w:p>
        </w:tc>
        <w:tc>
          <w:tcPr>
            <w:tcW w:w="748"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396</w:t>
            </w:r>
          </w:p>
        </w:tc>
        <w:tc>
          <w:tcPr>
            <w:tcW w:w="969" w:type="dxa"/>
          </w:tcPr>
          <w:p w:rsidR="00A131AD" w:rsidRPr="00081B73" w:rsidRDefault="00A131AD" w:rsidP="000C0138">
            <w:pPr>
              <w:tabs>
                <w:tab w:val="left" w:pos="260"/>
              </w:tabs>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10,1</w:t>
            </w:r>
          </w:p>
        </w:tc>
        <w:tc>
          <w:tcPr>
            <w:tcW w:w="512"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1</w:t>
            </w:r>
          </w:p>
        </w:tc>
        <w:tc>
          <w:tcPr>
            <w:tcW w:w="2347"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Esencijalna hipertenzija (I10)</w:t>
            </w:r>
          </w:p>
        </w:tc>
        <w:tc>
          <w:tcPr>
            <w:tcW w:w="765"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521</w:t>
            </w:r>
          </w:p>
        </w:tc>
        <w:tc>
          <w:tcPr>
            <w:tcW w:w="1033"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12,7</w:t>
            </w:r>
          </w:p>
        </w:tc>
      </w:tr>
      <w:tr w:rsidR="00A131AD" w:rsidRPr="00081B73" w:rsidTr="001911A6">
        <w:tc>
          <w:tcPr>
            <w:tcW w:w="512"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2</w:t>
            </w:r>
          </w:p>
        </w:tc>
        <w:tc>
          <w:tcPr>
            <w:tcW w:w="2385" w:type="dxa"/>
          </w:tcPr>
          <w:p w:rsidR="00A131AD" w:rsidRPr="00081B73" w:rsidRDefault="00A131AD" w:rsidP="000C0138">
            <w:pPr>
              <w:tabs>
                <w:tab w:val="right" w:pos="2523"/>
              </w:tabs>
              <w:spacing w:line="276" w:lineRule="auto"/>
              <w:rPr>
                <w:rFonts w:ascii="Times New Roman" w:hAnsi="Times New Roman"/>
                <w:sz w:val="20"/>
                <w:szCs w:val="20"/>
                <w:lang w:val="bs-Latn-BA"/>
              </w:rPr>
            </w:pPr>
            <w:r w:rsidRPr="00081B73">
              <w:rPr>
                <w:rFonts w:ascii="Times New Roman" w:hAnsi="Times New Roman"/>
                <w:sz w:val="20"/>
                <w:szCs w:val="20"/>
                <w:lang w:val="bs-Latn-BA"/>
              </w:rPr>
              <w:t xml:space="preserve">Srčani zastoj </w:t>
            </w:r>
            <w:r w:rsidRPr="00081B73">
              <w:rPr>
                <w:rFonts w:ascii="Times New Roman" w:hAnsi="Times New Roman"/>
                <w:sz w:val="20"/>
                <w:szCs w:val="20"/>
              </w:rPr>
              <w:t>( I46)</w:t>
            </w:r>
          </w:p>
        </w:tc>
        <w:tc>
          <w:tcPr>
            <w:tcW w:w="748"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361</w:t>
            </w:r>
          </w:p>
        </w:tc>
        <w:tc>
          <w:tcPr>
            <w:tcW w:w="969"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9,2</w:t>
            </w:r>
          </w:p>
        </w:tc>
        <w:tc>
          <w:tcPr>
            <w:tcW w:w="512"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2</w:t>
            </w:r>
          </w:p>
        </w:tc>
        <w:tc>
          <w:tcPr>
            <w:tcW w:w="2347"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Moždani udar (I63)</w:t>
            </w:r>
          </w:p>
        </w:tc>
        <w:tc>
          <w:tcPr>
            <w:tcW w:w="765"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436</w:t>
            </w:r>
          </w:p>
        </w:tc>
        <w:tc>
          <w:tcPr>
            <w:tcW w:w="1033"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10,7</w:t>
            </w:r>
          </w:p>
        </w:tc>
      </w:tr>
      <w:tr w:rsidR="00A131AD" w:rsidRPr="00081B73" w:rsidTr="001911A6">
        <w:tc>
          <w:tcPr>
            <w:tcW w:w="512"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3</w:t>
            </w:r>
          </w:p>
        </w:tc>
        <w:tc>
          <w:tcPr>
            <w:tcW w:w="2385" w:type="dxa"/>
          </w:tcPr>
          <w:p w:rsidR="00A131AD" w:rsidRPr="00081B73" w:rsidRDefault="00A131AD" w:rsidP="000C0138">
            <w:pPr>
              <w:spacing w:line="276" w:lineRule="auto"/>
              <w:rPr>
                <w:rFonts w:ascii="Times New Roman" w:hAnsi="Times New Roman"/>
                <w:sz w:val="20"/>
                <w:szCs w:val="20"/>
              </w:rPr>
            </w:pPr>
            <w:r w:rsidRPr="00081B73">
              <w:rPr>
                <w:rFonts w:ascii="Times New Roman" w:hAnsi="Times New Roman"/>
                <w:sz w:val="20"/>
                <w:szCs w:val="20"/>
              </w:rPr>
              <w:t>Moždani udar ( I63)</w:t>
            </w:r>
          </w:p>
        </w:tc>
        <w:tc>
          <w:tcPr>
            <w:tcW w:w="748"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470</w:t>
            </w:r>
          </w:p>
        </w:tc>
        <w:tc>
          <w:tcPr>
            <w:tcW w:w="969"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12,0</w:t>
            </w:r>
          </w:p>
        </w:tc>
        <w:tc>
          <w:tcPr>
            <w:tcW w:w="512"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3</w:t>
            </w:r>
          </w:p>
        </w:tc>
        <w:tc>
          <w:tcPr>
            <w:tcW w:w="2347"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en-US"/>
              </w:rPr>
              <w:t>Akutni infrakt miokarda (I21)</w:t>
            </w:r>
          </w:p>
        </w:tc>
        <w:tc>
          <w:tcPr>
            <w:tcW w:w="765"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291</w:t>
            </w:r>
          </w:p>
        </w:tc>
        <w:tc>
          <w:tcPr>
            <w:tcW w:w="1033"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7,1</w:t>
            </w:r>
          </w:p>
        </w:tc>
      </w:tr>
      <w:tr w:rsidR="00A131AD" w:rsidRPr="00081B73" w:rsidTr="001911A6">
        <w:tc>
          <w:tcPr>
            <w:tcW w:w="512"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4</w:t>
            </w:r>
          </w:p>
        </w:tc>
        <w:tc>
          <w:tcPr>
            <w:tcW w:w="2385"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 xml:space="preserve">Maligna neoplazma bronha i pluća </w:t>
            </w:r>
            <w:r w:rsidRPr="00081B73">
              <w:rPr>
                <w:rFonts w:ascii="Times New Roman" w:hAnsi="Times New Roman"/>
                <w:sz w:val="20"/>
                <w:szCs w:val="20"/>
              </w:rPr>
              <w:t>(C34)</w:t>
            </w:r>
          </w:p>
        </w:tc>
        <w:tc>
          <w:tcPr>
            <w:tcW w:w="748"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241</w:t>
            </w:r>
          </w:p>
        </w:tc>
        <w:tc>
          <w:tcPr>
            <w:tcW w:w="969"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6,1</w:t>
            </w:r>
          </w:p>
        </w:tc>
        <w:tc>
          <w:tcPr>
            <w:tcW w:w="512"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4</w:t>
            </w:r>
          </w:p>
        </w:tc>
        <w:tc>
          <w:tcPr>
            <w:tcW w:w="2347"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Inzulino-neovisni diabetes mellitus (E11)</w:t>
            </w:r>
          </w:p>
        </w:tc>
        <w:tc>
          <w:tcPr>
            <w:tcW w:w="765"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221</w:t>
            </w:r>
          </w:p>
        </w:tc>
        <w:tc>
          <w:tcPr>
            <w:tcW w:w="1033"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5,4</w:t>
            </w:r>
          </w:p>
        </w:tc>
      </w:tr>
      <w:tr w:rsidR="00A131AD" w:rsidRPr="00081B73" w:rsidTr="001911A6">
        <w:tc>
          <w:tcPr>
            <w:tcW w:w="512"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5</w:t>
            </w:r>
          </w:p>
        </w:tc>
        <w:tc>
          <w:tcPr>
            <w:tcW w:w="2385"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rPr>
              <w:t>Esencijalna hipertenzija (I10)</w:t>
            </w:r>
          </w:p>
        </w:tc>
        <w:tc>
          <w:tcPr>
            <w:tcW w:w="748"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237</w:t>
            </w:r>
          </w:p>
        </w:tc>
        <w:tc>
          <w:tcPr>
            <w:tcW w:w="969"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6,0</w:t>
            </w:r>
          </w:p>
        </w:tc>
        <w:tc>
          <w:tcPr>
            <w:tcW w:w="512"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5</w:t>
            </w:r>
          </w:p>
        </w:tc>
        <w:tc>
          <w:tcPr>
            <w:tcW w:w="2347" w:type="dxa"/>
            <w:vAlign w:val="bottom"/>
          </w:tcPr>
          <w:p w:rsidR="00A131AD" w:rsidRPr="00081B73" w:rsidRDefault="00A131AD" w:rsidP="000C0138">
            <w:pPr>
              <w:spacing w:line="276" w:lineRule="auto"/>
              <w:jc w:val="left"/>
              <w:rPr>
                <w:rFonts w:ascii="Times New Roman" w:hAnsi="Times New Roman"/>
                <w:sz w:val="20"/>
                <w:szCs w:val="20"/>
                <w:lang w:val="en-US"/>
              </w:rPr>
            </w:pPr>
            <w:r w:rsidRPr="00081B73">
              <w:rPr>
                <w:rFonts w:ascii="Times New Roman" w:hAnsi="Times New Roman"/>
                <w:sz w:val="20"/>
                <w:szCs w:val="20"/>
                <w:lang w:val="bs-Latn-BA"/>
              </w:rPr>
              <w:t>Maligne neoplazme bronha i pluća (C34)</w:t>
            </w:r>
          </w:p>
        </w:tc>
        <w:tc>
          <w:tcPr>
            <w:tcW w:w="765"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198</w:t>
            </w:r>
          </w:p>
        </w:tc>
        <w:tc>
          <w:tcPr>
            <w:tcW w:w="1033"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4,8</w:t>
            </w:r>
          </w:p>
        </w:tc>
      </w:tr>
      <w:tr w:rsidR="00A131AD" w:rsidRPr="00081B73" w:rsidTr="001911A6">
        <w:tc>
          <w:tcPr>
            <w:tcW w:w="512" w:type="dxa"/>
          </w:tcPr>
          <w:p w:rsidR="00A131AD" w:rsidRPr="00081B73" w:rsidRDefault="00A131AD" w:rsidP="000C0138">
            <w:pPr>
              <w:spacing w:line="276" w:lineRule="auto"/>
              <w:ind w:right="-108"/>
              <w:jc w:val="center"/>
              <w:rPr>
                <w:rFonts w:ascii="Times New Roman" w:hAnsi="Times New Roman"/>
                <w:sz w:val="20"/>
                <w:szCs w:val="20"/>
                <w:lang w:val="bs-Latn-BA"/>
              </w:rPr>
            </w:pPr>
          </w:p>
        </w:tc>
        <w:tc>
          <w:tcPr>
            <w:tcW w:w="2385" w:type="dxa"/>
          </w:tcPr>
          <w:p w:rsidR="00A131AD" w:rsidRPr="00081B73" w:rsidRDefault="00F83C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Ostali</w:t>
            </w:r>
            <w:r w:rsidR="00A131AD" w:rsidRPr="00081B73">
              <w:rPr>
                <w:rFonts w:ascii="Times New Roman" w:hAnsi="Times New Roman"/>
                <w:sz w:val="20"/>
                <w:szCs w:val="20"/>
                <w:lang w:val="bs-Latn-BA"/>
              </w:rPr>
              <w:t xml:space="preserve"> uzroci smrti</w:t>
            </w:r>
          </w:p>
        </w:tc>
        <w:tc>
          <w:tcPr>
            <w:tcW w:w="748"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2225</w:t>
            </w:r>
          </w:p>
        </w:tc>
        <w:tc>
          <w:tcPr>
            <w:tcW w:w="969" w:type="dxa"/>
          </w:tcPr>
          <w:p w:rsidR="00A131AD" w:rsidRPr="00081B73" w:rsidRDefault="00A131AD" w:rsidP="000C0138">
            <w:pPr>
              <w:tabs>
                <w:tab w:val="left" w:pos="400"/>
              </w:tabs>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56,6</w:t>
            </w:r>
          </w:p>
        </w:tc>
        <w:tc>
          <w:tcPr>
            <w:tcW w:w="512" w:type="dxa"/>
          </w:tcPr>
          <w:p w:rsidR="00A131AD" w:rsidRPr="00081B73" w:rsidRDefault="00A131AD" w:rsidP="000C0138">
            <w:pPr>
              <w:spacing w:line="276" w:lineRule="auto"/>
              <w:ind w:right="-108"/>
              <w:jc w:val="center"/>
              <w:rPr>
                <w:rFonts w:ascii="Times New Roman" w:hAnsi="Times New Roman"/>
                <w:sz w:val="20"/>
                <w:szCs w:val="20"/>
                <w:lang w:val="bs-Latn-BA"/>
              </w:rPr>
            </w:pPr>
          </w:p>
        </w:tc>
        <w:tc>
          <w:tcPr>
            <w:tcW w:w="2347"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Ostali uzroci smrti</w:t>
            </w:r>
          </w:p>
        </w:tc>
        <w:tc>
          <w:tcPr>
            <w:tcW w:w="765"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2426</w:t>
            </w:r>
          </w:p>
        </w:tc>
        <w:tc>
          <w:tcPr>
            <w:tcW w:w="1033"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59,3</w:t>
            </w:r>
          </w:p>
        </w:tc>
      </w:tr>
      <w:tr w:rsidR="00A131AD" w:rsidRPr="00081B73" w:rsidTr="001911A6">
        <w:tc>
          <w:tcPr>
            <w:tcW w:w="512" w:type="dxa"/>
          </w:tcPr>
          <w:p w:rsidR="00A131AD" w:rsidRPr="00081B73" w:rsidRDefault="00A131AD" w:rsidP="000C0138">
            <w:pPr>
              <w:spacing w:line="276" w:lineRule="auto"/>
              <w:ind w:right="-108"/>
              <w:jc w:val="center"/>
              <w:rPr>
                <w:rFonts w:ascii="Times New Roman" w:hAnsi="Times New Roman"/>
                <w:sz w:val="20"/>
                <w:szCs w:val="20"/>
                <w:lang w:val="bs-Latn-BA"/>
              </w:rPr>
            </w:pPr>
          </w:p>
        </w:tc>
        <w:tc>
          <w:tcPr>
            <w:tcW w:w="2385"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Ukupno umrlih</w:t>
            </w:r>
          </w:p>
        </w:tc>
        <w:tc>
          <w:tcPr>
            <w:tcW w:w="748"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3930</w:t>
            </w:r>
          </w:p>
        </w:tc>
        <w:tc>
          <w:tcPr>
            <w:tcW w:w="969"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100%</w:t>
            </w:r>
          </w:p>
        </w:tc>
        <w:tc>
          <w:tcPr>
            <w:tcW w:w="512" w:type="dxa"/>
          </w:tcPr>
          <w:p w:rsidR="00A131AD" w:rsidRPr="00081B73" w:rsidRDefault="00A131AD" w:rsidP="000C0138">
            <w:pPr>
              <w:spacing w:line="276" w:lineRule="auto"/>
              <w:ind w:right="-108"/>
              <w:jc w:val="center"/>
              <w:rPr>
                <w:rFonts w:ascii="Times New Roman" w:hAnsi="Times New Roman"/>
                <w:sz w:val="20"/>
                <w:szCs w:val="20"/>
                <w:lang w:val="bs-Latn-BA"/>
              </w:rPr>
            </w:pPr>
          </w:p>
        </w:tc>
        <w:tc>
          <w:tcPr>
            <w:tcW w:w="2347"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Ukupno umrlih</w:t>
            </w:r>
          </w:p>
        </w:tc>
        <w:tc>
          <w:tcPr>
            <w:tcW w:w="765"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4093</w:t>
            </w:r>
          </w:p>
        </w:tc>
        <w:tc>
          <w:tcPr>
            <w:tcW w:w="1033"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100%</w:t>
            </w:r>
          </w:p>
        </w:tc>
      </w:tr>
    </w:tbl>
    <w:p w:rsidR="00A131AD" w:rsidRPr="00081B73" w:rsidRDefault="00A131AD" w:rsidP="000C0138">
      <w:pPr>
        <w:pStyle w:val="Footer"/>
        <w:spacing w:line="276" w:lineRule="auto"/>
        <w:rPr>
          <w:rFonts w:ascii="Times New Roman" w:hAnsi="Times New Roman"/>
          <w:sz w:val="20"/>
          <w:szCs w:val="20"/>
          <w:lang w:val="bs-Latn-BA"/>
        </w:rPr>
      </w:pPr>
    </w:p>
    <w:p w:rsidR="00A131AD" w:rsidRPr="00081B73" w:rsidRDefault="00A131AD" w:rsidP="00CF03C8">
      <w:pPr>
        <w:pStyle w:val="refererere"/>
        <w:rPr>
          <w:lang w:val="bs-Latn-BA"/>
        </w:rPr>
      </w:pPr>
      <w:r w:rsidRPr="00081B73">
        <w:rPr>
          <w:lang w:val="bs-Latn-BA"/>
        </w:rPr>
        <w:t>Tabl</w:t>
      </w:r>
      <w:r w:rsidR="00624C80">
        <w:rPr>
          <w:lang w:val="bs-Latn-BA"/>
        </w:rPr>
        <w:t>ic</w:t>
      </w:r>
      <w:r w:rsidRPr="00081B73">
        <w:rPr>
          <w:lang w:val="bs-Latn-BA"/>
        </w:rPr>
        <w:t>a 4: Vodeće zarazne bolesti za 2010</w:t>
      </w:r>
      <w:r w:rsidR="00624C80">
        <w:rPr>
          <w:lang w:val="bs-Latn-BA"/>
        </w:rPr>
        <w:t>.</w:t>
      </w:r>
      <w:r w:rsidRPr="00081B73">
        <w:rPr>
          <w:lang w:val="bs-Latn-BA"/>
        </w:rPr>
        <w:t xml:space="preserve"> i  2015. godinu</w:t>
      </w:r>
    </w:p>
    <w:tbl>
      <w:tblPr>
        <w:tblW w:w="92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8"/>
        <w:gridCol w:w="1800"/>
        <w:gridCol w:w="1260"/>
        <w:gridCol w:w="1015"/>
        <w:gridCol w:w="540"/>
        <w:gridCol w:w="2179"/>
        <w:gridCol w:w="881"/>
        <w:gridCol w:w="1129"/>
      </w:tblGrid>
      <w:tr w:rsidR="00A131AD" w:rsidRPr="00081B73" w:rsidTr="001911A6">
        <w:trPr>
          <w:trHeight w:val="476"/>
          <w:jc w:val="center"/>
        </w:trPr>
        <w:tc>
          <w:tcPr>
            <w:tcW w:w="4543" w:type="dxa"/>
            <w:gridSpan w:val="4"/>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2010.</w:t>
            </w:r>
          </w:p>
        </w:tc>
        <w:tc>
          <w:tcPr>
            <w:tcW w:w="4729" w:type="dxa"/>
            <w:gridSpan w:val="4"/>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2015.</w:t>
            </w:r>
          </w:p>
        </w:tc>
      </w:tr>
      <w:tr w:rsidR="00A131AD" w:rsidRPr="00081B73" w:rsidTr="001911A6">
        <w:trPr>
          <w:cantSplit/>
          <w:trHeight w:val="516"/>
          <w:jc w:val="center"/>
        </w:trPr>
        <w:tc>
          <w:tcPr>
            <w:tcW w:w="468" w:type="dxa"/>
            <w:shd w:val="clear" w:color="auto" w:fill="FFFF00"/>
            <w:textDirection w:val="btLr"/>
          </w:tcPr>
          <w:p w:rsidR="00A131AD" w:rsidRPr="00081B73" w:rsidRDefault="00A131AD" w:rsidP="000C0138">
            <w:pPr>
              <w:autoSpaceDE w:val="0"/>
              <w:autoSpaceDN w:val="0"/>
              <w:adjustRightInd w:val="0"/>
              <w:spacing w:line="276" w:lineRule="auto"/>
              <w:ind w:left="113" w:right="113"/>
              <w:rPr>
                <w:rFonts w:ascii="Times New Roman" w:hAnsi="Times New Roman"/>
                <w:color w:val="000000"/>
                <w:sz w:val="20"/>
                <w:szCs w:val="20"/>
                <w:lang w:val="bs-Latn-BA"/>
              </w:rPr>
            </w:pPr>
            <w:r w:rsidRPr="00081B73">
              <w:rPr>
                <w:rFonts w:ascii="Times New Roman" w:hAnsi="Times New Roman"/>
                <w:color w:val="000000"/>
                <w:sz w:val="20"/>
                <w:szCs w:val="20"/>
                <w:lang w:val="bs-Latn-BA"/>
              </w:rPr>
              <w:t>Rang</w:t>
            </w:r>
          </w:p>
        </w:tc>
        <w:tc>
          <w:tcPr>
            <w:tcW w:w="1800"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Bolest / stanje</w:t>
            </w:r>
          </w:p>
        </w:tc>
        <w:tc>
          <w:tcPr>
            <w:tcW w:w="1260"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sz w:val="20"/>
                <w:szCs w:val="20"/>
                <w:lang w:val="bs-Latn-BA"/>
              </w:rPr>
              <w:t>Broj registriranih</w:t>
            </w:r>
          </w:p>
        </w:tc>
        <w:tc>
          <w:tcPr>
            <w:tcW w:w="1015"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Mb/</w:t>
            </w:r>
          </w:p>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100000</w:t>
            </w:r>
          </w:p>
        </w:tc>
        <w:tc>
          <w:tcPr>
            <w:tcW w:w="540" w:type="dxa"/>
            <w:shd w:val="clear" w:color="auto" w:fill="FFFF00"/>
            <w:textDirection w:val="btLr"/>
          </w:tcPr>
          <w:p w:rsidR="00A131AD" w:rsidRPr="00081B73" w:rsidRDefault="00A131AD" w:rsidP="000C0138">
            <w:pPr>
              <w:autoSpaceDE w:val="0"/>
              <w:autoSpaceDN w:val="0"/>
              <w:adjustRightInd w:val="0"/>
              <w:spacing w:line="276" w:lineRule="auto"/>
              <w:ind w:left="113" w:right="113"/>
              <w:rPr>
                <w:rFonts w:ascii="Times New Roman" w:hAnsi="Times New Roman"/>
                <w:color w:val="000000"/>
                <w:sz w:val="20"/>
                <w:szCs w:val="20"/>
                <w:lang w:val="bs-Latn-BA"/>
              </w:rPr>
            </w:pPr>
            <w:r w:rsidRPr="00081B73">
              <w:rPr>
                <w:rFonts w:ascii="Times New Roman" w:hAnsi="Times New Roman"/>
                <w:color w:val="000000"/>
                <w:sz w:val="20"/>
                <w:szCs w:val="20"/>
                <w:lang w:val="bs-Latn-BA"/>
              </w:rPr>
              <w:t>Rang</w:t>
            </w:r>
          </w:p>
        </w:tc>
        <w:tc>
          <w:tcPr>
            <w:tcW w:w="2179"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Bolest / stanje</w:t>
            </w:r>
          </w:p>
        </w:tc>
        <w:tc>
          <w:tcPr>
            <w:tcW w:w="881"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sz w:val="20"/>
                <w:szCs w:val="20"/>
                <w:lang w:val="bs-Latn-BA"/>
              </w:rPr>
              <w:t>Broj registriranih</w:t>
            </w:r>
          </w:p>
        </w:tc>
        <w:tc>
          <w:tcPr>
            <w:tcW w:w="1129"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Mb/</w:t>
            </w:r>
          </w:p>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100000</w:t>
            </w:r>
          </w:p>
        </w:tc>
      </w:tr>
      <w:tr w:rsidR="00A131AD" w:rsidRPr="00081B73" w:rsidTr="001911A6">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1</w:t>
            </w:r>
          </w:p>
        </w:tc>
        <w:tc>
          <w:tcPr>
            <w:tcW w:w="1800"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Varicellae</w:t>
            </w:r>
          </w:p>
        </w:tc>
        <w:tc>
          <w:tcPr>
            <w:tcW w:w="1260"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918</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183,95</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w:t>
            </w:r>
          </w:p>
        </w:tc>
        <w:tc>
          <w:tcPr>
            <w:tcW w:w="2179"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Ili/gripa</w:t>
            </w:r>
          </w:p>
        </w:tc>
        <w:tc>
          <w:tcPr>
            <w:tcW w:w="881"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5066</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1015,71</w:t>
            </w:r>
          </w:p>
        </w:tc>
      </w:tr>
      <w:tr w:rsidR="00A131AD" w:rsidRPr="00081B73" w:rsidTr="001911A6">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2</w:t>
            </w:r>
          </w:p>
        </w:tc>
        <w:tc>
          <w:tcPr>
            <w:tcW w:w="1800"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Rubeola</w:t>
            </w:r>
          </w:p>
        </w:tc>
        <w:tc>
          <w:tcPr>
            <w:tcW w:w="1260"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649</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130,05</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2</w:t>
            </w:r>
          </w:p>
        </w:tc>
        <w:tc>
          <w:tcPr>
            <w:tcW w:w="2179"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Varicellae</w:t>
            </w:r>
          </w:p>
        </w:tc>
        <w:tc>
          <w:tcPr>
            <w:tcW w:w="881"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1131</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226,76</w:t>
            </w:r>
          </w:p>
        </w:tc>
      </w:tr>
      <w:tr w:rsidR="00A131AD" w:rsidRPr="00081B73" w:rsidTr="001911A6">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3</w:t>
            </w:r>
          </w:p>
        </w:tc>
        <w:tc>
          <w:tcPr>
            <w:tcW w:w="1800"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Enterocolitis ac</w:t>
            </w:r>
          </w:p>
        </w:tc>
        <w:tc>
          <w:tcPr>
            <w:tcW w:w="1260"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519</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104,0</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3</w:t>
            </w:r>
          </w:p>
        </w:tc>
        <w:tc>
          <w:tcPr>
            <w:tcW w:w="2179"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Morbilli</w:t>
            </w:r>
          </w:p>
        </w:tc>
        <w:tc>
          <w:tcPr>
            <w:tcW w:w="881"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1035</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207,51</w:t>
            </w:r>
          </w:p>
        </w:tc>
      </w:tr>
      <w:tr w:rsidR="00A131AD" w:rsidRPr="00081B73" w:rsidTr="001911A6">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4</w:t>
            </w:r>
          </w:p>
        </w:tc>
        <w:tc>
          <w:tcPr>
            <w:tcW w:w="1800"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Influenza</w:t>
            </w:r>
          </w:p>
        </w:tc>
        <w:tc>
          <w:tcPr>
            <w:tcW w:w="1260"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305</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61,12</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4</w:t>
            </w:r>
          </w:p>
        </w:tc>
        <w:tc>
          <w:tcPr>
            <w:tcW w:w="2179"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sz w:val="20"/>
                <w:szCs w:val="20"/>
              </w:rPr>
              <w:t>Enterocolitis ac</w:t>
            </w:r>
          </w:p>
        </w:tc>
        <w:tc>
          <w:tcPr>
            <w:tcW w:w="881"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990</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198,49</w:t>
            </w:r>
          </w:p>
        </w:tc>
      </w:tr>
      <w:tr w:rsidR="00A131AD" w:rsidRPr="00081B73" w:rsidTr="001911A6">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5</w:t>
            </w:r>
          </w:p>
        </w:tc>
        <w:tc>
          <w:tcPr>
            <w:tcW w:w="1800"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TBC activa resp</w:t>
            </w:r>
          </w:p>
        </w:tc>
        <w:tc>
          <w:tcPr>
            <w:tcW w:w="1260"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271</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54,30</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5</w:t>
            </w:r>
          </w:p>
        </w:tc>
        <w:tc>
          <w:tcPr>
            <w:tcW w:w="2179"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sz w:val="20"/>
                <w:szCs w:val="20"/>
              </w:rPr>
              <w:t>TBC activa resp</w:t>
            </w:r>
          </w:p>
        </w:tc>
        <w:tc>
          <w:tcPr>
            <w:tcW w:w="881"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220</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44,11</w:t>
            </w:r>
          </w:p>
        </w:tc>
      </w:tr>
      <w:tr w:rsidR="00A131AD" w:rsidRPr="00081B73" w:rsidTr="001911A6">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p>
        </w:tc>
        <w:tc>
          <w:tcPr>
            <w:tcW w:w="1800"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Ukupno 5 vodećih</w:t>
            </w:r>
          </w:p>
        </w:tc>
        <w:tc>
          <w:tcPr>
            <w:tcW w:w="1260"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2662</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533,41</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p>
        </w:tc>
        <w:tc>
          <w:tcPr>
            <w:tcW w:w="2179"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Ukupno 5 vodećih</w:t>
            </w:r>
          </w:p>
        </w:tc>
        <w:tc>
          <w:tcPr>
            <w:tcW w:w="881"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8442</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1692,6</w:t>
            </w:r>
          </w:p>
        </w:tc>
      </w:tr>
      <w:tr w:rsidR="00A131AD" w:rsidRPr="00081B73" w:rsidTr="001911A6">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p>
        </w:tc>
        <w:tc>
          <w:tcPr>
            <w:tcW w:w="1800"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Sveukupno</w:t>
            </w:r>
          </w:p>
        </w:tc>
        <w:tc>
          <w:tcPr>
            <w:tcW w:w="1260"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3309</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663,06</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p>
        </w:tc>
        <w:tc>
          <w:tcPr>
            <w:tcW w:w="2179"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Ukupno prijavljeno</w:t>
            </w:r>
          </w:p>
        </w:tc>
        <w:tc>
          <w:tcPr>
            <w:tcW w:w="881"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9298</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1864,20</w:t>
            </w:r>
          </w:p>
        </w:tc>
      </w:tr>
    </w:tbl>
    <w:p w:rsidR="00A131AD" w:rsidRPr="00081B73" w:rsidRDefault="00A131AD" w:rsidP="000C0138">
      <w:pPr>
        <w:spacing w:line="276" w:lineRule="auto"/>
        <w:rPr>
          <w:rFonts w:ascii="Times New Roman" w:hAnsi="Times New Roman"/>
          <w:sz w:val="20"/>
          <w:szCs w:val="20"/>
          <w:lang w:val="bs-Latn-BA"/>
        </w:rPr>
      </w:pPr>
    </w:p>
    <w:p w:rsidR="00A131AD" w:rsidRPr="00081B73" w:rsidRDefault="00A131AD" w:rsidP="00CF03C8">
      <w:pPr>
        <w:pStyle w:val="refererere"/>
        <w:rPr>
          <w:lang w:val="bs-Latn-BA"/>
        </w:rPr>
      </w:pPr>
      <w:r w:rsidRPr="00081B73">
        <w:rPr>
          <w:lang w:val="bs-Latn-BA"/>
        </w:rPr>
        <w:t>Tabl</w:t>
      </w:r>
      <w:r w:rsidR="00624C80">
        <w:rPr>
          <w:lang w:val="bs-Latn-BA"/>
        </w:rPr>
        <w:t>ic</w:t>
      </w:r>
      <w:r w:rsidRPr="00081B73">
        <w:rPr>
          <w:lang w:val="bs-Latn-BA"/>
        </w:rPr>
        <w:t>a 5: Prevalenc</w:t>
      </w:r>
      <w:r w:rsidR="00624C80">
        <w:rPr>
          <w:lang w:val="bs-Latn-BA"/>
        </w:rPr>
        <w:t>ij</w:t>
      </w:r>
      <w:r w:rsidRPr="00081B73">
        <w:rPr>
          <w:lang w:val="bs-Latn-BA"/>
        </w:rPr>
        <w:t>a nezaraznih bolesti za 2010</w:t>
      </w:r>
      <w:r w:rsidR="00624C80">
        <w:rPr>
          <w:lang w:val="bs-Latn-BA"/>
        </w:rPr>
        <w:t>.</w:t>
      </w:r>
      <w:r w:rsidRPr="00081B73">
        <w:rPr>
          <w:lang w:val="bs-Latn-BA"/>
        </w:rPr>
        <w:t xml:space="preserve"> i 2015. godinu</w:t>
      </w:r>
    </w:p>
    <w:tbl>
      <w:tblPr>
        <w:tblW w:w="91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08"/>
        <w:gridCol w:w="2389"/>
        <w:gridCol w:w="2160"/>
      </w:tblGrid>
      <w:tr w:rsidR="00A131AD" w:rsidRPr="00081B73" w:rsidTr="001911A6">
        <w:trPr>
          <w:cantSplit/>
          <w:trHeight w:val="405"/>
        </w:trPr>
        <w:tc>
          <w:tcPr>
            <w:tcW w:w="4608" w:type="dxa"/>
            <w:vMerge w:val="restart"/>
            <w:shd w:val="clear" w:color="auto" w:fill="FFFF00"/>
            <w:vAlign w:val="center"/>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Bolest</w:t>
            </w:r>
          </w:p>
        </w:tc>
        <w:tc>
          <w:tcPr>
            <w:tcW w:w="2389"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2010.</w:t>
            </w:r>
          </w:p>
        </w:tc>
        <w:tc>
          <w:tcPr>
            <w:tcW w:w="2160"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2015.</w:t>
            </w:r>
          </w:p>
        </w:tc>
      </w:tr>
      <w:tr w:rsidR="00A131AD" w:rsidRPr="00081B73" w:rsidTr="001911A6">
        <w:trPr>
          <w:cantSplit/>
          <w:trHeight w:val="345"/>
        </w:trPr>
        <w:tc>
          <w:tcPr>
            <w:tcW w:w="4608" w:type="dxa"/>
            <w:vMerge/>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p>
        </w:tc>
        <w:tc>
          <w:tcPr>
            <w:tcW w:w="2389"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Morbiditet</w:t>
            </w:r>
            <w:r w:rsidRPr="00081B73">
              <w:rPr>
                <w:rFonts w:ascii="Times New Roman" w:hAnsi="Times New Roman"/>
                <w:bCs/>
                <w:sz w:val="20"/>
                <w:szCs w:val="20"/>
                <w:lang w:val="bs-Latn-BA"/>
              </w:rPr>
              <w:br/>
              <w:t>/10.000</w:t>
            </w:r>
          </w:p>
        </w:tc>
        <w:tc>
          <w:tcPr>
            <w:tcW w:w="2160"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Morbiditet</w:t>
            </w:r>
            <w:r w:rsidRPr="00081B73">
              <w:rPr>
                <w:rFonts w:ascii="Times New Roman" w:hAnsi="Times New Roman"/>
                <w:bCs/>
                <w:sz w:val="20"/>
                <w:szCs w:val="20"/>
                <w:lang w:val="bs-Latn-BA"/>
              </w:rPr>
              <w:br/>
              <w:t>/10.000</w:t>
            </w:r>
          </w:p>
        </w:tc>
      </w:tr>
      <w:tr w:rsidR="00A131AD" w:rsidRPr="00081B73" w:rsidTr="001911A6">
        <w:tc>
          <w:tcPr>
            <w:tcW w:w="460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Kardiovaskularne (I00-I99)</w:t>
            </w:r>
          </w:p>
        </w:tc>
        <w:tc>
          <w:tcPr>
            <w:tcW w:w="2389"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1.242,6</w:t>
            </w:r>
          </w:p>
        </w:tc>
        <w:tc>
          <w:tcPr>
            <w:tcW w:w="216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1647,4</w:t>
            </w:r>
          </w:p>
        </w:tc>
      </w:tr>
      <w:tr w:rsidR="00A131AD" w:rsidRPr="00081B73" w:rsidTr="001911A6">
        <w:tc>
          <w:tcPr>
            <w:tcW w:w="460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Maligne neoplazme (C00-C97)</w:t>
            </w:r>
          </w:p>
        </w:tc>
        <w:tc>
          <w:tcPr>
            <w:tcW w:w="2389"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37,8</w:t>
            </w:r>
          </w:p>
        </w:tc>
        <w:tc>
          <w:tcPr>
            <w:tcW w:w="216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50,6</w:t>
            </w:r>
          </w:p>
        </w:tc>
      </w:tr>
      <w:tr w:rsidR="00A131AD" w:rsidRPr="00081B73" w:rsidTr="001911A6">
        <w:tc>
          <w:tcPr>
            <w:tcW w:w="460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Diabetes mellitus (E10-E14)</w:t>
            </w:r>
          </w:p>
        </w:tc>
        <w:tc>
          <w:tcPr>
            <w:tcW w:w="2389"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246,0</w:t>
            </w:r>
          </w:p>
        </w:tc>
        <w:tc>
          <w:tcPr>
            <w:tcW w:w="216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355,3</w:t>
            </w:r>
          </w:p>
        </w:tc>
      </w:tr>
      <w:tr w:rsidR="00A131AD" w:rsidRPr="00081B73" w:rsidTr="001911A6">
        <w:tc>
          <w:tcPr>
            <w:tcW w:w="4608" w:type="dxa"/>
          </w:tcPr>
          <w:p w:rsidR="00A131AD" w:rsidRPr="00081B73" w:rsidRDefault="00624C80" w:rsidP="000C0138">
            <w:pPr>
              <w:spacing w:line="276" w:lineRule="auto"/>
              <w:rPr>
                <w:rFonts w:ascii="Times New Roman" w:hAnsi="Times New Roman"/>
                <w:sz w:val="20"/>
                <w:szCs w:val="20"/>
                <w:lang w:val="bs-Latn-BA"/>
              </w:rPr>
            </w:pPr>
            <w:r>
              <w:rPr>
                <w:rFonts w:ascii="Times New Roman" w:hAnsi="Times New Roman"/>
                <w:sz w:val="20"/>
                <w:szCs w:val="20"/>
                <w:lang w:val="bs-Latn-BA"/>
              </w:rPr>
              <w:t>K</w:t>
            </w:r>
            <w:r w:rsidR="00A131AD" w:rsidRPr="00081B73">
              <w:rPr>
                <w:rFonts w:ascii="Times New Roman" w:hAnsi="Times New Roman"/>
                <w:sz w:val="20"/>
                <w:szCs w:val="20"/>
                <w:lang w:val="bs-Latn-BA"/>
              </w:rPr>
              <w:t>ronične plućne opstruktivne (J40-J46)</w:t>
            </w:r>
          </w:p>
        </w:tc>
        <w:tc>
          <w:tcPr>
            <w:tcW w:w="2389"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173,1</w:t>
            </w:r>
          </w:p>
        </w:tc>
        <w:tc>
          <w:tcPr>
            <w:tcW w:w="2160" w:type="dxa"/>
          </w:tcPr>
          <w:p w:rsidR="00A131AD" w:rsidRPr="00081B73" w:rsidRDefault="00A131AD" w:rsidP="000C0138">
            <w:pPr>
              <w:tabs>
                <w:tab w:val="left" w:pos="390"/>
              </w:tabs>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161,6</w:t>
            </w:r>
          </w:p>
        </w:tc>
      </w:tr>
      <w:tr w:rsidR="00A131AD" w:rsidRPr="00081B73" w:rsidTr="001911A6">
        <w:tc>
          <w:tcPr>
            <w:tcW w:w="460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Mentalne (F00-F99)</w:t>
            </w:r>
          </w:p>
        </w:tc>
        <w:tc>
          <w:tcPr>
            <w:tcW w:w="2389"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337,8</w:t>
            </w:r>
          </w:p>
        </w:tc>
        <w:tc>
          <w:tcPr>
            <w:tcW w:w="216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398,7</w:t>
            </w:r>
          </w:p>
        </w:tc>
      </w:tr>
      <w:tr w:rsidR="00A131AD" w:rsidRPr="00081B73" w:rsidTr="001911A6">
        <w:tc>
          <w:tcPr>
            <w:tcW w:w="460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Koštano-mišićne (M00-M99)</w:t>
            </w:r>
          </w:p>
        </w:tc>
        <w:tc>
          <w:tcPr>
            <w:tcW w:w="2389"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638,2</w:t>
            </w:r>
          </w:p>
        </w:tc>
        <w:tc>
          <w:tcPr>
            <w:tcW w:w="216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560,8</w:t>
            </w:r>
          </w:p>
        </w:tc>
      </w:tr>
    </w:tbl>
    <w:p w:rsidR="00CF03C8" w:rsidRPr="00081B73" w:rsidRDefault="00CF03C8" w:rsidP="000C0138">
      <w:pPr>
        <w:spacing w:after="160" w:line="276" w:lineRule="auto"/>
        <w:jc w:val="left"/>
        <w:rPr>
          <w:rFonts w:ascii="Times New Roman" w:hAnsi="Times New Roman"/>
          <w:sz w:val="20"/>
          <w:szCs w:val="20"/>
          <w:lang w:val="bs-Latn-BA"/>
        </w:rPr>
      </w:pPr>
    </w:p>
    <w:p w:rsidR="00A131AD" w:rsidRPr="00081B73" w:rsidRDefault="00A131AD" w:rsidP="00CF03C8">
      <w:pPr>
        <w:pStyle w:val="refererere"/>
        <w:rPr>
          <w:lang w:val="bs-Latn-BA"/>
        </w:rPr>
      </w:pPr>
      <w:r w:rsidRPr="00081B73">
        <w:rPr>
          <w:lang w:val="bs-Latn-BA"/>
        </w:rPr>
        <w:t>Tabl</w:t>
      </w:r>
      <w:r w:rsidR="00624C80">
        <w:rPr>
          <w:lang w:val="bs-Latn-BA"/>
        </w:rPr>
        <w:t>ic</w:t>
      </w:r>
      <w:r w:rsidRPr="00081B73">
        <w:rPr>
          <w:lang w:val="bs-Latn-BA"/>
        </w:rPr>
        <w:t>a 6: Okolinski zdravstveni indikatori</w:t>
      </w:r>
    </w:p>
    <w:tbl>
      <w:tblPr>
        <w:tblW w:w="93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68"/>
        <w:gridCol w:w="1969"/>
        <w:gridCol w:w="1622"/>
        <w:gridCol w:w="1401"/>
        <w:gridCol w:w="1401"/>
        <w:gridCol w:w="1571"/>
      </w:tblGrid>
      <w:tr w:rsidR="00A131AD" w:rsidRPr="00081B73" w:rsidTr="001911A6">
        <w:trPr>
          <w:cantSplit/>
        </w:trPr>
        <w:tc>
          <w:tcPr>
            <w:tcW w:w="1368" w:type="dxa"/>
            <w:vMerge w:val="restart"/>
            <w:shd w:val="clear" w:color="auto" w:fill="FFFF00"/>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 xml:space="preserve">Tuzlanski kanton </w:t>
            </w:r>
          </w:p>
        </w:tc>
        <w:tc>
          <w:tcPr>
            <w:tcW w:w="1969" w:type="dxa"/>
            <w:shd w:val="clear" w:color="auto" w:fill="FFFF00"/>
            <w:vAlign w:val="center"/>
          </w:tcPr>
          <w:p w:rsidR="00A131AD" w:rsidRPr="00081B73" w:rsidRDefault="00A131AD" w:rsidP="00624C80">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 xml:space="preserve">% stanovništva priključen na </w:t>
            </w:r>
            <w:r w:rsidR="00624C80">
              <w:rPr>
                <w:rFonts w:ascii="Times New Roman" w:hAnsi="Times New Roman"/>
                <w:sz w:val="20"/>
                <w:szCs w:val="20"/>
                <w:lang w:val="bs-Latn-BA"/>
              </w:rPr>
              <w:t>središnji sustav</w:t>
            </w:r>
            <w:r w:rsidRPr="00081B73">
              <w:rPr>
                <w:rFonts w:ascii="Times New Roman" w:hAnsi="Times New Roman"/>
                <w:sz w:val="20"/>
                <w:szCs w:val="20"/>
                <w:lang w:val="bs-Latn-BA"/>
              </w:rPr>
              <w:t xml:space="preserve"> vodo</w:t>
            </w:r>
            <w:r w:rsidR="00624C80">
              <w:rPr>
                <w:rFonts w:ascii="Times New Roman" w:hAnsi="Times New Roman"/>
                <w:sz w:val="20"/>
                <w:szCs w:val="20"/>
                <w:lang w:val="bs-Latn-BA"/>
              </w:rPr>
              <w:t>op</w:t>
            </w:r>
            <w:r w:rsidRPr="00081B73">
              <w:rPr>
                <w:rFonts w:ascii="Times New Roman" w:hAnsi="Times New Roman"/>
                <w:sz w:val="20"/>
                <w:szCs w:val="20"/>
                <w:lang w:val="bs-Latn-BA"/>
              </w:rPr>
              <w:t>s</w:t>
            </w:r>
            <w:r w:rsidR="00624C80">
              <w:rPr>
                <w:rFonts w:ascii="Times New Roman" w:hAnsi="Times New Roman"/>
                <w:sz w:val="20"/>
                <w:szCs w:val="20"/>
                <w:lang w:val="bs-Latn-BA"/>
              </w:rPr>
              <w:t>krbe</w:t>
            </w:r>
          </w:p>
        </w:tc>
        <w:tc>
          <w:tcPr>
            <w:tcW w:w="1622" w:type="dxa"/>
            <w:shd w:val="clear" w:color="auto" w:fill="FFFF00"/>
            <w:vAlign w:val="center"/>
          </w:tcPr>
          <w:p w:rsidR="00A131AD" w:rsidRPr="00081B73" w:rsidRDefault="00A131AD" w:rsidP="00624C80">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 stanovništva priključen na kanalizaci</w:t>
            </w:r>
            <w:r w:rsidR="00624C80">
              <w:rPr>
                <w:rFonts w:ascii="Times New Roman" w:hAnsi="Times New Roman"/>
                <w:sz w:val="20"/>
                <w:szCs w:val="20"/>
                <w:lang w:val="bs-Latn-BA"/>
              </w:rPr>
              <w:t>jski</w:t>
            </w:r>
            <w:r w:rsidRPr="00081B73">
              <w:rPr>
                <w:rFonts w:ascii="Times New Roman" w:hAnsi="Times New Roman"/>
                <w:sz w:val="20"/>
                <w:szCs w:val="20"/>
                <w:lang w:val="bs-Latn-BA"/>
              </w:rPr>
              <w:t xml:space="preserve"> s</w:t>
            </w:r>
            <w:r w:rsidR="00624C80">
              <w:rPr>
                <w:rFonts w:ascii="Times New Roman" w:hAnsi="Times New Roman"/>
                <w:sz w:val="20"/>
                <w:szCs w:val="20"/>
                <w:lang w:val="bs-Latn-BA"/>
              </w:rPr>
              <w:t>ustav</w:t>
            </w:r>
          </w:p>
        </w:tc>
        <w:tc>
          <w:tcPr>
            <w:tcW w:w="1401" w:type="dxa"/>
            <w:shd w:val="clear" w:color="auto" w:fill="FFFF00"/>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Mjerenje koncentracije SO</w:t>
            </w:r>
            <w:r w:rsidRPr="00081B73">
              <w:rPr>
                <w:rFonts w:ascii="Times New Roman" w:hAnsi="Times New Roman"/>
                <w:sz w:val="20"/>
                <w:szCs w:val="20"/>
                <w:vertAlign w:val="subscript"/>
                <w:lang w:val="bs-Latn-BA"/>
              </w:rPr>
              <w:t>2</w:t>
            </w:r>
            <w:r w:rsidRPr="00081B73">
              <w:rPr>
                <w:rFonts w:ascii="Times New Roman" w:hAnsi="Times New Roman"/>
                <w:sz w:val="20"/>
                <w:szCs w:val="20"/>
                <w:lang w:val="bs-Latn-BA"/>
              </w:rPr>
              <w:t xml:space="preserve"> u zraku</w:t>
            </w:r>
          </w:p>
        </w:tc>
        <w:tc>
          <w:tcPr>
            <w:tcW w:w="1401" w:type="dxa"/>
            <w:shd w:val="clear" w:color="auto" w:fill="FFFF00"/>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Mjerenje koncentracije NO</w:t>
            </w:r>
            <w:r w:rsidRPr="00081B73">
              <w:rPr>
                <w:rFonts w:ascii="Times New Roman" w:hAnsi="Times New Roman"/>
                <w:sz w:val="20"/>
                <w:szCs w:val="20"/>
                <w:vertAlign w:val="subscript"/>
                <w:lang w:val="bs-Latn-BA"/>
              </w:rPr>
              <w:t>2</w:t>
            </w:r>
            <w:r w:rsidRPr="00081B73">
              <w:rPr>
                <w:rFonts w:ascii="Times New Roman" w:hAnsi="Times New Roman"/>
                <w:sz w:val="20"/>
                <w:szCs w:val="20"/>
                <w:lang w:val="bs-Latn-BA"/>
              </w:rPr>
              <w:t xml:space="preserve"> u zraku</w:t>
            </w:r>
          </w:p>
        </w:tc>
        <w:tc>
          <w:tcPr>
            <w:tcW w:w="1571" w:type="dxa"/>
            <w:shd w:val="clear" w:color="auto" w:fill="FFFF00"/>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Mjerenje koncentracije dima u zraku</w:t>
            </w:r>
          </w:p>
        </w:tc>
      </w:tr>
      <w:tr w:rsidR="00A131AD" w:rsidRPr="00081B73" w:rsidTr="001911A6">
        <w:trPr>
          <w:cantSplit/>
          <w:trHeight w:val="431"/>
        </w:trPr>
        <w:tc>
          <w:tcPr>
            <w:tcW w:w="1368" w:type="dxa"/>
            <w:vMerge/>
            <w:vAlign w:val="center"/>
          </w:tcPr>
          <w:p w:rsidR="00A131AD" w:rsidRPr="00081B73" w:rsidRDefault="00A131AD" w:rsidP="000C0138">
            <w:pPr>
              <w:spacing w:line="276" w:lineRule="auto"/>
              <w:jc w:val="center"/>
              <w:rPr>
                <w:rFonts w:ascii="Times New Roman" w:hAnsi="Times New Roman"/>
                <w:sz w:val="20"/>
                <w:szCs w:val="20"/>
                <w:lang w:val="bs-Latn-BA"/>
              </w:rPr>
            </w:pPr>
          </w:p>
        </w:tc>
        <w:tc>
          <w:tcPr>
            <w:tcW w:w="1969" w:type="dxa"/>
            <w:vAlign w:val="center"/>
          </w:tcPr>
          <w:p w:rsidR="00A131AD" w:rsidRPr="00081B73" w:rsidRDefault="00A131AD" w:rsidP="000C0138">
            <w:pPr>
              <w:spacing w:line="276" w:lineRule="auto"/>
              <w:jc w:val="center"/>
              <w:rPr>
                <w:rFonts w:ascii="Times New Roman" w:hAnsi="Times New Roman"/>
                <w:sz w:val="20"/>
                <w:szCs w:val="20"/>
                <w:lang w:val="bs-Latn-BA"/>
              </w:rPr>
            </w:pPr>
          </w:p>
        </w:tc>
        <w:tc>
          <w:tcPr>
            <w:tcW w:w="1622" w:type="dxa"/>
            <w:vAlign w:val="center"/>
          </w:tcPr>
          <w:p w:rsidR="00A131AD" w:rsidRPr="00081B73" w:rsidRDefault="00A131AD" w:rsidP="000C0138">
            <w:pPr>
              <w:spacing w:line="276" w:lineRule="auto"/>
              <w:jc w:val="center"/>
              <w:rPr>
                <w:rFonts w:ascii="Times New Roman" w:hAnsi="Times New Roman"/>
                <w:sz w:val="20"/>
                <w:szCs w:val="20"/>
                <w:lang w:val="bs-Latn-BA"/>
              </w:rPr>
            </w:pPr>
          </w:p>
        </w:tc>
        <w:tc>
          <w:tcPr>
            <w:tcW w:w="1401" w:type="dxa"/>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mjeri se</w:t>
            </w:r>
          </w:p>
        </w:tc>
        <w:tc>
          <w:tcPr>
            <w:tcW w:w="1401" w:type="dxa"/>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 xml:space="preserve"> mjeri se</w:t>
            </w:r>
          </w:p>
        </w:tc>
        <w:tc>
          <w:tcPr>
            <w:tcW w:w="1571" w:type="dxa"/>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 xml:space="preserve"> mjeri se</w:t>
            </w:r>
          </w:p>
        </w:tc>
      </w:tr>
    </w:tbl>
    <w:p w:rsidR="00A131AD" w:rsidRPr="00081B73" w:rsidRDefault="00A131AD" w:rsidP="000C0138">
      <w:pPr>
        <w:spacing w:line="276" w:lineRule="auto"/>
        <w:rPr>
          <w:rFonts w:ascii="Times New Roman" w:hAnsi="Times New Roman"/>
          <w:sz w:val="20"/>
          <w:szCs w:val="20"/>
          <w:lang w:val="bs-Latn-BA"/>
        </w:rPr>
      </w:pPr>
    </w:p>
    <w:p w:rsidR="00A131AD" w:rsidRPr="00081B73" w:rsidRDefault="00A131AD" w:rsidP="00CF03C8">
      <w:pPr>
        <w:pStyle w:val="refererere"/>
        <w:rPr>
          <w:lang w:val="bs-Latn-BA"/>
        </w:rPr>
      </w:pPr>
      <w:r w:rsidRPr="00081B73">
        <w:rPr>
          <w:lang w:val="bs-Latn-BA"/>
        </w:rPr>
        <w:t>Tabl</w:t>
      </w:r>
      <w:r w:rsidR="00FE3B0D">
        <w:rPr>
          <w:lang w:val="bs-Latn-BA"/>
        </w:rPr>
        <w:t>ic</w:t>
      </w:r>
      <w:r w:rsidRPr="00081B73">
        <w:rPr>
          <w:lang w:val="bs-Latn-BA"/>
        </w:rPr>
        <w:t>a 7: Zdravstvena zaštita za 2010 i  2015. godinu</w:t>
      </w: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01"/>
        <w:gridCol w:w="8"/>
        <w:gridCol w:w="3807"/>
        <w:gridCol w:w="2279"/>
        <w:gridCol w:w="2293"/>
      </w:tblGrid>
      <w:tr w:rsidR="00A131AD" w:rsidRPr="00081B73" w:rsidTr="001911A6">
        <w:trPr>
          <w:trHeight w:val="509"/>
        </w:trPr>
        <w:tc>
          <w:tcPr>
            <w:tcW w:w="4716" w:type="dxa"/>
            <w:gridSpan w:val="3"/>
            <w:shd w:val="clear" w:color="auto" w:fill="FFFF00"/>
            <w:vAlign w:val="center"/>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sz w:val="20"/>
                <w:szCs w:val="20"/>
                <w:lang w:val="bs-Latn-BA"/>
              </w:rPr>
              <w:t>Broj</w:t>
            </w:r>
          </w:p>
        </w:tc>
        <w:tc>
          <w:tcPr>
            <w:tcW w:w="2279"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2010.</w:t>
            </w:r>
          </w:p>
        </w:tc>
        <w:tc>
          <w:tcPr>
            <w:tcW w:w="2293"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2015.</w:t>
            </w:r>
          </w:p>
        </w:tc>
      </w:tr>
      <w:tr w:rsidR="00A131AD" w:rsidRPr="00081B73" w:rsidTr="001911A6">
        <w:trPr>
          <w:cantSplit/>
        </w:trPr>
        <w:tc>
          <w:tcPr>
            <w:tcW w:w="909" w:type="dxa"/>
            <w:gridSpan w:val="2"/>
            <w:vMerge w:val="restart"/>
            <w:tcBorders>
              <w:top w:val="single" w:sz="4" w:space="0" w:color="auto"/>
              <w:left w:val="single" w:sz="4" w:space="0" w:color="auto"/>
              <w:bottom w:val="nil"/>
              <w:right w:val="single" w:sz="4" w:space="0" w:color="auto"/>
            </w:tcBorders>
            <w:vAlign w:val="bottom"/>
          </w:tcPr>
          <w:p w:rsidR="00A131AD" w:rsidRPr="00081B73" w:rsidRDefault="00A131AD" w:rsidP="000C0138">
            <w:pPr>
              <w:pStyle w:val="NormalWeb"/>
              <w:spacing w:before="0" w:beforeAutospacing="0" w:after="0" w:afterAutospacing="0" w:line="276" w:lineRule="auto"/>
              <w:rPr>
                <w:sz w:val="20"/>
                <w:szCs w:val="20"/>
                <w:lang w:val="bs-Latn-BA"/>
              </w:rPr>
            </w:pPr>
            <w:r w:rsidRPr="00081B73">
              <w:rPr>
                <w:sz w:val="20"/>
                <w:szCs w:val="20"/>
                <w:lang w:val="bs-Latn-BA"/>
              </w:rPr>
              <w:t>PZZ</w:t>
            </w:r>
          </w:p>
        </w:tc>
        <w:tc>
          <w:tcPr>
            <w:tcW w:w="3807" w:type="dxa"/>
            <w:tcBorders>
              <w:left w:val="single" w:sz="4" w:space="0" w:color="auto"/>
            </w:tcBorders>
          </w:tcPr>
          <w:p w:rsidR="00A131AD" w:rsidRPr="00081B73" w:rsidRDefault="00A131AD" w:rsidP="000C0138">
            <w:pPr>
              <w:pStyle w:val="NormalWeb"/>
              <w:spacing w:before="0" w:beforeAutospacing="0" w:after="0" w:afterAutospacing="0" w:line="276" w:lineRule="auto"/>
              <w:rPr>
                <w:sz w:val="20"/>
                <w:szCs w:val="20"/>
                <w:lang w:val="bs-Latn-BA"/>
              </w:rPr>
            </w:pPr>
            <w:r w:rsidRPr="00081B73">
              <w:rPr>
                <w:sz w:val="20"/>
                <w:szCs w:val="20"/>
                <w:lang w:val="bs-Latn-BA"/>
              </w:rPr>
              <w:t>ordinacije PZZ</w:t>
            </w:r>
          </w:p>
        </w:tc>
        <w:tc>
          <w:tcPr>
            <w:tcW w:w="2279" w:type="dxa"/>
            <w:vAlign w:val="center"/>
          </w:tcPr>
          <w:p w:rsidR="00A131AD" w:rsidRPr="00081B73" w:rsidRDefault="00A131AD" w:rsidP="000C0138">
            <w:pPr>
              <w:pStyle w:val="NormalWeb"/>
              <w:spacing w:line="276" w:lineRule="auto"/>
              <w:jc w:val="right"/>
              <w:rPr>
                <w:sz w:val="20"/>
                <w:szCs w:val="20"/>
                <w:lang w:val="bs-Latn-BA"/>
              </w:rPr>
            </w:pPr>
            <w:r w:rsidRPr="00081B73">
              <w:rPr>
                <w:sz w:val="20"/>
                <w:szCs w:val="20"/>
                <w:lang w:val="bs-Latn-BA"/>
              </w:rPr>
              <w:t>314</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351</w:t>
            </w:r>
          </w:p>
        </w:tc>
      </w:tr>
      <w:tr w:rsidR="00A131AD" w:rsidRPr="00081B73" w:rsidTr="001911A6">
        <w:trPr>
          <w:cantSplit/>
        </w:trPr>
        <w:tc>
          <w:tcPr>
            <w:tcW w:w="909" w:type="dxa"/>
            <w:gridSpan w:val="2"/>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07" w:type="dxa"/>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stomatološke ordinacije/stolice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60</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65</w:t>
            </w:r>
          </w:p>
        </w:tc>
      </w:tr>
      <w:tr w:rsidR="00A131AD" w:rsidRPr="00081B73" w:rsidTr="001911A6">
        <w:trPr>
          <w:cantSplit/>
        </w:trPr>
        <w:tc>
          <w:tcPr>
            <w:tcW w:w="909" w:type="dxa"/>
            <w:gridSpan w:val="2"/>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07" w:type="dxa"/>
            <w:tcBorders>
              <w:left w:val="single" w:sz="4" w:space="0" w:color="auto"/>
            </w:tcBorders>
          </w:tcPr>
          <w:p w:rsidR="00A131AD" w:rsidRPr="00081B73" w:rsidRDefault="00624C80" w:rsidP="000C0138">
            <w:pPr>
              <w:spacing w:line="276" w:lineRule="auto"/>
              <w:rPr>
                <w:rFonts w:ascii="Times New Roman" w:hAnsi="Times New Roman"/>
                <w:sz w:val="20"/>
                <w:szCs w:val="20"/>
                <w:lang w:val="bs-Latn-BA"/>
              </w:rPr>
            </w:pPr>
            <w:r>
              <w:rPr>
                <w:rFonts w:ascii="Times New Roman" w:hAnsi="Times New Roman"/>
                <w:sz w:val="20"/>
                <w:szCs w:val="20"/>
                <w:lang w:val="bs-Latn-BA"/>
              </w:rPr>
              <w:t>ljekarne</w:t>
            </w:r>
            <w:r w:rsidR="00A131AD" w:rsidRPr="00081B73">
              <w:rPr>
                <w:rFonts w:ascii="Times New Roman" w:hAnsi="Times New Roman"/>
                <w:sz w:val="20"/>
                <w:szCs w:val="20"/>
                <w:lang w:val="bs-Latn-BA"/>
              </w:rPr>
              <w:t xml:space="preserve"> u javnom sektoru</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10</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10</w:t>
            </w:r>
          </w:p>
        </w:tc>
      </w:tr>
      <w:tr w:rsidR="00A131AD" w:rsidRPr="00081B73" w:rsidTr="001911A6">
        <w:trPr>
          <w:cantSplit/>
        </w:trPr>
        <w:tc>
          <w:tcPr>
            <w:tcW w:w="901" w:type="dxa"/>
            <w:vMerge w:val="restart"/>
            <w:tcBorders>
              <w:top w:val="nil"/>
              <w:left w:val="single" w:sz="4" w:space="0" w:color="auto"/>
              <w:bottom w:val="nil"/>
              <w:right w:val="single" w:sz="4" w:space="0" w:color="auto"/>
            </w:tcBorders>
            <w:vAlign w:val="center"/>
          </w:tcPr>
          <w:p w:rsidR="00A131AD" w:rsidRPr="00081B73" w:rsidRDefault="00A131AD" w:rsidP="000C0138">
            <w:pPr>
              <w:spacing w:line="276" w:lineRule="auto"/>
              <w:jc w:val="left"/>
              <w:rPr>
                <w:rFonts w:ascii="Times New Roman" w:hAnsi="Times New Roman"/>
                <w:sz w:val="20"/>
                <w:szCs w:val="20"/>
                <w:lang w:val="bs-Latn-BA"/>
              </w:rPr>
            </w:pPr>
          </w:p>
        </w:tc>
        <w:tc>
          <w:tcPr>
            <w:tcW w:w="381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dr medicine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349</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388</w:t>
            </w:r>
          </w:p>
        </w:tc>
      </w:tr>
      <w:tr w:rsidR="00A131AD" w:rsidRPr="00081B73" w:rsidTr="001911A6">
        <w:trPr>
          <w:cantSplit/>
        </w:trPr>
        <w:tc>
          <w:tcPr>
            <w:tcW w:w="901" w:type="dxa"/>
            <w:vMerge/>
            <w:tcBorders>
              <w:top w:val="nil"/>
              <w:left w:val="single" w:sz="4" w:space="0" w:color="auto"/>
              <w:bottom w:val="nil"/>
              <w:right w:val="single" w:sz="4" w:space="0" w:color="auto"/>
            </w:tcBorders>
            <w:vAlign w:val="center"/>
          </w:tcPr>
          <w:p w:rsidR="00A131AD" w:rsidRPr="00081B73" w:rsidRDefault="00A131AD" w:rsidP="000C0138">
            <w:pPr>
              <w:spacing w:line="276" w:lineRule="auto"/>
              <w:jc w:val="left"/>
              <w:rPr>
                <w:rFonts w:ascii="Times New Roman" w:hAnsi="Times New Roman"/>
                <w:sz w:val="20"/>
                <w:szCs w:val="20"/>
                <w:lang w:val="bs-Latn-BA"/>
              </w:rPr>
            </w:pPr>
          </w:p>
        </w:tc>
        <w:tc>
          <w:tcPr>
            <w:tcW w:w="381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zdravstveni tehničari/sestre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577</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625</w:t>
            </w:r>
          </w:p>
        </w:tc>
      </w:tr>
      <w:tr w:rsidR="00A131AD" w:rsidRPr="00081B73" w:rsidTr="001911A6">
        <w:trPr>
          <w:cantSplit/>
        </w:trPr>
        <w:tc>
          <w:tcPr>
            <w:tcW w:w="901" w:type="dxa"/>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1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dr stomatologije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53</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72</w:t>
            </w:r>
          </w:p>
        </w:tc>
      </w:tr>
      <w:tr w:rsidR="00A131AD" w:rsidRPr="00081B73" w:rsidTr="001911A6">
        <w:trPr>
          <w:cantSplit/>
        </w:trPr>
        <w:tc>
          <w:tcPr>
            <w:tcW w:w="901" w:type="dxa"/>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1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stomatološki tehničari/sestre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81</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87</w:t>
            </w:r>
          </w:p>
        </w:tc>
      </w:tr>
      <w:tr w:rsidR="00A131AD" w:rsidRPr="00081B73" w:rsidTr="001911A6">
        <w:trPr>
          <w:cantSplit/>
        </w:trPr>
        <w:tc>
          <w:tcPr>
            <w:tcW w:w="901" w:type="dxa"/>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1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*magistri farmacije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26</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53</w:t>
            </w:r>
          </w:p>
        </w:tc>
      </w:tr>
      <w:tr w:rsidR="00A131AD" w:rsidRPr="00081B73" w:rsidTr="001911A6">
        <w:trPr>
          <w:cantSplit/>
        </w:trPr>
        <w:tc>
          <w:tcPr>
            <w:tcW w:w="901" w:type="dxa"/>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1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*farmaceutski tehničari</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40</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29</w:t>
            </w:r>
          </w:p>
        </w:tc>
      </w:tr>
      <w:tr w:rsidR="00A131AD" w:rsidRPr="00081B73" w:rsidTr="001911A6">
        <w:trPr>
          <w:trHeight w:val="582"/>
        </w:trPr>
        <w:tc>
          <w:tcPr>
            <w:tcW w:w="901" w:type="dxa"/>
            <w:vAlign w:val="center"/>
          </w:tcPr>
          <w:p w:rsidR="00A131AD" w:rsidRPr="00081B73" w:rsidRDefault="00A131AD" w:rsidP="000C0138">
            <w:pPr>
              <w:spacing w:line="276" w:lineRule="auto"/>
              <w:jc w:val="left"/>
              <w:rPr>
                <w:rFonts w:ascii="Times New Roman" w:hAnsi="Times New Roman"/>
                <w:sz w:val="20"/>
                <w:szCs w:val="20"/>
                <w:lang w:val="bs-Latn-BA"/>
              </w:rPr>
            </w:pPr>
            <w:r w:rsidRPr="00081B73">
              <w:rPr>
                <w:rFonts w:ascii="Times New Roman" w:hAnsi="Times New Roman"/>
                <w:sz w:val="20"/>
                <w:szCs w:val="20"/>
                <w:lang w:val="bs-Latn-BA"/>
              </w:rPr>
              <w:t>Bolnice</w:t>
            </w:r>
          </w:p>
        </w:tc>
        <w:tc>
          <w:tcPr>
            <w:tcW w:w="3815" w:type="dxa"/>
            <w:gridSpan w:val="2"/>
            <w:vAlign w:val="center"/>
          </w:tcPr>
          <w:p w:rsidR="00A131AD" w:rsidRPr="00081B73" w:rsidRDefault="00A131AD" w:rsidP="000C0138">
            <w:pPr>
              <w:spacing w:line="276" w:lineRule="auto"/>
              <w:jc w:val="left"/>
              <w:rPr>
                <w:rFonts w:ascii="Times New Roman" w:hAnsi="Times New Roman"/>
                <w:sz w:val="20"/>
                <w:szCs w:val="20"/>
                <w:lang w:val="bs-Latn-BA"/>
              </w:rPr>
            </w:pPr>
            <w:r w:rsidRPr="00081B73">
              <w:rPr>
                <w:rFonts w:ascii="Times New Roman" w:hAnsi="Times New Roman"/>
                <w:sz w:val="20"/>
                <w:szCs w:val="20"/>
                <w:lang w:val="bs-Latn-BA"/>
              </w:rPr>
              <w:t>bolničke postelje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1621</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1608</w:t>
            </w:r>
          </w:p>
        </w:tc>
      </w:tr>
    </w:tbl>
    <w:p w:rsidR="00A131AD" w:rsidRPr="00081B73" w:rsidRDefault="00A131AD" w:rsidP="000C0138">
      <w:pPr>
        <w:spacing w:line="276" w:lineRule="auto"/>
        <w:jc w:val="center"/>
        <w:rPr>
          <w:rFonts w:ascii="Times New Roman" w:hAnsi="Times New Roman"/>
          <w:b/>
          <w:bCs/>
          <w:sz w:val="20"/>
          <w:szCs w:val="20"/>
          <w:lang w:val="bs-Latn-BA"/>
        </w:rPr>
      </w:pPr>
    </w:p>
    <w:p w:rsidR="00A57E2D" w:rsidRPr="00081B73" w:rsidRDefault="00A57E2D" w:rsidP="00A57E2D">
      <w:pPr>
        <w:spacing w:line="276" w:lineRule="auto"/>
        <w:rPr>
          <w:rFonts w:ascii="Times New Roman" w:hAnsi="Times New Roman"/>
          <w:b/>
          <w:bCs/>
          <w:sz w:val="20"/>
          <w:szCs w:val="20"/>
          <w:lang w:val="bs-Latn-BA"/>
        </w:rPr>
      </w:pPr>
    </w:p>
    <w:p w:rsidR="00175786" w:rsidRPr="00081B73" w:rsidRDefault="00175786" w:rsidP="00A57E2D">
      <w:pPr>
        <w:spacing w:line="276" w:lineRule="auto"/>
        <w:rPr>
          <w:rFonts w:ascii="Times New Roman" w:hAnsi="Times New Roman"/>
          <w:b/>
          <w:bCs/>
          <w:sz w:val="20"/>
          <w:szCs w:val="20"/>
          <w:lang w:val="bs-Latn-BA"/>
        </w:rPr>
      </w:pPr>
    </w:p>
    <w:p w:rsidR="00A131AD" w:rsidRPr="00081B73" w:rsidRDefault="00A131AD" w:rsidP="00A57E2D">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lastRenderedPageBreak/>
        <w:t>Zeničko-dobojski kanton</w:t>
      </w:r>
    </w:p>
    <w:p w:rsidR="00A131AD" w:rsidRPr="00081B73" w:rsidRDefault="00624C80" w:rsidP="000C0138">
      <w:pPr>
        <w:spacing w:line="276" w:lineRule="auto"/>
        <w:jc w:val="center"/>
        <w:rPr>
          <w:rFonts w:ascii="Times New Roman" w:hAnsi="Times New Roman"/>
          <w:b/>
          <w:bCs/>
          <w:sz w:val="20"/>
          <w:szCs w:val="20"/>
          <w:lang w:val="bs-Latn-BA"/>
        </w:rPr>
      </w:pPr>
      <w:r>
        <w:rPr>
          <w:rFonts w:ascii="Times New Roman" w:hAnsi="Times New Roman"/>
          <w:sz w:val="20"/>
          <w:szCs w:val="20"/>
          <w:lang w:val="bs-Latn-BA"/>
        </w:rPr>
        <w:t xml:space="preserve">      Tab</w:t>
      </w:r>
      <w:r w:rsidR="00A131AD" w:rsidRPr="00081B73">
        <w:rPr>
          <w:rFonts w:ascii="Times New Roman" w:hAnsi="Times New Roman"/>
          <w:sz w:val="20"/>
          <w:szCs w:val="20"/>
          <w:lang w:val="bs-Latn-BA"/>
        </w:rPr>
        <w:t>l</w:t>
      </w:r>
      <w:r>
        <w:rPr>
          <w:rFonts w:ascii="Times New Roman" w:hAnsi="Times New Roman"/>
          <w:sz w:val="20"/>
          <w:szCs w:val="20"/>
          <w:lang w:val="bs-Latn-BA"/>
        </w:rPr>
        <w:t>ic</w:t>
      </w:r>
      <w:r w:rsidR="00A131AD" w:rsidRPr="00081B73">
        <w:rPr>
          <w:rFonts w:ascii="Times New Roman" w:hAnsi="Times New Roman"/>
          <w:sz w:val="20"/>
          <w:szCs w:val="20"/>
          <w:lang w:val="bs-Latn-BA"/>
        </w:rPr>
        <w:t>a 1: Stanovništvo po općinama*</w:t>
      </w:r>
    </w:p>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noProof/>
          <w:sz w:val="20"/>
          <w:szCs w:val="20"/>
          <w:lang w:val="bs-Latn-BA" w:eastAsia="bs-Latn-BA"/>
        </w:rPr>
        <w:drawing>
          <wp:anchor distT="0" distB="0" distL="114300" distR="114300" simplePos="0" relativeHeight="251664384" behindDoc="0" locked="0" layoutInCell="1" allowOverlap="1" wp14:anchorId="12E282B9" wp14:editId="16BDBAB1">
            <wp:simplePos x="0" y="0"/>
            <wp:positionH relativeFrom="column">
              <wp:posOffset>19685</wp:posOffset>
            </wp:positionH>
            <wp:positionV relativeFrom="paragraph">
              <wp:posOffset>138430</wp:posOffset>
            </wp:positionV>
            <wp:extent cx="2152015" cy="2082165"/>
            <wp:effectExtent l="0" t="0" r="635" b="0"/>
            <wp:wrapSquare wrapText="bothSides"/>
            <wp:docPr id="124" name="Picture 124" descr="canton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nton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152015" cy="208216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4758" w:type="dxa"/>
        <w:tblCellSpacing w:w="15" w:type="dxa"/>
        <w:tblCellMar>
          <w:top w:w="15" w:type="dxa"/>
          <w:left w:w="15" w:type="dxa"/>
          <w:bottom w:w="15" w:type="dxa"/>
          <w:right w:w="15" w:type="dxa"/>
        </w:tblCellMar>
        <w:tblLook w:val="0000" w:firstRow="0" w:lastRow="0" w:firstColumn="0" w:lastColumn="0" w:noHBand="0" w:noVBand="0"/>
      </w:tblPr>
      <w:tblGrid>
        <w:gridCol w:w="2426"/>
        <w:gridCol w:w="1237"/>
        <w:gridCol w:w="1095"/>
      </w:tblGrid>
      <w:tr w:rsidR="00A131AD" w:rsidRPr="00081B73" w:rsidTr="001911A6">
        <w:trPr>
          <w:trHeight w:val="510"/>
          <w:tblCellSpacing w:w="15" w:type="dxa"/>
        </w:trPr>
        <w:tc>
          <w:tcPr>
            <w:tcW w:w="2381" w:type="dxa"/>
            <w:tcBorders>
              <w:right w:val="single" w:sz="4" w:space="0" w:color="000000"/>
            </w:tcBorders>
            <w:shd w:val="clear" w:color="auto" w:fill="C0C0C0"/>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b/>
                <w:bCs/>
                <w:color w:val="800000"/>
                <w:sz w:val="20"/>
                <w:szCs w:val="20"/>
                <w:lang w:val="bs-Latn-BA"/>
              </w:rPr>
              <w:t>Općina</w:t>
            </w:r>
          </w:p>
        </w:tc>
        <w:tc>
          <w:tcPr>
            <w:tcW w:w="1207" w:type="dxa"/>
            <w:tcBorders>
              <w:left w:val="nil"/>
            </w:tcBorders>
            <w:shd w:val="clear" w:color="auto" w:fill="C0C0C0"/>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b/>
                <w:bCs/>
                <w:color w:val="800000"/>
                <w:sz w:val="20"/>
                <w:szCs w:val="20"/>
                <w:lang w:val="bs-Latn-BA"/>
              </w:rPr>
              <w:t>Površina, km</w:t>
            </w:r>
            <w:r w:rsidRPr="00081B73">
              <w:rPr>
                <w:rFonts w:ascii="Times New Roman" w:hAnsi="Times New Roman"/>
                <w:b/>
                <w:bCs/>
                <w:color w:val="800000"/>
                <w:sz w:val="20"/>
                <w:szCs w:val="20"/>
                <w:vertAlign w:val="superscript"/>
                <w:lang w:val="bs-Latn-BA"/>
              </w:rPr>
              <w:t>2</w:t>
            </w:r>
          </w:p>
        </w:tc>
        <w:tc>
          <w:tcPr>
            <w:tcW w:w="1050" w:type="dxa"/>
            <w:tcBorders>
              <w:left w:val="nil"/>
            </w:tcBorders>
            <w:shd w:val="clear" w:color="auto" w:fill="C0C0C0"/>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color w:val="800000"/>
                <w:sz w:val="20"/>
                <w:szCs w:val="20"/>
                <w:lang w:val="bs-Latn-BA"/>
              </w:rPr>
              <w:t>Procjena broja stanovnika</w:t>
            </w:r>
          </w:p>
        </w:tc>
      </w:tr>
      <w:tr w:rsidR="00A131AD" w:rsidRPr="00081B73" w:rsidTr="001911A6">
        <w:trPr>
          <w:cantSplit/>
          <w:trHeight w:val="222"/>
          <w:tblCellSpacing w:w="15" w:type="dxa"/>
        </w:trPr>
        <w:tc>
          <w:tcPr>
            <w:tcW w:w="2381" w:type="dxa"/>
            <w:shd w:val="clear" w:color="auto" w:fill="FFFFCC"/>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Breza</w:t>
            </w:r>
          </w:p>
        </w:tc>
        <w:tc>
          <w:tcPr>
            <w:tcW w:w="1207"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72,9</w:t>
            </w:r>
          </w:p>
        </w:tc>
        <w:tc>
          <w:tcPr>
            <w:tcW w:w="1050"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13.634</w:t>
            </w:r>
          </w:p>
        </w:tc>
      </w:tr>
      <w:tr w:rsidR="00A131AD" w:rsidRPr="00081B73" w:rsidTr="001911A6">
        <w:trPr>
          <w:trHeight w:val="222"/>
          <w:tblCellSpacing w:w="15" w:type="dxa"/>
        </w:trPr>
        <w:tc>
          <w:tcPr>
            <w:tcW w:w="2381" w:type="dxa"/>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Doboj-Jug</w:t>
            </w:r>
          </w:p>
        </w:tc>
        <w:tc>
          <w:tcPr>
            <w:tcW w:w="1207"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10,2</w:t>
            </w:r>
          </w:p>
        </w:tc>
        <w:tc>
          <w:tcPr>
            <w:tcW w:w="1050"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4.932</w:t>
            </w:r>
          </w:p>
        </w:tc>
      </w:tr>
      <w:tr w:rsidR="00A131AD" w:rsidRPr="00081B73" w:rsidTr="001911A6">
        <w:trPr>
          <w:trHeight w:val="222"/>
          <w:tblCellSpacing w:w="15" w:type="dxa"/>
        </w:trPr>
        <w:tc>
          <w:tcPr>
            <w:tcW w:w="2381" w:type="dxa"/>
            <w:shd w:val="clear" w:color="auto" w:fill="FFFFCC"/>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Kakanj</w:t>
            </w:r>
          </w:p>
        </w:tc>
        <w:tc>
          <w:tcPr>
            <w:tcW w:w="1207"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377,0</w:t>
            </w:r>
          </w:p>
        </w:tc>
        <w:tc>
          <w:tcPr>
            <w:tcW w:w="1050"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42.950</w:t>
            </w:r>
          </w:p>
        </w:tc>
      </w:tr>
      <w:tr w:rsidR="00A131AD" w:rsidRPr="00081B73" w:rsidTr="001911A6">
        <w:trPr>
          <w:cantSplit/>
          <w:trHeight w:val="222"/>
          <w:tblCellSpacing w:w="15" w:type="dxa"/>
        </w:trPr>
        <w:tc>
          <w:tcPr>
            <w:tcW w:w="2381" w:type="dxa"/>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Maglaj</w:t>
            </w:r>
          </w:p>
        </w:tc>
        <w:tc>
          <w:tcPr>
            <w:tcW w:w="1207"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290,0</w:t>
            </w:r>
          </w:p>
        </w:tc>
        <w:tc>
          <w:tcPr>
            <w:tcW w:w="1050"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23.202</w:t>
            </w:r>
          </w:p>
        </w:tc>
      </w:tr>
      <w:tr w:rsidR="00A131AD" w:rsidRPr="00081B73" w:rsidTr="001911A6">
        <w:trPr>
          <w:cantSplit/>
          <w:trHeight w:val="222"/>
          <w:tblCellSpacing w:w="15" w:type="dxa"/>
        </w:trPr>
        <w:tc>
          <w:tcPr>
            <w:tcW w:w="2381" w:type="dxa"/>
            <w:shd w:val="clear" w:color="auto" w:fill="FFFFCC"/>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Olovo</w:t>
            </w:r>
          </w:p>
        </w:tc>
        <w:tc>
          <w:tcPr>
            <w:tcW w:w="1207"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407,8</w:t>
            </w:r>
          </w:p>
        </w:tc>
        <w:tc>
          <w:tcPr>
            <w:tcW w:w="1050" w:type="dxa"/>
            <w:shd w:val="clear" w:color="auto" w:fill="FFFFCC"/>
            <w:vAlign w:val="center"/>
          </w:tcPr>
          <w:p w:rsidR="00A131AD" w:rsidRPr="00081B73" w:rsidRDefault="00A131AD" w:rsidP="00A57E2D">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 xml:space="preserve">        11.365</w:t>
            </w:r>
          </w:p>
        </w:tc>
      </w:tr>
      <w:tr w:rsidR="00A131AD" w:rsidRPr="00081B73" w:rsidTr="001911A6">
        <w:trPr>
          <w:cantSplit/>
          <w:trHeight w:val="222"/>
          <w:tblCellSpacing w:w="15" w:type="dxa"/>
        </w:trPr>
        <w:tc>
          <w:tcPr>
            <w:tcW w:w="2381" w:type="dxa"/>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Tešanj</w:t>
            </w:r>
          </w:p>
        </w:tc>
        <w:tc>
          <w:tcPr>
            <w:tcW w:w="1207"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155,9</w:t>
            </w:r>
          </w:p>
        </w:tc>
        <w:tc>
          <w:tcPr>
            <w:tcW w:w="1050"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48.772</w:t>
            </w:r>
          </w:p>
        </w:tc>
      </w:tr>
      <w:tr w:rsidR="00A131AD" w:rsidRPr="00081B73" w:rsidTr="001911A6">
        <w:trPr>
          <w:trHeight w:val="222"/>
          <w:tblCellSpacing w:w="15" w:type="dxa"/>
        </w:trPr>
        <w:tc>
          <w:tcPr>
            <w:tcW w:w="2381" w:type="dxa"/>
            <w:shd w:val="clear" w:color="auto" w:fill="FFFFCC"/>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Usora</w:t>
            </w:r>
          </w:p>
        </w:tc>
        <w:tc>
          <w:tcPr>
            <w:tcW w:w="1207"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49,8</w:t>
            </w:r>
          </w:p>
        </w:tc>
        <w:tc>
          <w:tcPr>
            <w:tcW w:w="1050"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6.838</w:t>
            </w:r>
          </w:p>
        </w:tc>
      </w:tr>
      <w:tr w:rsidR="00A131AD" w:rsidRPr="00081B73" w:rsidTr="001911A6">
        <w:trPr>
          <w:trHeight w:val="222"/>
          <w:tblCellSpacing w:w="15" w:type="dxa"/>
        </w:trPr>
        <w:tc>
          <w:tcPr>
            <w:tcW w:w="2381" w:type="dxa"/>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Vareš</w:t>
            </w:r>
          </w:p>
        </w:tc>
        <w:tc>
          <w:tcPr>
            <w:tcW w:w="1207"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390,1</w:t>
            </w:r>
          </w:p>
        </w:tc>
        <w:tc>
          <w:tcPr>
            <w:tcW w:w="1050"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9.676</w:t>
            </w:r>
          </w:p>
        </w:tc>
      </w:tr>
      <w:tr w:rsidR="00A131AD" w:rsidRPr="00081B73" w:rsidTr="001911A6">
        <w:trPr>
          <w:trHeight w:val="222"/>
          <w:tblCellSpacing w:w="15" w:type="dxa"/>
        </w:trPr>
        <w:tc>
          <w:tcPr>
            <w:tcW w:w="2381" w:type="dxa"/>
            <w:shd w:val="clear" w:color="auto" w:fill="FFFFCC"/>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Visoko</w:t>
            </w:r>
          </w:p>
        </w:tc>
        <w:tc>
          <w:tcPr>
            <w:tcW w:w="1207"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230,8</w:t>
            </w:r>
          </w:p>
        </w:tc>
        <w:tc>
          <w:tcPr>
            <w:tcW w:w="1050"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39.982</w:t>
            </w:r>
          </w:p>
        </w:tc>
      </w:tr>
      <w:tr w:rsidR="00A131AD" w:rsidRPr="00081B73" w:rsidTr="001911A6">
        <w:trPr>
          <w:trHeight w:val="222"/>
          <w:tblCellSpacing w:w="15" w:type="dxa"/>
        </w:trPr>
        <w:tc>
          <w:tcPr>
            <w:tcW w:w="2381" w:type="dxa"/>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Zavidovići</w:t>
            </w:r>
          </w:p>
        </w:tc>
        <w:tc>
          <w:tcPr>
            <w:tcW w:w="1207"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590,3</w:t>
            </w:r>
          </w:p>
        </w:tc>
        <w:tc>
          <w:tcPr>
            <w:tcW w:w="1050"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37.495</w:t>
            </w:r>
          </w:p>
        </w:tc>
      </w:tr>
      <w:tr w:rsidR="00A131AD" w:rsidRPr="00081B73" w:rsidTr="001911A6">
        <w:trPr>
          <w:trHeight w:val="222"/>
          <w:tblCellSpacing w:w="15" w:type="dxa"/>
        </w:trPr>
        <w:tc>
          <w:tcPr>
            <w:tcW w:w="2381" w:type="dxa"/>
            <w:shd w:val="clear" w:color="auto" w:fill="FFFFCC"/>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Zenica</w:t>
            </w:r>
          </w:p>
        </w:tc>
        <w:tc>
          <w:tcPr>
            <w:tcW w:w="1207"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558,5</w:t>
            </w:r>
          </w:p>
        </w:tc>
        <w:tc>
          <w:tcPr>
            <w:tcW w:w="1050"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126.871</w:t>
            </w:r>
          </w:p>
        </w:tc>
      </w:tr>
      <w:tr w:rsidR="00A131AD" w:rsidRPr="00081B73" w:rsidTr="001911A6">
        <w:trPr>
          <w:trHeight w:val="222"/>
          <w:tblCellSpacing w:w="15" w:type="dxa"/>
        </w:trPr>
        <w:tc>
          <w:tcPr>
            <w:tcW w:w="2381" w:type="dxa"/>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Žepče</w:t>
            </w:r>
          </w:p>
        </w:tc>
        <w:tc>
          <w:tcPr>
            <w:tcW w:w="1207"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210,0</w:t>
            </w:r>
          </w:p>
        </w:tc>
        <w:tc>
          <w:tcPr>
            <w:tcW w:w="1050"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31.015</w:t>
            </w:r>
          </w:p>
        </w:tc>
      </w:tr>
      <w:tr w:rsidR="00A131AD" w:rsidRPr="00081B73" w:rsidTr="001911A6">
        <w:trPr>
          <w:trHeight w:val="222"/>
          <w:tblCellSpacing w:w="15" w:type="dxa"/>
        </w:trPr>
        <w:tc>
          <w:tcPr>
            <w:tcW w:w="2381" w:type="dxa"/>
            <w:shd w:val="clear" w:color="auto" w:fill="FFFFCC"/>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 xml:space="preserve">UKUPNO KANTON: </w:t>
            </w:r>
          </w:p>
        </w:tc>
        <w:tc>
          <w:tcPr>
            <w:tcW w:w="1207"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3.343,3</w:t>
            </w:r>
          </w:p>
        </w:tc>
        <w:tc>
          <w:tcPr>
            <w:tcW w:w="1050"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396.732</w:t>
            </w:r>
          </w:p>
        </w:tc>
      </w:tr>
      <w:tr w:rsidR="00A131AD" w:rsidRPr="00081B73" w:rsidTr="001911A6">
        <w:trPr>
          <w:trHeight w:val="222"/>
          <w:tblCellSpacing w:w="15" w:type="dxa"/>
        </w:trPr>
        <w:tc>
          <w:tcPr>
            <w:tcW w:w="2381" w:type="dxa"/>
            <w:shd w:val="clear" w:color="auto" w:fill="FFFFCC"/>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Broj stanovnika/km</w:t>
            </w:r>
            <w:r w:rsidRPr="00081B73">
              <w:rPr>
                <w:rFonts w:ascii="Times New Roman" w:hAnsi="Times New Roman"/>
                <w:b/>
                <w:bCs/>
                <w:sz w:val="20"/>
                <w:szCs w:val="20"/>
                <w:vertAlign w:val="superscript"/>
                <w:lang w:val="bs-Latn-BA"/>
              </w:rPr>
              <w:t>2</w:t>
            </w:r>
          </w:p>
        </w:tc>
        <w:tc>
          <w:tcPr>
            <w:tcW w:w="1207" w:type="dxa"/>
            <w:shd w:val="clear" w:color="auto" w:fill="FFFFCC"/>
            <w:vAlign w:val="center"/>
          </w:tcPr>
          <w:p w:rsidR="00A131AD" w:rsidRPr="00081B73" w:rsidRDefault="00A131AD" w:rsidP="000C0138">
            <w:pPr>
              <w:spacing w:line="276" w:lineRule="auto"/>
              <w:jc w:val="right"/>
              <w:rPr>
                <w:rFonts w:ascii="Times New Roman" w:hAnsi="Times New Roman"/>
                <w:color w:val="006699"/>
                <w:sz w:val="20"/>
                <w:szCs w:val="20"/>
                <w:lang w:val="bs-Latn-BA"/>
              </w:rPr>
            </w:pPr>
            <w:r w:rsidRPr="00081B73">
              <w:rPr>
                <w:rFonts w:ascii="Times New Roman" w:hAnsi="Times New Roman"/>
                <w:color w:val="006699"/>
                <w:sz w:val="20"/>
                <w:szCs w:val="20"/>
                <w:lang w:val="bs-Latn-BA"/>
              </w:rPr>
              <w:t>119,0</w:t>
            </w:r>
          </w:p>
        </w:tc>
        <w:tc>
          <w:tcPr>
            <w:tcW w:w="1050" w:type="dxa"/>
            <w:shd w:val="clear" w:color="auto" w:fill="FFFFCC"/>
            <w:vAlign w:val="center"/>
          </w:tcPr>
          <w:p w:rsidR="00A131AD" w:rsidRPr="00081B73" w:rsidRDefault="00A131AD" w:rsidP="000C0138">
            <w:pPr>
              <w:spacing w:line="276" w:lineRule="auto"/>
              <w:jc w:val="center"/>
              <w:rPr>
                <w:rFonts w:ascii="Times New Roman" w:hAnsi="Times New Roman"/>
                <w:sz w:val="20"/>
                <w:szCs w:val="20"/>
                <w:lang w:val="bs-Latn-BA"/>
              </w:rPr>
            </w:pPr>
          </w:p>
        </w:tc>
      </w:tr>
    </w:tbl>
    <w:p w:rsidR="00A131AD" w:rsidRPr="00081B73" w:rsidRDefault="00A131AD" w:rsidP="000C0138">
      <w:pPr>
        <w:spacing w:line="276" w:lineRule="auto"/>
        <w:rPr>
          <w:rFonts w:ascii="Times New Roman" w:hAnsi="Times New Roman"/>
          <w:sz w:val="20"/>
          <w:szCs w:val="20"/>
          <w:lang w:val="bs-Latn-BA"/>
        </w:rPr>
      </w:pPr>
    </w:p>
    <w:p w:rsidR="00A131AD" w:rsidRPr="00081B73" w:rsidRDefault="00A131AD" w:rsidP="000C0138">
      <w:pPr>
        <w:spacing w:line="276" w:lineRule="auto"/>
        <w:ind w:left="2880" w:firstLine="720"/>
        <w:rPr>
          <w:rFonts w:ascii="Times New Roman" w:hAnsi="Times New Roman"/>
          <w:sz w:val="20"/>
          <w:szCs w:val="20"/>
          <w:lang w:val="bs-Latn-BA"/>
        </w:rPr>
      </w:pPr>
      <w:r w:rsidRPr="00081B73">
        <w:rPr>
          <w:rFonts w:ascii="Times New Roman" w:hAnsi="Times New Roman"/>
          <w:sz w:val="20"/>
          <w:szCs w:val="20"/>
          <w:lang w:val="bs-Latn-BA"/>
        </w:rPr>
        <w:t>* procjena broja stanovnika na dan 30.06.2015. godine</w:t>
      </w:r>
    </w:p>
    <w:p w:rsidR="00A131AD" w:rsidRPr="00081B73" w:rsidRDefault="00624C80" w:rsidP="00CF03C8">
      <w:pPr>
        <w:pStyle w:val="refererere"/>
        <w:rPr>
          <w:lang w:val="bs-Latn-BA"/>
        </w:rPr>
      </w:pPr>
      <w:r>
        <w:rPr>
          <w:lang w:val="bs-Latn-BA"/>
        </w:rPr>
        <w:t>Tab</w:t>
      </w:r>
      <w:r w:rsidR="00A131AD" w:rsidRPr="00081B73">
        <w:rPr>
          <w:lang w:val="bs-Latn-BA"/>
        </w:rPr>
        <w:t>l</w:t>
      </w:r>
      <w:r>
        <w:rPr>
          <w:lang w:val="bs-Latn-BA"/>
        </w:rPr>
        <w:t>ic</w:t>
      </w:r>
      <w:r w:rsidR="00A131AD" w:rsidRPr="00081B73">
        <w:rPr>
          <w:lang w:val="bs-Latn-BA"/>
        </w:rPr>
        <w:t>a 2: Preliminarni pokazatelji vitalne statistike za 2010</w:t>
      </w:r>
      <w:r>
        <w:rPr>
          <w:lang w:val="bs-Latn-BA"/>
        </w:rPr>
        <w:t>.</w:t>
      </w:r>
      <w:r w:rsidR="00A131AD" w:rsidRPr="00081B73">
        <w:rPr>
          <w:lang w:val="bs-Latn-BA"/>
        </w:rPr>
        <w:t xml:space="preserve"> i  2015. godinu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672"/>
        <w:gridCol w:w="2689"/>
        <w:gridCol w:w="2495"/>
      </w:tblGrid>
      <w:tr w:rsidR="00A131AD" w:rsidRPr="00081B73" w:rsidTr="001911A6">
        <w:tc>
          <w:tcPr>
            <w:tcW w:w="3672" w:type="dxa"/>
            <w:shd w:val="clear" w:color="auto" w:fill="FFFF00"/>
          </w:tcPr>
          <w:p w:rsidR="00A131AD" w:rsidRPr="00081B73" w:rsidRDefault="00A131AD" w:rsidP="000C0138">
            <w:pPr>
              <w:spacing w:line="276" w:lineRule="auto"/>
              <w:jc w:val="center"/>
              <w:rPr>
                <w:rFonts w:ascii="Times New Roman" w:hAnsi="Times New Roman"/>
                <w:sz w:val="20"/>
                <w:szCs w:val="20"/>
                <w:lang w:val="bs-Latn-BA"/>
              </w:rPr>
            </w:pPr>
          </w:p>
        </w:tc>
        <w:tc>
          <w:tcPr>
            <w:tcW w:w="2689"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2010.</w:t>
            </w:r>
          </w:p>
        </w:tc>
        <w:tc>
          <w:tcPr>
            <w:tcW w:w="2495"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2015.</w:t>
            </w:r>
          </w:p>
        </w:tc>
      </w:tr>
      <w:tr w:rsidR="00A131AD" w:rsidRPr="00081B73" w:rsidTr="001911A6">
        <w:tc>
          <w:tcPr>
            <w:tcW w:w="3672"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Natalitet</w:t>
            </w:r>
          </w:p>
        </w:tc>
        <w:tc>
          <w:tcPr>
            <w:tcW w:w="2689" w:type="dxa"/>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9,9</w:t>
            </w:r>
          </w:p>
        </w:tc>
        <w:tc>
          <w:tcPr>
            <w:tcW w:w="2495" w:type="dxa"/>
          </w:tcPr>
          <w:p w:rsidR="00A131AD" w:rsidRPr="00081B73" w:rsidRDefault="00A131AD" w:rsidP="000C0138">
            <w:pPr>
              <w:spacing w:line="276" w:lineRule="auto"/>
              <w:ind w:right="453"/>
              <w:jc w:val="center"/>
              <w:rPr>
                <w:rFonts w:ascii="Times New Roman" w:hAnsi="Times New Roman"/>
                <w:sz w:val="20"/>
                <w:szCs w:val="20"/>
                <w:lang w:val="bs-Latn-BA"/>
              </w:rPr>
            </w:pPr>
            <w:r w:rsidRPr="00081B73">
              <w:rPr>
                <w:rFonts w:ascii="Times New Roman" w:hAnsi="Times New Roman"/>
                <w:sz w:val="20"/>
                <w:szCs w:val="20"/>
                <w:lang w:val="bs-Latn-BA"/>
              </w:rPr>
              <w:t>8,7</w:t>
            </w:r>
          </w:p>
        </w:tc>
      </w:tr>
      <w:tr w:rsidR="00A131AD" w:rsidRPr="00081B73" w:rsidTr="001911A6">
        <w:tc>
          <w:tcPr>
            <w:tcW w:w="3672"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Mortalitet</w:t>
            </w:r>
          </w:p>
        </w:tc>
        <w:tc>
          <w:tcPr>
            <w:tcW w:w="2689" w:type="dxa"/>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8,3</w:t>
            </w:r>
          </w:p>
        </w:tc>
        <w:tc>
          <w:tcPr>
            <w:tcW w:w="2495" w:type="dxa"/>
          </w:tcPr>
          <w:p w:rsidR="00A131AD" w:rsidRPr="00081B73" w:rsidRDefault="00A131AD" w:rsidP="000C0138">
            <w:pPr>
              <w:spacing w:line="276" w:lineRule="auto"/>
              <w:ind w:right="453"/>
              <w:jc w:val="center"/>
              <w:rPr>
                <w:rFonts w:ascii="Times New Roman" w:hAnsi="Times New Roman"/>
                <w:sz w:val="20"/>
                <w:szCs w:val="20"/>
                <w:lang w:val="bs-Latn-BA"/>
              </w:rPr>
            </w:pPr>
            <w:r w:rsidRPr="00081B73">
              <w:rPr>
                <w:rFonts w:ascii="Times New Roman" w:hAnsi="Times New Roman"/>
                <w:sz w:val="20"/>
                <w:szCs w:val="20"/>
                <w:lang w:val="bs-Latn-BA"/>
              </w:rPr>
              <w:t>8,9</w:t>
            </w:r>
          </w:p>
        </w:tc>
      </w:tr>
      <w:tr w:rsidR="00A131AD" w:rsidRPr="00081B73" w:rsidTr="001911A6">
        <w:tc>
          <w:tcPr>
            <w:tcW w:w="3672"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Smrtnost dojenčadi</w:t>
            </w:r>
          </w:p>
        </w:tc>
        <w:tc>
          <w:tcPr>
            <w:tcW w:w="2689" w:type="dxa"/>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6,3</w:t>
            </w:r>
          </w:p>
        </w:tc>
        <w:tc>
          <w:tcPr>
            <w:tcW w:w="2495" w:type="dxa"/>
          </w:tcPr>
          <w:p w:rsidR="00A131AD" w:rsidRPr="00081B73" w:rsidRDefault="00A131AD" w:rsidP="000C0138">
            <w:pPr>
              <w:spacing w:line="276" w:lineRule="auto"/>
              <w:ind w:right="453"/>
              <w:jc w:val="center"/>
              <w:rPr>
                <w:rFonts w:ascii="Times New Roman" w:hAnsi="Times New Roman"/>
                <w:sz w:val="20"/>
                <w:szCs w:val="20"/>
                <w:lang w:val="bs-Latn-BA"/>
              </w:rPr>
            </w:pPr>
            <w:r w:rsidRPr="00081B73">
              <w:rPr>
                <w:rFonts w:ascii="Times New Roman" w:hAnsi="Times New Roman"/>
                <w:sz w:val="20"/>
                <w:szCs w:val="20"/>
                <w:lang w:val="bs-Latn-BA"/>
              </w:rPr>
              <w:t>7,8</w:t>
            </w:r>
          </w:p>
        </w:tc>
      </w:tr>
      <w:tr w:rsidR="00A131AD" w:rsidRPr="00081B73" w:rsidTr="001911A6">
        <w:tc>
          <w:tcPr>
            <w:tcW w:w="3672" w:type="dxa"/>
          </w:tcPr>
          <w:p w:rsidR="00A131AD" w:rsidRPr="00081B73" w:rsidRDefault="00A131AD" w:rsidP="00624C80">
            <w:pPr>
              <w:spacing w:line="276" w:lineRule="auto"/>
              <w:rPr>
                <w:rFonts w:ascii="Times New Roman" w:hAnsi="Times New Roman"/>
                <w:sz w:val="20"/>
                <w:szCs w:val="20"/>
                <w:lang w:val="bs-Latn-BA"/>
              </w:rPr>
            </w:pPr>
            <w:r w:rsidRPr="00081B73">
              <w:rPr>
                <w:rFonts w:ascii="Times New Roman" w:hAnsi="Times New Roman"/>
                <w:sz w:val="20"/>
                <w:szCs w:val="20"/>
                <w:lang w:val="bs-Latn-BA"/>
              </w:rPr>
              <w:t>Prirodni prira</w:t>
            </w:r>
            <w:r w:rsidR="00624C80">
              <w:rPr>
                <w:rFonts w:ascii="Times New Roman" w:hAnsi="Times New Roman"/>
                <w:sz w:val="20"/>
                <w:szCs w:val="20"/>
                <w:lang w:val="bs-Latn-BA"/>
              </w:rPr>
              <w:t>st</w:t>
            </w:r>
          </w:p>
        </w:tc>
        <w:tc>
          <w:tcPr>
            <w:tcW w:w="2689" w:type="dxa"/>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1,6</w:t>
            </w:r>
          </w:p>
        </w:tc>
        <w:tc>
          <w:tcPr>
            <w:tcW w:w="2495" w:type="dxa"/>
          </w:tcPr>
          <w:p w:rsidR="00A131AD" w:rsidRPr="00081B73" w:rsidRDefault="00A131AD" w:rsidP="000C0138">
            <w:pPr>
              <w:spacing w:line="276" w:lineRule="auto"/>
              <w:ind w:right="453"/>
              <w:jc w:val="center"/>
              <w:rPr>
                <w:rFonts w:ascii="Times New Roman" w:hAnsi="Times New Roman"/>
                <w:sz w:val="20"/>
                <w:szCs w:val="20"/>
                <w:lang w:val="bs-Latn-BA"/>
              </w:rPr>
            </w:pPr>
            <w:r w:rsidRPr="00081B73">
              <w:rPr>
                <w:rFonts w:ascii="Times New Roman" w:hAnsi="Times New Roman"/>
                <w:sz w:val="20"/>
                <w:szCs w:val="20"/>
                <w:lang w:val="bs-Latn-BA"/>
              </w:rPr>
              <w:t>-0,2</w:t>
            </w:r>
          </w:p>
        </w:tc>
      </w:tr>
    </w:tbl>
    <w:p w:rsidR="00A57E2D" w:rsidRPr="00081B73" w:rsidRDefault="00A57E2D" w:rsidP="00CF03C8">
      <w:pPr>
        <w:pStyle w:val="refererere"/>
        <w:rPr>
          <w:lang w:val="bs-Latn-BA"/>
        </w:rPr>
      </w:pPr>
    </w:p>
    <w:p w:rsidR="00A131AD" w:rsidRPr="00081B73" w:rsidRDefault="00A2552D" w:rsidP="00CF03C8">
      <w:pPr>
        <w:pStyle w:val="refererere"/>
        <w:rPr>
          <w:lang w:val="bs-Latn-BA"/>
        </w:rPr>
      </w:pPr>
      <w:r w:rsidRPr="00081B73">
        <w:rPr>
          <w:lang w:val="bs-Latn-BA"/>
        </w:rPr>
        <w:t>T</w:t>
      </w:r>
      <w:r w:rsidR="00624C80">
        <w:rPr>
          <w:lang w:val="bs-Latn-BA"/>
        </w:rPr>
        <w:t>ab</w:t>
      </w:r>
      <w:r w:rsidR="00A131AD" w:rsidRPr="00081B73">
        <w:rPr>
          <w:lang w:val="bs-Latn-BA"/>
        </w:rPr>
        <w:t>l</w:t>
      </w:r>
      <w:r w:rsidR="00624C80">
        <w:rPr>
          <w:lang w:val="bs-Latn-BA"/>
        </w:rPr>
        <w:t>ic</w:t>
      </w:r>
      <w:r w:rsidR="00A131AD" w:rsidRPr="00081B73">
        <w:rPr>
          <w:lang w:val="bs-Latn-BA"/>
        </w:rPr>
        <w:t>a 3: Vodeći uzroci smrti za 2010</w:t>
      </w:r>
      <w:r w:rsidR="00624C80">
        <w:rPr>
          <w:lang w:val="bs-Latn-BA"/>
        </w:rPr>
        <w:t>.</w:t>
      </w:r>
      <w:r w:rsidR="00A131AD" w:rsidRPr="00081B73">
        <w:rPr>
          <w:lang w:val="bs-Latn-BA"/>
        </w:rPr>
        <w:t xml:space="preserve"> i  2015. godinu **</w:t>
      </w:r>
    </w:p>
    <w:tbl>
      <w:tblPr>
        <w:tblW w:w="91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73"/>
        <w:gridCol w:w="2131"/>
        <w:gridCol w:w="794"/>
        <w:gridCol w:w="993"/>
        <w:gridCol w:w="673"/>
        <w:gridCol w:w="2105"/>
        <w:gridCol w:w="794"/>
        <w:gridCol w:w="1015"/>
      </w:tblGrid>
      <w:tr w:rsidR="00A131AD" w:rsidRPr="00081B73" w:rsidTr="00A57E2D">
        <w:trPr>
          <w:trHeight w:val="373"/>
        </w:trPr>
        <w:tc>
          <w:tcPr>
            <w:tcW w:w="4591" w:type="dxa"/>
            <w:gridSpan w:val="4"/>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2010.</w:t>
            </w:r>
          </w:p>
        </w:tc>
        <w:tc>
          <w:tcPr>
            <w:tcW w:w="4587" w:type="dxa"/>
            <w:gridSpan w:val="4"/>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2015.</w:t>
            </w:r>
          </w:p>
        </w:tc>
      </w:tr>
      <w:tr w:rsidR="00A131AD" w:rsidRPr="00081B73" w:rsidTr="00A57E2D">
        <w:trPr>
          <w:trHeight w:val="318"/>
        </w:trPr>
        <w:tc>
          <w:tcPr>
            <w:tcW w:w="673" w:type="dxa"/>
            <w:shd w:val="clear" w:color="auto" w:fill="FFFF00"/>
            <w:vAlign w:val="center"/>
          </w:tcPr>
          <w:p w:rsidR="00A131AD" w:rsidRPr="00081B73" w:rsidRDefault="00A131AD" w:rsidP="000C0138">
            <w:pPr>
              <w:spacing w:line="276" w:lineRule="auto"/>
              <w:ind w:right="-108"/>
              <w:jc w:val="center"/>
              <w:rPr>
                <w:rFonts w:ascii="Times New Roman" w:hAnsi="Times New Roman"/>
                <w:bCs/>
                <w:sz w:val="20"/>
                <w:szCs w:val="20"/>
                <w:lang w:val="bs-Latn-BA"/>
              </w:rPr>
            </w:pPr>
            <w:r w:rsidRPr="00081B73">
              <w:rPr>
                <w:rFonts w:ascii="Times New Roman" w:hAnsi="Times New Roman"/>
                <w:bCs/>
                <w:sz w:val="20"/>
                <w:szCs w:val="20"/>
                <w:lang w:val="bs-Latn-BA"/>
              </w:rPr>
              <w:t>Rang</w:t>
            </w:r>
          </w:p>
        </w:tc>
        <w:tc>
          <w:tcPr>
            <w:tcW w:w="2131"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Oboljenje</w:t>
            </w:r>
          </w:p>
        </w:tc>
        <w:tc>
          <w:tcPr>
            <w:tcW w:w="794"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Broj umrlih</w:t>
            </w:r>
          </w:p>
        </w:tc>
        <w:tc>
          <w:tcPr>
            <w:tcW w:w="992"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Indeks strukture (%)</w:t>
            </w:r>
          </w:p>
        </w:tc>
        <w:tc>
          <w:tcPr>
            <w:tcW w:w="673" w:type="dxa"/>
            <w:shd w:val="clear" w:color="auto" w:fill="FFFF00"/>
            <w:vAlign w:val="center"/>
          </w:tcPr>
          <w:p w:rsidR="00A131AD" w:rsidRPr="00081B73" w:rsidRDefault="00A131AD" w:rsidP="000C0138">
            <w:pPr>
              <w:spacing w:line="276" w:lineRule="auto"/>
              <w:ind w:right="-108"/>
              <w:rPr>
                <w:rFonts w:ascii="Times New Roman" w:hAnsi="Times New Roman"/>
                <w:bCs/>
                <w:sz w:val="20"/>
                <w:szCs w:val="20"/>
                <w:lang w:val="bs-Latn-BA"/>
              </w:rPr>
            </w:pPr>
            <w:r w:rsidRPr="00081B73">
              <w:rPr>
                <w:rFonts w:ascii="Times New Roman" w:hAnsi="Times New Roman"/>
                <w:bCs/>
                <w:sz w:val="20"/>
                <w:szCs w:val="20"/>
                <w:lang w:val="bs-Latn-BA"/>
              </w:rPr>
              <w:t>Rang</w:t>
            </w:r>
          </w:p>
        </w:tc>
        <w:tc>
          <w:tcPr>
            <w:tcW w:w="2105"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Oboljenje</w:t>
            </w:r>
          </w:p>
        </w:tc>
        <w:tc>
          <w:tcPr>
            <w:tcW w:w="794"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Broj umrlih</w:t>
            </w:r>
          </w:p>
        </w:tc>
        <w:tc>
          <w:tcPr>
            <w:tcW w:w="1013"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Indeks strukture (%)</w:t>
            </w:r>
          </w:p>
        </w:tc>
      </w:tr>
      <w:tr w:rsidR="00A131AD" w:rsidRPr="00081B73" w:rsidTr="00A57E2D">
        <w:trPr>
          <w:trHeight w:val="262"/>
        </w:trPr>
        <w:tc>
          <w:tcPr>
            <w:tcW w:w="673"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1</w:t>
            </w:r>
          </w:p>
        </w:tc>
        <w:tc>
          <w:tcPr>
            <w:tcW w:w="2131"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 xml:space="preserve">Srčani zastoj </w:t>
            </w:r>
            <w:r w:rsidRPr="00081B73">
              <w:rPr>
                <w:rFonts w:ascii="Times New Roman" w:hAnsi="Times New Roman"/>
                <w:sz w:val="20"/>
                <w:szCs w:val="20"/>
              </w:rPr>
              <w:t>( I46)</w:t>
            </w:r>
          </w:p>
        </w:tc>
        <w:tc>
          <w:tcPr>
            <w:tcW w:w="794"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520</w:t>
            </w:r>
          </w:p>
        </w:tc>
        <w:tc>
          <w:tcPr>
            <w:tcW w:w="992"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16,6</w:t>
            </w:r>
          </w:p>
        </w:tc>
        <w:tc>
          <w:tcPr>
            <w:tcW w:w="673"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1</w:t>
            </w:r>
          </w:p>
        </w:tc>
        <w:tc>
          <w:tcPr>
            <w:tcW w:w="2105"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Srčani zastoj (I46)</w:t>
            </w:r>
          </w:p>
        </w:tc>
        <w:tc>
          <w:tcPr>
            <w:tcW w:w="794"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595</w:t>
            </w:r>
          </w:p>
        </w:tc>
        <w:tc>
          <w:tcPr>
            <w:tcW w:w="1013"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16,9</w:t>
            </w:r>
          </w:p>
        </w:tc>
      </w:tr>
      <w:tr w:rsidR="00A131AD" w:rsidRPr="00081B73" w:rsidTr="00A57E2D">
        <w:trPr>
          <w:trHeight w:val="391"/>
        </w:trPr>
        <w:tc>
          <w:tcPr>
            <w:tcW w:w="673"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2</w:t>
            </w:r>
          </w:p>
        </w:tc>
        <w:tc>
          <w:tcPr>
            <w:tcW w:w="2131" w:type="dxa"/>
          </w:tcPr>
          <w:p w:rsidR="00A131AD" w:rsidRPr="00081B73" w:rsidRDefault="00A131AD" w:rsidP="000C0138">
            <w:pPr>
              <w:tabs>
                <w:tab w:val="right" w:pos="2523"/>
              </w:tabs>
              <w:spacing w:line="276" w:lineRule="auto"/>
              <w:rPr>
                <w:rFonts w:ascii="Times New Roman" w:hAnsi="Times New Roman"/>
                <w:sz w:val="20"/>
                <w:szCs w:val="20"/>
                <w:lang w:val="bs-Latn-BA"/>
              </w:rPr>
            </w:pPr>
            <w:r w:rsidRPr="00081B73">
              <w:rPr>
                <w:rFonts w:ascii="Times New Roman" w:hAnsi="Times New Roman"/>
                <w:sz w:val="20"/>
                <w:szCs w:val="20"/>
              </w:rPr>
              <w:t>Moždani udar ( I63)</w:t>
            </w:r>
          </w:p>
        </w:tc>
        <w:tc>
          <w:tcPr>
            <w:tcW w:w="794"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337</w:t>
            </w:r>
          </w:p>
        </w:tc>
        <w:tc>
          <w:tcPr>
            <w:tcW w:w="992"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10,1</w:t>
            </w:r>
          </w:p>
        </w:tc>
        <w:tc>
          <w:tcPr>
            <w:tcW w:w="673"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2</w:t>
            </w:r>
          </w:p>
        </w:tc>
        <w:tc>
          <w:tcPr>
            <w:tcW w:w="2105"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Akutni infrakt miokarda (I21)</w:t>
            </w:r>
          </w:p>
        </w:tc>
        <w:tc>
          <w:tcPr>
            <w:tcW w:w="794" w:type="dxa"/>
            <w:vAlign w:val="bottom"/>
          </w:tcPr>
          <w:p w:rsidR="00A131AD" w:rsidRPr="00081B73" w:rsidRDefault="00A131AD" w:rsidP="00BB5E07">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433</w:t>
            </w:r>
          </w:p>
        </w:tc>
        <w:tc>
          <w:tcPr>
            <w:tcW w:w="1013"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12,3</w:t>
            </w:r>
          </w:p>
        </w:tc>
      </w:tr>
      <w:tr w:rsidR="00A131AD" w:rsidRPr="00081B73" w:rsidTr="00A57E2D">
        <w:trPr>
          <w:trHeight w:val="262"/>
        </w:trPr>
        <w:tc>
          <w:tcPr>
            <w:tcW w:w="673"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3</w:t>
            </w:r>
          </w:p>
        </w:tc>
        <w:tc>
          <w:tcPr>
            <w:tcW w:w="2131" w:type="dxa"/>
          </w:tcPr>
          <w:p w:rsidR="00A131AD" w:rsidRPr="00081B73" w:rsidRDefault="00A131AD" w:rsidP="000C0138">
            <w:pPr>
              <w:spacing w:line="276" w:lineRule="auto"/>
              <w:rPr>
                <w:rFonts w:ascii="Times New Roman" w:hAnsi="Times New Roman"/>
                <w:sz w:val="20"/>
                <w:szCs w:val="20"/>
              </w:rPr>
            </w:pPr>
            <w:r w:rsidRPr="00081B73">
              <w:rPr>
                <w:rFonts w:ascii="Times New Roman" w:hAnsi="Times New Roman"/>
                <w:sz w:val="20"/>
                <w:szCs w:val="20"/>
                <w:lang w:val="bs-Latn-BA"/>
              </w:rPr>
              <w:t xml:space="preserve">Kardiomiopatija </w:t>
            </w:r>
            <w:r w:rsidRPr="00081B73">
              <w:rPr>
                <w:rFonts w:ascii="Times New Roman" w:hAnsi="Times New Roman"/>
                <w:sz w:val="20"/>
                <w:szCs w:val="20"/>
              </w:rPr>
              <w:t>(I42)</w:t>
            </w:r>
          </w:p>
        </w:tc>
        <w:tc>
          <w:tcPr>
            <w:tcW w:w="794"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337</w:t>
            </w:r>
          </w:p>
        </w:tc>
        <w:tc>
          <w:tcPr>
            <w:tcW w:w="992"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10,1</w:t>
            </w:r>
          </w:p>
        </w:tc>
        <w:tc>
          <w:tcPr>
            <w:tcW w:w="673"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3</w:t>
            </w:r>
          </w:p>
        </w:tc>
        <w:tc>
          <w:tcPr>
            <w:tcW w:w="2105"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Moždani udar (I63)</w:t>
            </w:r>
          </w:p>
        </w:tc>
        <w:tc>
          <w:tcPr>
            <w:tcW w:w="794"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366</w:t>
            </w:r>
          </w:p>
        </w:tc>
        <w:tc>
          <w:tcPr>
            <w:tcW w:w="1013"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10,4</w:t>
            </w:r>
          </w:p>
        </w:tc>
      </w:tr>
      <w:tr w:rsidR="00A131AD" w:rsidRPr="00081B73" w:rsidTr="00A57E2D">
        <w:trPr>
          <w:trHeight w:val="541"/>
        </w:trPr>
        <w:tc>
          <w:tcPr>
            <w:tcW w:w="673"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4</w:t>
            </w:r>
          </w:p>
        </w:tc>
        <w:tc>
          <w:tcPr>
            <w:tcW w:w="2131"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Akutn</w:t>
            </w:r>
            <w:r w:rsidR="00BB5E07" w:rsidRPr="00081B73">
              <w:rPr>
                <w:rFonts w:ascii="Times New Roman" w:hAnsi="Times New Roman"/>
                <w:sz w:val="20"/>
                <w:szCs w:val="20"/>
                <w:lang w:val="bs-Latn-BA"/>
              </w:rPr>
              <w:t xml:space="preserve">i </w:t>
            </w:r>
            <w:r w:rsidRPr="00081B73">
              <w:rPr>
                <w:rFonts w:ascii="Times New Roman" w:hAnsi="Times New Roman"/>
                <w:sz w:val="20"/>
                <w:szCs w:val="20"/>
                <w:lang w:val="bs-Latn-BA"/>
              </w:rPr>
              <w:t>infarkt miokarda</w:t>
            </w:r>
            <w:r w:rsidR="00BB5E07" w:rsidRPr="00081B73">
              <w:rPr>
                <w:rFonts w:ascii="Times New Roman" w:hAnsi="Times New Roman"/>
                <w:sz w:val="20"/>
                <w:szCs w:val="20"/>
                <w:lang w:val="bs-Latn-BA"/>
              </w:rPr>
              <w:t xml:space="preserve"> </w:t>
            </w:r>
            <w:r w:rsidR="00BB5E07" w:rsidRPr="00081B73">
              <w:rPr>
                <w:rFonts w:ascii="Times New Roman" w:hAnsi="Times New Roman"/>
                <w:sz w:val="20"/>
                <w:szCs w:val="20"/>
              </w:rPr>
              <w:t>(</w:t>
            </w:r>
            <w:r w:rsidRPr="00081B73">
              <w:rPr>
                <w:rFonts w:ascii="Times New Roman" w:hAnsi="Times New Roman"/>
                <w:sz w:val="20"/>
                <w:szCs w:val="20"/>
              </w:rPr>
              <w:t>I21)</w:t>
            </w:r>
          </w:p>
        </w:tc>
        <w:tc>
          <w:tcPr>
            <w:tcW w:w="794"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266</w:t>
            </w:r>
          </w:p>
        </w:tc>
        <w:tc>
          <w:tcPr>
            <w:tcW w:w="992"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8,0</w:t>
            </w:r>
          </w:p>
        </w:tc>
        <w:tc>
          <w:tcPr>
            <w:tcW w:w="673"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4</w:t>
            </w:r>
          </w:p>
        </w:tc>
        <w:tc>
          <w:tcPr>
            <w:tcW w:w="2105"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Kardiomiopatija (I42)</w:t>
            </w:r>
          </w:p>
        </w:tc>
        <w:tc>
          <w:tcPr>
            <w:tcW w:w="794"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313</w:t>
            </w:r>
          </w:p>
        </w:tc>
        <w:tc>
          <w:tcPr>
            <w:tcW w:w="1013"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8,9</w:t>
            </w:r>
          </w:p>
        </w:tc>
      </w:tr>
      <w:tr w:rsidR="00A131AD" w:rsidRPr="00081B73" w:rsidTr="00A57E2D">
        <w:trPr>
          <w:trHeight w:val="790"/>
        </w:trPr>
        <w:tc>
          <w:tcPr>
            <w:tcW w:w="673"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5</w:t>
            </w:r>
          </w:p>
        </w:tc>
        <w:tc>
          <w:tcPr>
            <w:tcW w:w="2131" w:type="dxa"/>
          </w:tcPr>
          <w:p w:rsidR="00A131AD" w:rsidRPr="00081B73" w:rsidRDefault="00BB5E07"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Inzulin-ovisni dijab.</w:t>
            </w:r>
            <w:r w:rsidR="00A131AD" w:rsidRPr="00081B73">
              <w:rPr>
                <w:rFonts w:ascii="Times New Roman" w:hAnsi="Times New Roman"/>
                <w:sz w:val="20"/>
                <w:szCs w:val="20"/>
                <w:lang w:val="bs-Latn-BA"/>
              </w:rPr>
              <w:t xml:space="preserve"> mellitus (E11)</w:t>
            </w:r>
          </w:p>
        </w:tc>
        <w:tc>
          <w:tcPr>
            <w:tcW w:w="794"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223</w:t>
            </w:r>
          </w:p>
        </w:tc>
        <w:tc>
          <w:tcPr>
            <w:tcW w:w="992" w:type="dxa"/>
          </w:tcPr>
          <w:p w:rsidR="00A131AD" w:rsidRPr="00081B73" w:rsidRDefault="00A131AD" w:rsidP="000C0138">
            <w:pPr>
              <w:tabs>
                <w:tab w:val="left" w:pos="300"/>
              </w:tabs>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6,7</w:t>
            </w:r>
          </w:p>
        </w:tc>
        <w:tc>
          <w:tcPr>
            <w:tcW w:w="673"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5</w:t>
            </w:r>
          </w:p>
        </w:tc>
        <w:tc>
          <w:tcPr>
            <w:tcW w:w="2105"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Maligne neoplazme bronha i pluća (C34)</w:t>
            </w:r>
          </w:p>
        </w:tc>
        <w:tc>
          <w:tcPr>
            <w:tcW w:w="794" w:type="dxa"/>
            <w:vAlign w:val="bottom"/>
          </w:tcPr>
          <w:p w:rsidR="00A131AD" w:rsidRPr="00081B73" w:rsidRDefault="00A57E2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145</w:t>
            </w:r>
          </w:p>
        </w:tc>
        <w:tc>
          <w:tcPr>
            <w:tcW w:w="1013" w:type="dxa"/>
            <w:vAlign w:val="bottom"/>
          </w:tcPr>
          <w:p w:rsidR="00A131AD" w:rsidRPr="00081B73" w:rsidRDefault="00A57E2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4,1</w:t>
            </w:r>
          </w:p>
        </w:tc>
      </w:tr>
      <w:tr w:rsidR="00A131AD" w:rsidRPr="00081B73" w:rsidTr="00A57E2D">
        <w:trPr>
          <w:trHeight w:val="541"/>
        </w:trPr>
        <w:tc>
          <w:tcPr>
            <w:tcW w:w="673" w:type="dxa"/>
          </w:tcPr>
          <w:p w:rsidR="00A131AD" w:rsidRPr="00081B73" w:rsidRDefault="00A131AD" w:rsidP="000C0138">
            <w:pPr>
              <w:spacing w:line="276" w:lineRule="auto"/>
              <w:ind w:right="-108"/>
              <w:jc w:val="center"/>
              <w:rPr>
                <w:rFonts w:ascii="Times New Roman" w:hAnsi="Times New Roman"/>
                <w:sz w:val="20"/>
                <w:szCs w:val="20"/>
                <w:lang w:val="bs-Latn-BA"/>
              </w:rPr>
            </w:pPr>
          </w:p>
        </w:tc>
        <w:tc>
          <w:tcPr>
            <w:tcW w:w="2131"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Ostale bolesti kao uzrok smrti</w:t>
            </w:r>
          </w:p>
        </w:tc>
        <w:tc>
          <w:tcPr>
            <w:tcW w:w="794"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1651</w:t>
            </w:r>
          </w:p>
        </w:tc>
        <w:tc>
          <w:tcPr>
            <w:tcW w:w="992" w:type="dxa"/>
          </w:tcPr>
          <w:p w:rsidR="00A131AD" w:rsidRPr="00081B73" w:rsidRDefault="00A131AD" w:rsidP="000C0138">
            <w:pPr>
              <w:tabs>
                <w:tab w:val="left" w:pos="345"/>
              </w:tabs>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49,5</w:t>
            </w:r>
          </w:p>
        </w:tc>
        <w:tc>
          <w:tcPr>
            <w:tcW w:w="673" w:type="dxa"/>
          </w:tcPr>
          <w:p w:rsidR="00A131AD" w:rsidRPr="00081B73" w:rsidRDefault="00A131AD" w:rsidP="000C0138">
            <w:pPr>
              <w:spacing w:line="276" w:lineRule="auto"/>
              <w:ind w:right="-108"/>
              <w:jc w:val="center"/>
              <w:rPr>
                <w:rFonts w:ascii="Times New Roman" w:hAnsi="Times New Roman"/>
                <w:sz w:val="20"/>
                <w:szCs w:val="20"/>
                <w:lang w:val="bs-Latn-BA"/>
              </w:rPr>
            </w:pPr>
          </w:p>
        </w:tc>
        <w:tc>
          <w:tcPr>
            <w:tcW w:w="2105"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Ostali uzroci smrti</w:t>
            </w:r>
          </w:p>
        </w:tc>
        <w:tc>
          <w:tcPr>
            <w:tcW w:w="794"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1673</w:t>
            </w:r>
          </w:p>
        </w:tc>
        <w:tc>
          <w:tcPr>
            <w:tcW w:w="1013"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47,5</w:t>
            </w:r>
          </w:p>
        </w:tc>
      </w:tr>
      <w:tr w:rsidR="00A131AD" w:rsidRPr="00081B73" w:rsidTr="00A57E2D">
        <w:trPr>
          <w:trHeight w:val="67"/>
        </w:trPr>
        <w:tc>
          <w:tcPr>
            <w:tcW w:w="673" w:type="dxa"/>
          </w:tcPr>
          <w:p w:rsidR="00A131AD" w:rsidRPr="00081B73" w:rsidRDefault="00A131AD" w:rsidP="000C0138">
            <w:pPr>
              <w:spacing w:line="276" w:lineRule="auto"/>
              <w:ind w:right="-108"/>
              <w:jc w:val="center"/>
              <w:rPr>
                <w:rFonts w:ascii="Times New Roman" w:hAnsi="Times New Roman"/>
                <w:sz w:val="20"/>
                <w:szCs w:val="20"/>
                <w:lang w:val="bs-Latn-BA"/>
              </w:rPr>
            </w:pPr>
          </w:p>
        </w:tc>
        <w:tc>
          <w:tcPr>
            <w:tcW w:w="2131"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Ukupno umrlih</w:t>
            </w:r>
          </w:p>
        </w:tc>
        <w:tc>
          <w:tcPr>
            <w:tcW w:w="794"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3334</w:t>
            </w:r>
          </w:p>
        </w:tc>
        <w:tc>
          <w:tcPr>
            <w:tcW w:w="992"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100%</w:t>
            </w:r>
          </w:p>
        </w:tc>
        <w:tc>
          <w:tcPr>
            <w:tcW w:w="673" w:type="dxa"/>
          </w:tcPr>
          <w:p w:rsidR="00A131AD" w:rsidRPr="00081B73" w:rsidRDefault="00A131AD" w:rsidP="000C0138">
            <w:pPr>
              <w:spacing w:line="276" w:lineRule="auto"/>
              <w:ind w:right="-108"/>
              <w:jc w:val="center"/>
              <w:rPr>
                <w:rFonts w:ascii="Times New Roman" w:hAnsi="Times New Roman"/>
                <w:sz w:val="20"/>
                <w:szCs w:val="20"/>
                <w:lang w:val="bs-Latn-BA"/>
              </w:rPr>
            </w:pPr>
          </w:p>
        </w:tc>
        <w:tc>
          <w:tcPr>
            <w:tcW w:w="2105"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Ukupno umrlih</w:t>
            </w:r>
          </w:p>
        </w:tc>
        <w:tc>
          <w:tcPr>
            <w:tcW w:w="794"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3525</w:t>
            </w:r>
          </w:p>
        </w:tc>
        <w:tc>
          <w:tcPr>
            <w:tcW w:w="1013" w:type="dxa"/>
            <w:vAlign w:val="bottom"/>
          </w:tcPr>
          <w:p w:rsidR="00A131AD" w:rsidRPr="00081B73" w:rsidRDefault="00A131AD" w:rsidP="000C0138">
            <w:pPr>
              <w:spacing w:line="276" w:lineRule="auto"/>
              <w:jc w:val="right"/>
              <w:rPr>
                <w:rFonts w:ascii="Times New Roman" w:hAnsi="Times New Roman"/>
                <w:sz w:val="20"/>
                <w:szCs w:val="20"/>
                <w:lang w:val="en-US"/>
              </w:rPr>
            </w:pPr>
          </w:p>
        </w:tc>
      </w:tr>
    </w:tbl>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 Poda</w:t>
      </w:r>
      <w:r w:rsidR="00624C80">
        <w:rPr>
          <w:rFonts w:ascii="Times New Roman" w:hAnsi="Times New Roman"/>
          <w:sz w:val="20"/>
          <w:szCs w:val="20"/>
          <w:lang w:val="bs-Latn-BA"/>
        </w:rPr>
        <w:t>t</w:t>
      </w:r>
      <w:r w:rsidRPr="00081B73">
        <w:rPr>
          <w:rFonts w:ascii="Times New Roman" w:hAnsi="Times New Roman"/>
          <w:sz w:val="20"/>
          <w:szCs w:val="20"/>
          <w:lang w:val="bs-Latn-BA"/>
        </w:rPr>
        <w:t xml:space="preserve">ci Federalnog zavoda za statistiku-obrada uzroka smrti FBiH 2015. </w:t>
      </w:r>
    </w:p>
    <w:p w:rsidR="00A131AD" w:rsidRPr="00081B73" w:rsidRDefault="00A131AD" w:rsidP="000C0138">
      <w:pPr>
        <w:spacing w:after="160" w:line="276" w:lineRule="auto"/>
        <w:jc w:val="left"/>
        <w:rPr>
          <w:rFonts w:ascii="Times New Roman" w:hAnsi="Times New Roman"/>
          <w:sz w:val="20"/>
          <w:szCs w:val="20"/>
          <w:lang w:val="bs-Latn-BA"/>
        </w:rPr>
      </w:pPr>
    </w:p>
    <w:p w:rsidR="00A131AD" w:rsidRPr="00081B73" w:rsidRDefault="00624C80" w:rsidP="00CF03C8">
      <w:pPr>
        <w:pStyle w:val="refererere"/>
        <w:rPr>
          <w:lang w:val="bs-Latn-BA"/>
        </w:rPr>
      </w:pPr>
      <w:r>
        <w:rPr>
          <w:lang w:val="bs-Latn-BA"/>
        </w:rPr>
        <w:lastRenderedPageBreak/>
        <w:t>Tab</w:t>
      </w:r>
      <w:r w:rsidR="00A131AD" w:rsidRPr="00081B73">
        <w:rPr>
          <w:lang w:val="bs-Latn-BA"/>
        </w:rPr>
        <w:t>l</w:t>
      </w:r>
      <w:r>
        <w:rPr>
          <w:lang w:val="bs-Latn-BA"/>
        </w:rPr>
        <w:t>ic</w:t>
      </w:r>
      <w:r w:rsidR="00A131AD" w:rsidRPr="00081B73">
        <w:rPr>
          <w:lang w:val="bs-Latn-BA"/>
        </w:rPr>
        <w:t>a 4: Vodeća zarazna oboljenja u  2010</w:t>
      </w:r>
      <w:r>
        <w:rPr>
          <w:lang w:val="bs-Latn-BA"/>
        </w:rPr>
        <w:t>.</w:t>
      </w:r>
      <w:r w:rsidR="00A131AD" w:rsidRPr="00081B73">
        <w:rPr>
          <w:lang w:val="bs-Latn-BA"/>
        </w:rPr>
        <w:t xml:space="preserve"> i  2015. godinu</w:t>
      </w:r>
    </w:p>
    <w:tbl>
      <w:tblPr>
        <w:tblW w:w="92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8"/>
        <w:gridCol w:w="1800"/>
        <w:gridCol w:w="1260"/>
        <w:gridCol w:w="1015"/>
        <w:gridCol w:w="540"/>
        <w:gridCol w:w="2037"/>
        <w:gridCol w:w="1023"/>
        <w:gridCol w:w="1129"/>
      </w:tblGrid>
      <w:tr w:rsidR="00A131AD" w:rsidRPr="00081B73" w:rsidTr="001911A6">
        <w:trPr>
          <w:trHeight w:val="476"/>
          <w:jc w:val="center"/>
        </w:trPr>
        <w:tc>
          <w:tcPr>
            <w:tcW w:w="4543" w:type="dxa"/>
            <w:gridSpan w:val="4"/>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2010.</w:t>
            </w:r>
          </w:p>
        </w:tc>
        <w:tc>
          <w:tcPr>
            <w:tcW w:w="4729" w:type="dxa"/>
            <w:gridSpan w:val="4"/>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2015.</w:t>
            </w:r>
          </w:p>
        </w:tc>
      </w:tr>
      <w:tr w:rsidR="00A131AD" w:rsidRPr="00081B73" w:rsidTr="001911A6">
        <w:trPr>
          <w:cantSplit/>
          <w:trHeight w:val="516"/>
          <w:jc w:val="center"/>
        </w:trPr>
        <w:tc>
          <w:tcPr>
            <w:tcW w:w="468" w:type="dxa"/>
            <w:shd w:val="clear" w:color="auto" w:fill="FFFF00"/>
            <w:textDirection w:val="btLr"/>
          </w:tcPr>
          <w:p w:rsidR="00A131AD" w:rsidRPr="00081B73" w:rsidRDefault="00A131AD" w:rsidP="000C0138">
            <w:pPr>
              <w:autoSpaceDE w:val="0"/>
              <w:autoSpaceDN w:val="0"/>
              <w:adjustRightInd w:val="0"/>
              <w:spacing w:line="276" w:lineRule="auto"/>
              <w:ind w:left="113" w:right="113"/>
              <w:rPr>
                <w:rFonts w:ascii="Times New Roman" w:hAnsi="Times New Roman"/>
                <w:color w:val="000000"/>
                <w:sz w:val="20"/>
                <w:szCs w:val="20"/>
                <w:lang w:val="bs-Latn-BA"/>
              </w:rPr>
            </w:pPr>
            <w:r w:rsidRPr="00081B73">
              <w:rPr>
                <w:rFonts w:ascii="Times New Roman" w:hAnsi="Times New Roman"/>
                <w:color w:val="000000"/>
                <w:sz w:val="20"/>
                <w:szCs w:val="20"/>
                <w:lang w:val="bs-Latn-BA"/>
              </w:rPr>
              <w:t>Rang</w:t>
            </w:r>
          </w:p>
        </w:tc>
        <w:tc>
          <w:tcPr>
            <w:tcW w:w="1800"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Bolest / stanje</w:t>
            </w:r>
          </w:p>
        </w:tc>
        <w:tc>
          <w:tcPr>
            <w:tcW w:w="1260"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sz w:val="20"/>
                <w:szCs w:val="20"/>
                <w:lang w:val="bs-Latn-BA"/>
              </w:rPr>
              <w:t>Broj registriranih</w:t>
            </w:r>
          </w:p>
        </w:tc>
        <w:tc>
          <w:tcPr>
            <w:tcW w:w="1015"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Mb/</w:t>
            </w:r>
          </w:p>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100000</w:t>
            </w:r>
          </w:p>
        </w:tc>
        <w:tc>
          <w:tcPr>
            <w:tcW w:w="540" w:type="dxa"/>
            <w:shd w:val="clear" w:color="auto" w:fill="FFFF00"/>
            <w:textDirection w:val="btLr"/>
          </w:tcPr>
          <w:p w:rsidR="00A131AD" w:rsidRPr="00081B73" w:rsidRDefault="00A131AD" w:rsidP="000C0138">
            <w:pPr>
              <w:autoSpaceDE w:val="0"/>
              <w:autoSpaceDN w:val="0"/>
              <w:adjustRightInd w:val="0"/>
              <w:spacing w:line="276" w:lineRule="auto"/>
              <w:ind w:left="113" w:right="113"/>
              <w:rPr>
                <w:rFonts w:ascii="Times New Roman" w:hAnsi="Times New Roman"/>
                <w:color w:val="000000"/>
                <w:sz w:val="20"/>
                <w:szCs w:val="20"/>
                <w:lang w:val="bs-Latn-BA"/>
              </w:rPr>
            </w:pPr>
            <w:r w:rsidRPr="00081B73">
              <w:rPr>
                <w:rFonts w:ascii="Times New Roman" w:hAnsi="Times New Roman"/>
                <w:color w:val="000000"/>
                <w:sz w:val="20"/>
                <w:szCs w:val="20"/>
                <w:lang w:val="bs-Latn-BA"/>
              </w:rPr>
              <w:t>Rang</w:t>
            </w:r>
          </w:p>
        </w:tc>
        <w:tc>
          <w:tcPr>
            <w:tcW w:w="2037"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Bolest / stanje</w:t>
            </w:r>
          </w:p>
        </w:tc>
        <w:tc>
          <w:tcPr>
            <w:tcW w:w="1023"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sz w:val="20"/>
                <w:szCs w:val="20"/>
                <w:lang w:val="bs-Latn-BA"/>
              </w:rPr>
              <w:t>Broj registriranih</w:t>
            </w:r>
          </w:p>
        </w:tc>
        <w:tc>
          <w:tcPr>
            <w:tcW w:w="1129"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Mb/</w:t>
            </w:r>
          </w:p>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100000</w:t>
            </w:r>
          </w:p>
        </w:tc>
      </w:tr>
      <w:tr w:rsidR="00A131AD" w:rsidRPr="00081B73" w:rsidTr="001911A6">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1</w:t>
            </w:r>
          </w:p>
        </w:tc>
        <w:tc>
          <w:tcPr>
            <w:tcW w:w="1800"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Influenza</w:t>
            </w:r>
          </w:p>
        </w:tc>
        <w:tc>
          <w:tcPr>
            <w:tcW w:w="1260"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1059</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264,67</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w:t>
            </w:r>
          </w:p>
        </w:tc>
        <w:tc>
          <w:tcPr>
            <w:tcW w:w="2037"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Ili/gripa</w:t>
            </w:r>
          </w:p>
        </w:tc>
        <w:tc>
          <w:tcPr>
            <w:tcW w:w="1023"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8497</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2141,75</w:t>
            </w:r>
          </w:p>
        </w:tc>
      </w:tr>
      <w:tr w:rsidR="00A131AD" w:rsidRPr="00081B73" w:rsidTr="001911A6">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2</w:t>
            </w:r>
          </w:p>
        </w:tc>
        <w:tc>
          <w:tcPr>
            <w:tcW w:w="1800"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Varicellae</w:t>
            </w:r>
          </w:p>
        </w:tc>
        <w:tc>
          <w:tcPr>
            <w:tcW w:w="1260"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894</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223,43</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2</w:t>
            </w:r>
          </w:p>
        </w:tc>
        <w:tc>
          <w:tcPr>
            <w:tcW w:w="2037"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Varicellae</w:t>
            </w:r>
          </w:p>
        </w:tc>
        <w:tc>
          <w:tcPr>
            <w:tcW w:w="1023"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905</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228,11</w:t>
            </w:r>
          </w:p>
        </w:tc>
      </w:tr>
      <w:tr w:rsidR="00A131AD" w:rsidRPr="00081B73" w:rsidTr="001911A6">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3</w:t>
            </w:r>
          </w:p>
        </w:tc>
        <w:tc>
          <w:tcPr>
            <w:tcW w:w="1800"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Enterocolitis ac</w:t>
            </w:r>
          </w:p>
        </w:tc>
        <w:tc>
          <w:tcPr>
            <w:tcW w:w="1260"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651</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162,70</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3</w:t>
            </w:r>
          </w:p>
        </w:tc>
        <w:tc>
          <w:tcPr>
            <w:tcW w:w="2037"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sz w:val="20"/>
                <w:szCs w:val="20"/>
              </w:rPr>
              <w:t>Enterocolitis ac</w:t>
            </w:r>
          </w:p>
        </w:tc>
        <w:tc>
          <w:tcPr>
            <w:tcW w:w="1023"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603</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151,99</w:t>
            </w:r>
          </w:p>
        </w:tc>
      </w:tr>
      <w:tr w:rsidR="00A131AD" w:rsidRPr="00081B73" w:rsidTr="001911A6">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4</w:t>
            </w:r>
          </w:p>
        </w:tc>
        <w:tc>
          <w:tcPr>
            <w:tcW w:w="1800"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Toxiinfectio alim.</w:t>
            </w:r>
          </w:p>
        </w:tc>
        <w:tc>
          <w:tcPr>
            <w:tcW w:w="1260"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486</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121,46</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4</w:t>
            </w:r>
          </w:p>
        </w:tc>
        <w:tc>
          <w:tcPr>
            <w:tcW w:w="2037"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sz w:val="20"/>
                <w:szCs w:val="20"/>
              </w:rPr>
              <w:t>Angina streptoc.</w:t>
            </w:r>
          </w:p>
        </w:tc>
        <w:tc>
          <w:tcPr>
            <w:tcW w:w="1023"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224</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56,46</w:t>
            </w:r>
          </w:p>
        </w:tc>
      </w:tr>
      <w:tr w:rsidR="00A131AD" w:rsidRPr="00081B73" w:rsidTr="001911A6">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5</w:t>
            </w:r>
          </w:p>
        </w:tc>
        <w:tc>
          <w:tcPr>
            <w:tcW w:w="1800"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Angina streptoc.</w:t>
            </w:r>
          </w:p>
        </w:tc>
        <w:tc>
          <w:tcPr>
            <w:tcW w:w="1260"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273</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68,23</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5</w:t>
            </w:r>
          </w:p>
        </w:tc>
        <w:tc>
          <w:tcPr>
            <w:tcW w:w="2037"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Scarlatina</w:t>
            </w:r>
          </w:p>
        </w:tc>
        <w:tc>
          <w:tcPr>
            <w:tcW w:w="1023"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204</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51,42</w:t>
            </w:r>
          </w:p>
        </w:tc>
      </w:tr>
      <w:tr w:rsidR="00A131AD" w:rsidRPr="00081B73" w:rsidTr="001911A6">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p>
        </w:tc>
        <w:tc>
          <w:tcPr>
            <w:tcW w:w="1800"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Ukupno 5 vodećih</w:t>
            </w:r>
          </w:p>
        </w:tc>
        <w:tc>
          <w:tcPr>
            <w:tcW w:w="1260"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3813</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952,94</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p>
        </w:tc>
        <w:tc>
          <w:tcPr>
            <w:tcW w:w="2037"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Ukupno 5 vodećih</w:t>
            </w:r>
          </w:p>
        </w:tc>
        <w:tc>
          <w:tcPr>
            <w:tcW w:w="1023"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10433</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2629,7</w:t>
            </w:r>
          </w:p>
        </w:tc>
      </w:tr>
      <w:tr w:rsidR="00A131AD" w:rsidRPr="00081B73" w:rsidTr="001911A6">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p>
        </w:tc>
        <w:tc>
          <w:tcPr>
            <w:tcW w:w="1800"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Sveukupno</w:t>
            </w:r>
          </w:p>
        </w:tc>
        <w:tc>
          <w:tcPr>
            <w:tcW w:w="1260"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4423</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1105,40</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p>
        </w:tc>
        <w:tc>
          <w:tcPr>
            <w:tcW w:w="2037"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Ukupno prijavljeno</w:t>
            </w:r>
          </w:p>
        </w:tc>
        <w:tc>
          <w:tcPr>
            <w:tcW w:w="1023"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11265</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2839,45</w:t>
            </w:r>
          </w:p>
        </w:tc>
      </w:tr>
    </w:tbl>
    <w:p w:rsidR="00A131AD" w:rsidRPr="00081B73" w:rsidRDefault="00A131AD" w:rsidP="000C0138">
      <w:pPr>
        <w:spacing w:line="276" w:lineRule="auto"/>
        <w:rPr>
          <w:rFonts w:ascii="Times New Roman" w:hAnsi="Times New Roman"/>
          <w:sz w:val="20"/>
          <w:szCs w:val="20"/>
          <w:lang w:val="bs-Latn-BA"/>
        </w:rPr>
      </w:pPr>
    </w:p>
    <w:p w:rsidR="00A131AD" w:rsidRPr="00081B73" w:rsidRDefault="00A131AD" w:rsidP="00CF03C8">
      <w:pPr>
        <w:pStyle w:val="refererere"/>
        <w:rPr>
          <w:color w:val="FF0000"/>
          <w:lang w:val="bs-Latn-BA"/>
        </w:rPr>
      </w:pPr>
      <w:r w:rsidRPr="00081B73">
        <w:rPr>
          <w:lang w:val="bs-Latn-BA"/>
        </w:rPr>
        <w:t>Tabl</w:t>
      </w:r>
      <w:r w:rsidR="00624C80">
        <w:rPr>
          <w:lang w:val="bs-Latn-BA"/>
        </w:rPr>
        <w:t>ic</w:t>
      </w:r>
      <w:r w:rsidRPr="00081B73">
        <w:rPr>
          <w:lang w:val="bs-Latn-BA"/>
        </w:rPr>
        <w:t>a 5: Prevalenc</w:t>
      </w:r>
      <w:r w:rsidR="00624C80">
        <w:rPr>
          <w:lang w:val="bs-Latn-BA"/>
        </w:rPr>
        <w:t>ij</w:t>
      </w:r>
      <w:r w:rsidRPr="00081B73">
        <w:rPr>
          <w:lang w:val="bs-Latn-BA"/>
        </w:rPr>
        <w:t>a nezaraznih bolesti za 2010 i  2015. godinu</w:t>
      </w:r>
    </w:p>
    <w:tbl>
      <w:tblPr>
        <w:tblW w:w="93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428"/>
        <w:gridCol w:w="2749"/>
        <w:gridCol w:w="2160"/>
      </w:tblGrid>
      <w:tr w:rsidR="00A131AD" w:rsidRPr="00081B73" w:rsidTr="001911A6">
        <w:trPr>
          <w:cantSplit/>
          <w:trHeight w:val="405"/>
        </w:trPr>
        <w:tc>
          <w:tcPr>
            <w:tcW w:w="4428" w:type="dxa"/>
            <w:vMerge w:val="restart"/>
            <w:shd w:val="clear" w:color="auto" w:fill="FFFF00"/>
            <w:vAlign w:val="center"/>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Bolest</w:t>
            </w:r>
          </w:p>
        </w:tc>
        <w:tc>
          <w:tcPr>
            <w:tcW w:w="2749"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2010.</w:t>
            </w:r>
          </w:p>
        </w:tc>
        <w:tc>
          <w:tcPr>
            <w:tcW w:w="2160"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2015.</w:t>
            </w:r>
          </w:p>
        </w:tc>
      </w:tr>
      <w:tr w:rsidR="00A131AD" w:rsidRPr="00081B73" w:rsidTr="001911A6">
        <w:trPr>
          <w:cantSplit/>
          <w:trHeight w:val="345"/>
        </w:trPr>
        <w:tc>
          <w:tcPr>
            <w:tcW w:w="4428" w:type="dxa"/>
            <w:vMerge/>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p>
        </w:tc>
        <w:tc>
          <w:tcPr>
            <w:tcW w:w="2749"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Morbiditet</w:t>
            </w:r>
            <w:r w:rsidRPr="00081B73">
              <w:rPr>
                <w:rFonts w:ascii="Times New Roman" w:hAnsi="Times New Roman"/>
                <w:bCs/>
                <w:sz w:val="20"/>
                <w:szCs w:val="20"/>
                <w:lang w:val="bs-Latn-BA"/>
              </w:rPr>
              <w:br/>
              <w:t>/10.000</w:t>
            </w:r>
          </w:p>
        </w:tc>
        <w:tc>
          <w:tcPr>
            <w:tcW w:w="2160"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Morbiditet</w:t>
            </w:r>
            <w:r w:rsidRPr="00081B73">
              <w:rPr>
                <w:rFonts w:ascii="Times New Roman" w:hAnsi="Times New Roman"/>
                <w:bCs/>
                <w:sz w:val="20"/>
                <w:szCs w:val="20"/>
                <w:lang w:val="bs-Latn-BA"/>
              </w:rPr>
              <w:br/>
              <w:t>/10.000</w:t>
            </w:r>
          </w:p>
        </w:tc>
      </w:tr>
      <w:tr w:rsidR="00A131AD" w:rsidRPr="00081B73" w:rsidTr="001911A6">
        <w:tc>
          <w:tcPr>
            <w:tcW w:w="442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Kardiovaskularne (I00-I99)</w:t>
            </w:r>
          </w:p>
        </w:tc>
        <w:tc>
          <w:tcPr>
            <w:tcW w:w="2749"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1.109,2</w:t>
            </w:r>
          </w:p>
        </w:tc>
        <w:tc>
          <w:tcPr>
            <w:tcW w:w="216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1479,3</w:t>
            </w:r>
          </w:p>
        </w:tc>
      </w:tr>
      <w:tr w:rsidR="00A131AD" w:rsidRPr="00081B73" w:rsidTr="001911A6">
        <w:tc>
          <w:tcPr>
            <w:tcW w:w="442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Maligne neoplazme (C00-C97)</w:t>
            </w:r>
          </w:p>
        </w:tc>
        <w:tc>
          <w:tcPr>
            <w:tcW w:w="2749"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45,6</w:t>
            </w:r>
          </w:p>
        </w:tc>
        <w:tc>
          <w:tcPr>
            <w:tcW w:w="216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60,5</w:t>
            </w:r>
          </w:p>
        </w:tc>
      </w:tr>
      <w:tr w:rsidR="00A131AD" w:rsidRPr="00081B73" w:rsidTr="001911A6">
        <w:tc>
          <w:tcPr>
            <w:tcW w:w="442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Diabetes mellitus (E10-E14)</w:t>
            </w:r>
          </w:p>
        </w:tc>
        <w:tc>
          <w:tcPr>
            <w:tcW w:w="2749"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247,2</w:t>
            </w:r>
          </w:p>
        </w:tc>
        <w:tc>
          <w:tcPr>
            <w:tcW w:w="216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313,8</w:t>
            </w:r>
          </w:p>
        </w:tc>
      </w:tr>
      <w:tr w:rsidR="00A131AD" w:rsidRPr="00081B73" w:rsidTr="001911A6">
        <w:tc>
          <w:tcPr>
            <w:tcW w:w="4428" w:type="dxa"/>
          </w:tcPr>
          <w:p w:rsidR="00A131AD" w:rsidRPr="00081B73" w:rsidRDefault="00624C80" w:rsidP="000C0138">
            <w:pPr>
              <w:spacing w:line="276" w:lineRule="auto"/>
              <w:rPr>
                <w:rFonts w:ascii="Times New Roman" w:hAnsi="Times New Roman"/>
                <w:sz w:val="20"/>
                <w:szCs w:val="20"/>
                <w:lang w:val="bs-Latn-BA"/>
              </w:rPr>
            </w:pPr>
            <w:r>
              <w:rPr>
                <w:rFonts w:ascii="Times New Roman" w:hAnsi="Times New Roman"/>
                <w:sz w:val="20"/>
                <w:szCs w:val="20"/>
                <w:lang w:val="bs-Latn-BA"/>
              </w:rPr>
              <w:t>K</w:t>
            </w:r>
            <w:r w:rsidR="00A131AD" w:rsidRPr="00081B73">
              <w:rPr>
                <w:rFonts w:ascii="Times New Roman" w:hAnsi="Times New Roman"/>
                <w:sz w:val="20"/>
                <w:szCs w:val="20"/>
                <w:lang w:val="bs-Latn-BA"/>
              </w:rPr>
              <w:t>ronične plućne opstruktivne (J40-J46)</w:t>
            </w:r>
          </w:p>
        </w:tc>
        <w:tc>
          <w:tcPr>
            <w:tcW w:w="2749"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169,5</w:t>
            </w:r>
          </w:p>
        </w:tc>
        <w:tc>
          <w:tcPr>
            <w:tcW w:w="2160" w:type="dxa"/>
          </w:tcPr>
          <w:p w:rsidR="00A131AD" w:rsidRPr="00081B73" w:rsidRDefault="00A131AD" w:rsidP="000C0138">
            <w:pPr>
              <w:tabs>
                <w:tab w:val="left" w:pos="390"/>
              </w:tabs>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200,3</w:t>
            </w:r>
          </w:p>
        </w:tc>
      </w:tr>
      <w:tr w:rsidR="00A131AD" w:rsidRPr="00081B73" w:rsidTr="001911A6">
        <w:tc>
          <w:tcPr>
            <w:tcW w:w="442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Mentalne (F00-F99)</w:t>
            </w:r>
          </w:p>
        </w:tc>
        <w:tc>
          <w:tcPr>
            <w:tcW w:w="2749"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261,7</w:t>
            </w:r>
          </w:p>
        </w:tc>
        <w:tc>
          <w:tcPr>
            <w:tcW w:w="216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333,3</w:t>
            </w:r>
          </w:p>
        </w:tc>
      </w:tr>
      <w:tr w:rsidR="00A131AD" w:rsidRPr="00081B73" w:rsidTr="001911A6">
        <w:tc>
          <w:tcPr>
            <w:tcW w:w="442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Koštano-mišićne (M00-M99)</w:t>
            </w:r>
          </w:p>
        </w:tc>
        <w:tc>
          <w:tcPr>
            <w:tcW w:w="2749"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632,7</w:t>
            </w:r>
          </w:p>
        </w:tc>
        <w:tc>
          <w:tcPr>
            <w:tcW w:w="216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862,0</w:t>
            </w:r>
          </w:p>
        </w:tc>
      </w:tr>
    </w:tbl>
    <w:p w:rsidR="00A131AD" w:rsidRPr="00081B73" w:rsidRDefault="00A131AD" w:rsidP="000C0138">
      <w:pPr>
        <w:spacing w:line="276" w:lineRule="auto"/>
        <w:rPr>
          <w:rFonts w:ascii="Times New Roman" w:hAnsi="Times New Roman"/>
          <w:sz w:val="20"/>
          <w:szCs w:val="20"/>
          <w:lang w:val="bs-Latn-BA"/>
        </w:rPr>
      </w:pPr>
    </w:p>
    <w:p w:rsidR="00CF03C8" w:rsidRPr="00081B73" w:rsidRDefault="00CF03C8" w:rsidP="000C0138">
      <w:pPr>
        <w:spacing w:line="276" w:lineRule="auto"/>
        <w:rPr>
          <w:rFonts w:ascii="Times New Roman" w:hAnsi="Times New Roman"/>
          <w:sz w:val="20"/>
          <w:szCs w:val="20"/>
          <w:lang w:val="bs-Latn-BA"/>
        </w:rPr>
      </w:pPr>
    </w:p>
    <w:p w:rsidR="00A131AD" w:rsidRPr="00081B73" w:rsidRDefault="00A131AD" w:rsidP="00CF03C8">
      <w:pPr>
        <w:pStyle w:val="refererere"/>
        <w:rPr>
          <w:lang w:val="bs-Latn-BA"/>
        </w:rPr>
      </w:pPr>
      <w:r w:rsidRPr="00081B73">
        <w:rPr>
          <w:lang w:val="bs-Latn-BA"/>
        </w:rPr>
        <w:t>Tabl</w:t>
      </w:r>
      <w:r w:rsidR="00624C80">
        <w:rPr>
          <w:lang w:val="bs-Latn-BA"/>
        </w:rPr>
        <w:t>ica</w:t>
      </w:r>
      <w:r w:rsidRPr="00081B73">
        <w:rPr>
          <w:lang w:val="bs-Latn-BA"/>
        </w:rPr>
        <w:t xml:space="preserve"> 6:  Okolinski zdravstveni indikatori</w:t>
      </w:r>
    </w:p>
    <w:tbl>
      <w:tblPr>
        <w:tblW w:w="93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68"/>
        <w:gridCol w:w="1969"/>
        <w:gridCol w:w="1622"/>
        <w:gridCol w:w="1401"/>
        <w:gridCol w:w="1401"/>
        <w:gridCol w:w="1571"/>
      </w:tblGrid>
      <w:tr w:rsidR="00A131AD" w:rsidRPr="00081B73" w:rsidTr="001911A6">
        <w:trPr>
          <w:cantSplit/>
        </w:trPr>
        <w:tc>
          <w:tcPr>
            <w:tcW w:w="1368" w:type="dxa"/>
            <w:vMerge w:val="restart"/>
            <w:shd w:val="clear" w:color="auto" w:fill="FFFF00"/>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b/>
                <w:bCs/>
                <w:sz w:val="20"/>
                <w:szCs w:val="20"/>
                <w:lang w:val="bs-Latn-BA"/>
              </w:rPr>
              <w:t>Zeničko-dobojski kanton</w:t>
            </w:r>
            <w:r w:rsidRPr="00081B73">
              <w:rPr>
                <w:rFonts w:ascii="Times New Roman" w:hAnsi="Times New Roman"/>
                <w:sz w:val="20"/>
                <w:szCs w:val="20"/>
                <w:lang w:val="bs-Latn-BA"/>
              </w:rPr>
              <w:t xml:space="preserve"> </w:t>
            </w:r>
          </w:p>
        </w:tc>
        <w:tc>
          <w:tcPr>
            <w:tcW w:w="1969" w:type="dxa"/>
            <w:shd w:val="clear" w:color="auto" w:fill="FFFF00"/>
            <w:vAlign w:val="center"/>
          </w:tcPr>
          <w:p w:rsidR="00A131AD" w:rsidRPr="00081B73" w:rsidRDefault="00A131AD" w:rsidP="00624C80">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 xml:space="preserve">% stanovništva priključen na </w:t>
            </w:r>
            <w:r w:rsidR="00624C80">
              <w:rPr>
                <w:rFonts w:ascii="Times New Roman" w:hAnsi="Times New Roman"/>
                <w:sz w:val="20"/>
                <w:szCs w:val="20"/>
                <w:lang w:val="bs-Latn-BA"/>
              </w:rPr>
              <w:t>središnji</w:t>
            </w:r>
            <w:r w:rsidRPr="00081B73">
              <w:rPr>
                <w:rFonts w:ascii="Times New Roman" w:hAnsi="Times New Roman"/>
                <w:sz w:val="20"/>
                <w:szCs w:val="20"/>
                <w:lang w:val="bs-Latn-BA"/>
              </w:rPr>
              <w:t xml:space="preserve"> s</w:t>
            </w:r>
            <w:r w:rsidR="00624C80">
              <w:rPr>
                <w:rFonts w:ascii="Times New Roman" w:hAnsi="Times New Roman"/>
                <w:sz w:val="20"/>
                <w:szCs w:val="20"/>
                <w:lang w:val="bs-Latn-BA"/>
              </w:rPr>
              <w:t>ustav</w:t>
            </w:r>
            <w:r w:rsidRPr="00081B73">
              <w:rPr>
                <w:rFonts w:ascii="Times New Roman" w:hAnsi="Times New Roman"/>
                <w:sz w:val="20"/>
                <w:szCs w:val="20"/>
                <w:lang w:val="bs-Latn-BA"/>
              </w:rPr>
              <w:t xml:space="preserve"> vodo</w:t>
            </w:r>
            <w:r w:rsidR="00624C80">
              <w:rPr>
                <w:rFonts w:ascii="Times New Roman" w:hAnsi="Times New Roman"/>
                <w:sz w:val="20"/>
                <w:szCs w:val="20"/>
                <w:lang w:val="bs-Latn-BA"/>
              </w:rPr>
              <w:t>opskrbe</w:t>
            </w:r>
          </w:p>
        </w:tc>
        <w:tc>
          <w:tcPr>
            <w:tcW w:w="1622" w:type="dxa"/>
            <w:shd w:val="clear" w:color="auto" w:fill="FFFF00"/>
            <w:vAlign w:val="center"/>
          </w:tcPr>
          <w:p w:rsidR="00A131AD" w:rsidRPr="00081B73" w:rsidRDefault="00A131AD" w:rsidP="00624C80">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 stanovništva priključen na kanalizaci</w:t>
            </w:r>
            <w:r w:rsidR="00624C80">
              <w:rPr>
                <w:rFonts w:ascii="Times New Roman" w:hAnsi="Times New Roman"/>
                <w:sz w:val="20"/>
                <w:szCs w:val="20"/>
                <w:lang w:val="bs-Latn-BA"/>
              </w:rPr>
              <w:t>jski</w:t>
            </w:r>
            <w:r w:rsidRPr="00081B73">
              <w:rPr>
                <w:rFonts w:ascii="Times New Roman" w:hAnsi="Times New Roman"/>
                <w:sz w:val="20"/>
                <w:szCs w:val="20"/>
                <w:lang w:val="bs-Latn-BA"/>
              </w:rPr>
              <w:t xml:space="preserve"> s</w:t>
            </w:r>
            <w:r w:rsidR="00624C80">
              <w:rPr>
                <w:rFonts w:ascii="Times New Roman" w:hAnsi="Times New Roman"/>
                <w:sz w:val="20"/>
                <w:szCs w:val="20"/>
                <w:lang w:val="bs-Latn-BA"/>
              </w:rPr>
              <w:t>ustav</w:t>
            </w:r>
          </w:p>
        </w:tc>
        <w:tc>
          <w:tcPr>
            <w:tcW w:w="1401" w:type="dxa"/>
            <w:shd w:val="clear" w:color="auto" w:fill="FFFF00"/>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Mjerenje koncentracije SO</w:t>
            </w:r>
            <w:r w:rsidRPr="00081B73">
              <w:rPr>
                <w:rFonts w:ascii="Times New Roman" w:hAnsi="Times New Roman"/>
                <w:sz w:val="20"/>
                <w:szCs w:val="20"/>
                <w:vertAlign w:val="subscript"/>
                <w:lang w:val="bs-Latn-BA"/>
              </w:rPr>
              <w:t>2</w:t>
            </w:r>
            <w:r w:rsidRPr="00081B73">
              <w:rPr>
                <w:rFonts w:ascii="Times New Roman" w:hAnsi="Times New Roman"/>
                <w:sz w:val="20"/>
                <w:szCs w:val="20"/>
                <w:lang w:val="bs-Latn-BA"/>
              </w:rPr>
              <w:t xml:space="preserve"> u zraku</w:t>
            </w:r>
          </w:p>
        </w:tc>
        <w:tc>
          <w:tcPr>
            <w:tcW w:w="1401" w:type="dxa"/>
            <w:shd w:val="clear" w:color="auto" w:fill="FFFF00"/>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Mjerenje koncentracije NO</w:t>
            </w:r>
            <w:r w:rsidRPr="00081B73">
              <w:rPr>
                <w:rFonts w:ascii="Times New Roman" w:hAnsi="Times New Roman"/>
                <w:sz w:val="20"/>
                <w:szCs w:val="20"/>
                <w:vertAlign w:val="subscript"/>
                <w:lang w:val="bs-Latn-BA"/>
              </w:rPr>
              <w:t>2</w:t>
            </w:r>
            <w:r w:rsidRPr="00081B73">
              <w:rPr>
                <w:rFonts w:ascii="Times New Roman" w:hAnsi="Times New Roman"/>
                <w:sz w:val="20"/>
                <w:szCs w:val="20"/>
                <w:lang w:val="bs-Latn-BA"/>
              </w:rPr>
              <w:t xml:space="preserve"> u zraku</w:t>
            </w:r>
          </w:p>
        </w:tc>
        <w:tc>
          <w:tcPr>
            <w:tcW w:w="1571" w:type="dxa"/>
            <w:shd w:val="clear" w:color="auto" w:fill="FFFF00"/>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Mjerenje koncentracije dima u zraku</w:t>
            </w:r>
          </w:p>
        </w:tc>
      </w:tr>
      <w:tr w:rsidR="00A131AD" w:rsidRPr="00081B73" w:rsidTr="001911A6">
        <w:trPr>
          <w:cantSplit/>
          <w:trHeight w:val="431"/>
        </w:trPr>
        <w:tc>
          <w:tcPr>
            <w:tcW w:w="1368" w:type="dxa"/>
            <w:vMerge/>
            <w:vAlign w:val="center"/>
          </w:tcPr>
          <w:p w:rsidR="00A131AD" w:rsidRPr="00081B73" w:rsidRDefault="00A131AD" w:rsidP="000C0138">
            <w:pPr>
              <w:spacing w:line="276" w:lineRule="auto"/>
              <w:jc w:val="center"/>
              <w:rPr>
                <w:rFonts w:ascii="Times New Roman" w:hAnsi="Times New Roman"/>
                <w:sz w:val="20"/>
                <w:szCs w:val="20"/>
                <w:lang w:val="bs-Latn-BA"/>
              </w:rPr>
            </w:pPr>
          </w:p>
        </w:tc>
        <w:tc>
          <w:tcPr>
            <w:tcW w:w="1969" w:type="dxa"/>
            <w:vAlign w:val="center"/>
          </w:tcPr>
          <w:p w:rsidR="00A131AD" w:rsidRPr="00081B73" w:rsidRDefault="00A131AD" w:rsidP="000C0138">
            <w:pPr>
              <w:spacing w:line="276" w:lineRule="auto"/>
              <w:jc w:val="center"/>
              <w:rPr>
                <w:rFonts w:ascii="Times New Roman" w:hAnsi="Times New Roman"/>
                <w:sz w:val="20"/>
                <w:szCs w:val="20"/>
                <w:lang w:val="bs-Latn-BA"/>
              </w:rPr>
            </w:pPr>
          </w:p>
        </w:tc>
        <w:tc>
          <w:tcPr>
            <w:tcW w:w="1622" w:type="dxa"/>
            <w:vAlign w:val="center"/>
          </w:tcPr>
          <w:p w:rsidR="00A131AD" w:rsidRPr="00081B73" w:rsidRDefault="00A131AD" w:rsidP="000C0138">
            <w:pPr>
              <w:spacing w:line="276" w:lineRule="auto"/>
              <w:jc w:val="center"/>
              <w:rPr>
                <w:rFonts w:ascii="Times New Roman" w:hAnsi="Times New Roman"/>
                <w:sz w:val="20"/>
                <w:szCs w:val="20"/>
                <w:lang w:val="bs-Latn-BA"/>
              </w:rPr>
            </w:pPr>
          </w:p>
        </w:tc>
        <w:tc>
          <w:tcPr>
            <w:tcW w:w="1401" w:type="dxa"/>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mjeri se</w:t>
            </w:r>
          </w:p>
        </w:tc>
        <w:tc>
          <w:tcPr>
            <w:tcW w:w="1401" w:type="dxa"/>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ne mjeri se</w:t>
            </w:r>
          </w:p>
        </w:tc>
        <w:tc>
          <w:tcPr>
            <w:tcW w:w="1571" w:type="dxa"/>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 xml:space="preserve"> mjeri se</w:t>
            </w:r>
          </w:p>
        </w:tc>
      </w:tr>
    </w:tbl>
    <w:p w:rsidR="00A131AD" w:rsidRPr="00081B73" w:rsidRDefault="00A131AD" w:rsidP="000C0138">
      <w:pPr>
        <w:spacing w:line="276" w:lineRule="auto"/>
        <w:rPr>
          <w:rFonts w:ascii="Times New Roman" w:hAnsi="Times New Roman"/>
          <w:sz w:val="20"/>
          <w:szCs w:val="20"/>
          <w:lang w:val="bs-Latn-BA"/>
        </w:rPr>
      </w:pPr>
    </w:p>
    <w:p w:rsidR="00A131AD" w:rsidRPr="00081B73" w:rsidRDefault="00A131AD" w:rsidP="00CF03C8">
      <w:pPr>
        <w:pStyle w:val="refererere"/>
        <w:rPr>
          <w:lang w:val="bs-Latn-BA"/>
        </w:rPr>
      </w:pPr>
      <w:r w:rsidRPr="00081B73">
        <w:rPr>
          <w:lang w:val="bs-Latn-BA"/>
        </w:rPr>
        <w:t>Tabl</w:t>
      </w:r>
      <w:r w:rsidR="00FE3B0D">
        <w:rPr>
          <w:lang w:val="bs-Latn-BA"/>
        </w:rPr>
        <w:t>ic</w:t>
      </w:r>
      <w:r w:rsidRPr="00081B73">
        <w:rPr>
          <w:lang w:val="bs-Latn-BA"/>
        </w:rPr>
        <w:t>a 7: Zdravstvena zaštita za 2010 i  2015. godinu</w:t>
      </w: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01"/>
        <w:gridCol w:w="8"/>
        <w:gridCol w:w="3807"/>
        <w:gridCol w:w="2279"/>
        <w:gridCol w:w="2293"/>
      </w:tblGrid>
      <w:tr w:rsidR="00A131AD" w:rsidRPr="00081B73" w:rsidTr="001911A6">
        <w:trPr>
          <w:trHeight w:val="509"/>
        </w:trPr>
        <w:tc>
          <w:tcPr>
            <w:tcW w:w="4716" w:type="dxa"/>
            <w:gridSpan w:val="3"/>
            <w:shd w:val="clear" w:color="auto" w:fill="FFFF00"/>
            <w:vAlign w:val="center"/>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sz w:val="20"/>
                <w:szCs w:val="20"/>
                <w:lang w:val="bs-Latn-BA"/>
              </w:rPr>
              <w:t>Broj</w:t>
            </w:r>
          </w:p>
        </w:tc>
        <w:tc>
          <w:tcPr>
            <w:tcW w:w="2279"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2010.</w:t>
            </w:r>
          </w:p>
        </w:tc>
        <w:tc>
          <w:tcPr>
            <w:tcW w:w="2293"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2015.</w:t>
            </w:r>
          </w:p>
        </w:tc>
      </w:tr>
      <w:tr w:rsidR="00A131AD" w:rsidRPr="00081B73" w:rsidTr="001911A6">
        <w:trPr>
          <w:cantSplit/>
        </w:trPr>
        <w:tc>
          <w:tcPr>
            <w:tcW w:w="909" w:type="dxa"/>
            <w:gridSpan w:val="2"/>
            <w:vMerge w:val="restart"/>
            <w:tcBorders>
              <w:top w:val="single" w:sz="4" w:space="0" w:color="auto"/>
              <w:left w:val="single" w:sz="4" w:space="0" w:color="auto"/>
              <w:bottom w:val="nil"/>
              <w:right w:val="single" w:sz="4" w:space="0" w:color="auto"/>
            </w:tcBorders>
            <w:vAlign w:val="bottom"/>
          </w:tcPr>
          <w:p w:rsidR="00A131AD" w:rsidRPr="00081B73" w:rsidRDefault="00A131AD" w:rsidP="000C0138">
            <w:pPr>
              <w:pStyle w:val="NormalWeb"/>
              <w:spacing w:before="0" w:beforeAutospacing="0" w:after="0" w:afterAutospacing="0" w:line="276" w:lineRule="auto"/>
              <w:rPr>
                <w:sz w:val="20"/>
                <w:szCs w:val="20"/>
                <w:lang w:val="bs-Latn-BA"/>
              </w:rPr>
            </w:pPr>
            <w:r w:rsidRPr="00081B73">
              <w:rPr>
                <w:sz w:val="20"/>
                <w:szCs w:val="20"/>
                <w:lang w:val="bs-Latn-BA"/>
              </w:rPr>
              <w:t>PZZ</w:t>
            </w:r>
          </w:p>
        </w:tc>
        <w:tc>
          <w:tcPr>
            <w:tcW w:w="3807" w:type="dxa"/>
            <w:tcBorders>
              <w:left w:val="single" w:sz="4" w:space="0" w:color="auto"/>
            </w:tcBorders>
          </w:tcPr>
          <w:p w:rsidR="00A131AD" w:rsidRPr="00081B73" w:rsidRDefault="00A131AD" w:rsidP="000C0138">
            <w:pPr>
              <w:pStyle w:val="NormalWeb"/>
              <w:spacing w:before="0" w:beforeAutospacing="0" w:after="0" w:afterAutospacing="0" w:line="276" w:lineRule="auto"/>
              <w:rPr>
                <w:sz w:val="20"/>
                <w:szCs w:val="20"/>
                <w:lang w:val="bs-Latn-BA"/>
              </w:rPr>
            </w:pPr>
            <w:r w:rsidRPr="00081B73">
              <w:rPr>
                <w:sz w:val="20"/>
                <w:szCs w:val="20"/>
                <w:lang w:val="bs-Latn-BA"/>
              </w:rPr>
              <w:t>ordinacije PZZ</w:t>
            </w:r>
          </w:p>
        </w:tc>
        <w:tc>
          <w:tcPr>
            <w:tcW w:w="2279" w:type="dxa"/>
            <w:vAlign w:val="center"/>
          </w:tcPr>
          <w:p w:rsidR="00A131AD" w:rsidRPr="00081B73" w:rsidRDefault="00A131AD" w:rsidP="000C0138">
            <w:pPr>
              <w:pStyle w:val="NormalWeb"/>
              <w:spacing w:line="276" w:lineRule="auto"/>
              <w:jc w:val="right"/>
              <w:rPr>
                <w:sz w:val="20"/>
                <w:szCs w:val="20"/>
                <w:lang w:val="bs-Latn-BA"/>
              </w:rPr>
            </w:pPr>
            <w:r w:rsidRPr="00081B73">
              <w:rPr>
                <w:sz w:val="20"/>
                <w:szCs w:val="20"/>
                <w:lang w:val="bs-Latn-BA"/>
              </w:rPr>
              <w:t>223</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245</w:t>
            </w:r>
          </w:p>
        </w:tc>
      </w:tr>
      <w:tr w:rsidR="00A131AD" w:rsidRPr="00081B73" w:rsidTr="001911A6">
        <w:trPr>
          <w:cantSplit/>
        </w:trPr>
        <w:tc>
          <w:tcPr>
            <w:tcW w:w="909" w:type="dxa"/>
            <w:gridSpan w:val="2"/>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07" w:type="dxa"/>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stomatološke ordinacije/stolice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40</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41</w:t>
            </w:r>
          </w:p>
        </w:tc>
      </w:tr>
      <w:tr w:rsidR="00A131AD" w:rsidRPr="00081B73" w:rsidTr="001911A6">
        <w:trPr>
          <w:cantSplit/>
        </w:trPr>
        <w:tc>
          <w:tcPr>
            <w:tcW w:w="909" w:type="dxa"/>
            <w:gridSpan w:val="2"/>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07" w:type="dxa"/>
            <w:tcBorders>
              <w:left w:val="single" w:sz="4" w:space="0" w:color="auto"/>
            </w:tcBorders>
          </w:tcPr>
          <w:p w:rsidR="00A131AD" w:rsidRPr="00081B73" w:rsidRDefault="00624C80" w:rsidP="000C0138">
            <w:pPr>
              <w:spacing w:line="276" w:lineRule="auto"/>
              <w:rPr>
                <w:rFonts w:ascii="Times New Roman" w:hAnsi="Times New Roman"/>
                <w:sz w:val="20"/>
                <w:szCs w:val="20"/>
                <w:lang w:val="bs-Latn-BA"/>
              </w:rPr>
            </w:pPr>
            <w:r>
              <w:rPr>
                <w:rFonts w:ascii="Times New Roman" w:hAnsi="Times New Roman"/>
                <w:sz w:val="20"/>
                <w:szCs w:val="20"/>
                <w:lang w:val="bs-Latn-BA"/>
              </w:rPr>
              <w:t>ljekarne</w:t>
            </w:r>
            <w:r w:rsidR="00A131AD" w:rsidRPr="00081B73">
              <w:rPr>
                <w:rFonts w:ascii="Times New Roman" w:hAnsi="Times New Roman"/>
                <w:sz w:val="20"/>
                <w:szCs w:val="20"/>
                <w:lang w:val="bs-Latn-BA"/>
              </w:rPr>
              <w:t xml:space="preserve"> u javnom sektoru</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8</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10</w:t>
            </w:r>
          </w:p>
        </w:tc>
      </w:tr>
      <w:tr w:rsidR="00A131AD" w:rsidRPr="00081B73" w:rsidTr="001911A6">
        <w:trPr>
          <w:cantSplit/>
        </w:trPr>
        <w:tc>
          <w:tcPr>
            <w:tcW w:w="901" w:type="dxa"/>
            <w:vMerge w:val="restart"/>
            <w:tcBorders>
              <w:top w:val="nil"/>
              <w:left w:val="single" w:sz="4" w:space="0" w:color="auto"/>
              <w:bottom w:val="nil"/>
              <w:right w:val="single" w:sz="4" w:space="0" w:color="auto"/>
            </w:tcBorders>
            <w:vAlign w:val="center"/>
          </w:tcPr>
          <w:p w:rsidR="00A131AD" w:rsidRPr="00081B73" w:rsidRDefault="00A131AD" w:rsidP="000C0138">
            <w:pPr>
              <w:spacing w:line="276" w:lineRule="auto"/>
              <w:jc w:val="left"/>
              <w:rPr>
                <w:rFonts w:ascii="Times New Roman" w:hAnsi="Times New Roman"/>
                <w:sz w:val="20"/>
                <w:szCs w:val="20"/>
                <w:lang w:val="bs-Latn-BA"/>
              </w:rPr>
            </w:pPr>
          </w:p>
        </w:tc>
        <w:tc>
          <w:tcPr>
            <w:tcW w:w="381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dr medicine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212</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253</w:t>
            </w:r>
          </w:p>
        </w:tc>
      </w:tr>
      <w:tr w:rsidR="00A131AD" w:rsidRPr="00081B73" w:rsidTr="001911A6">
        <w:trPr>
          <w:cantSplit/>
        </w:trPr>
        <w:tc>
          <w:tcPr>
            <w:tcW w:w="901" w:type="dxa"/>
            <w:vMerge/>
            <w:tcBorders>
              <w:top w:val="nil"/>
              <w:left w:val="single" w:sz="4" w:space="0" w:color="auto"/>
              <w:bottom w:val="nil"/>
              <w:right w:val="single" w:sz="4" w:space="0" w:color="auto"/>
            </w:tcBorders>
            <w:vAlign w:val="center"/>
          </w:tcPr>
          <w:p w:rsidR="00A131AD" w:rsidRPr="00081B73" w:rsidRDefault="00A131AD" w:rsidP="000C0138">
            <w:pPr>
              <w:spacing w:line="276" w:lineRule="auto"/>
              <w:jc w:val="left"/>
              <w:rPr>
                <w:rFonts w:ascii="Times New Roman" w:hAnsi="Times New Roman"/>
                <w:sz w:val="20"/>
                <w:szCs w:val="20"/>
                <w:lang w:val="bs-Latn-BA"/>
              </w:rPr>
            </w:pPr>
          </w:p>
        </w:tc>
        <w:tc>
          <w:tcPr>
            <w:tcW w:w="381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zdravstveni tehničari/sestre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484</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503</w:t>
            </w:r>
          </w:p>
        </w:tc>
      </w:tr>
      <w:tr w:rsidR="00A131AD" w:rsidRPr="00081B73" w:rsidTr="001911A6">
        <w:trPr>
          <w:cantSplit/>
        </w:trPr>
        <w:tc>
          <w:tcPr>
            <w:tcW w:w="901" w:type="dxa"/>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1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dr stomatologije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47</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47</w:t>
            </w:r>
          </w:p>
        </w:tc>
      </w:tr>
      <w:tr w:rsidR="00A131AD" w:rsidRPr="00081B73" w:rsidTr="001911A6">
        <w:trPr>
          <w:cantSplit/>
        </w:trPr>
        <w:tc>
          <w:tcPr>
            <w:tcW w:w="901" w:type="dxa"/>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1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stomatološki tehničari/sestre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82</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70</w:t>
            </w:r>
          </w:p>
        </w:tc>
      </w:tr>
      <w:tr w:rsidR="00A131AD" w:rsidRPr="00081B73" w:rsidTr="001911A6">
        <w:trPr>
          <w:cantSplit/>
        </w:trPr>
        <w:tc>
          <w:tcPr>
            <w:tcW w:w="901" w:type="dxa"/>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1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magistri farmacije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22</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33</w:t>
            </w:r>
          </w:p>
        </w:tc>
      </w:tr>
      <w:tr w:rsidR="00A131AD" w:rsidRPr="00081B73" w:rsidTr="001911A6">
        <w:trPr>
          <w:cantSplit/>
        </w:trPr>
        <w:tc>
          <w:tcPr>
            <w:tcW w:w="901" w:type="dxa"/>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1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farmaceutski tehničari</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16</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18</w:t>
            </w:r>
          </w:p>
        </w:tc>
      </w:tr>
      <w:tr w:rsidR="00A131AD" w:rsidRPr="00081B73" w:rsidTr="001911A6">
        <w:trPr>
          <w:trHeight w:val="582"/>
        </w:trPr>
        <w:tc>
          <w:tcPr>
            <w:tcW w:w="901" w:type="dxa"/>
            <w:vAlign w:val="center"/>
          </w:tcPr>
          <w:p w:rsidR="00A131AD" w:rsidRPr="00081B73" w:rsidRDefault="00A131AD" w:rsidP="000C0138">
            <w:pPr>
              <w:spacing w:line="276" w:lineRule="auto"/>
              <w:jc w:val="left"/>
              <w:rPr>
                <w:rFonts w:ascii="Times New Roman" w:hAnsi="Times New Roman"/>
                <w:sz w:val="20"/>
                <w:szCs w:val="20"/>
                <w:lang w:val="bs-Latn-BA"/>
              </w:rPr>
            </w:pPr>
            <w:r w:rsidRPr="00081B73">
              <w:rPr>
                <w:rFonts w:ascii="Times New Roman" w:hAnsi="Times New Roman"/>
                <w:sz w:val="20"/>
                <w:szCs w:val="20"/>
                <w:lang w:val="bs-Latn-BA"/>
              </w:rPr>
              <w:t>Bolnice</w:t>
            </w:r>
          </w:p>
        </w:tc>
        <w:tc>
          <w:tcPr>
            <w:tcW w:w="3815" w:type="dxa"/>
            <w:gridSpan w:val="2"/>
            <w:vAlign w:val="center"/>
          </w:tcPr>
          <w:p w:rsidR="00A131AD" w:rsidRPr="00081B73" w:rsidRDefault="00A131AD" w:rsidP="000C0138">
            <w:pPr>
              <w:spacing w:line="276" w:lineRule="auto"/>
              <w:jc w:val="left"/>
              <w:rPr>
                <w:rFonts w:ascii="Times New Roman" w:hAnsi="Times New Roman"/>
                <w:sz w:val="20"/>
                <w:szCs w:val="20"/>
                <w:lang w:val="bs-Latn-BA"/>
              </w:rPr>
            </w:pPr>
            <w:r w:rsidRPr="00081B73">
              <w:rPr>
                <w:rFonts w:ascii="Times New Roman" w:hAnsi="Times New Roman"/>
                <w:sz w:val="20"/>
                <w:szCs w:val="20"/>
                <w:lang w:val="bs-Latn-BA"/>
              </w:rPr>
              <w:t>bolničke postelje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1095</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1153</w:t>
            </w:r>
          </w:p>
        </w:tc>
      </w:tr>
    </w:tbl>
    <w:p w:rsidR="00A131AD" w:rsidRPr="00081B73" w:rsidRDefault="00A131AD" w:rsidP="000C0138">
      <w:pPr>
        <w:spacing w:line="276" w:lineRule="auto"/>
        <w:rPr>
          <w:rFonts w:ascii="Times New Roman" w:hAnsi="Times New Roman"/>
          <w:sz w:val="20"/>
          <w:szCs w:val="20"/>
          <w:lang w:val="bs-Latn-BA"/>
        </w:rPr>
      </w:pPr>
    </w:p>
    <w:p w:rsidR="00A131AD" w:rsidRPr="00081B73" w:rsidRDefault="00A131AD" w:rsidP="000C0138">
      <w:pPr>
        <w:spacing w:after="160" w:line="276" w:lineRule="auto"/>
        <w:jc w:val="left"/>
        <w:rPr>
          <w:rFonts w:ascii="Times New Roman" w:hAnsi="Times New Roman"/>
          <w:b/>
          <w:bCs/>
          <w:sz w:val="20"/>
          <w:szCs w:val="20"/>
          <w:lang w:val="bs-Latn-BA"/>
        </w:rPr>
      </w:pPr>
      <w:r w:rsidRPr="00081B73">
        <w:rPr>
          <w:rFonts w:ascii="Times New Roman" w:hAnsi="Times New Roman"/>
          <w:b/>
          <w:bCs/>
          <w:sz w:val="20"/>
          <w:szCs w:val="20"/>
          <w:lang w:val="bs-Latn-BA"/>
        </w:rPr>
        <w:br w:type="page"/>
      </w:r>
    </w:p>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lastRenderedPageBreak/>
        <w:t>Bosansko-podrinjski kanton</w:t>
      </w:r>
    </w:p>
    <w:p w:rsidR="00A131AD" w:rsidRPr="00081B73" w:rsidRDefault="00A131AD" w:rsidP="000C0138">
      <w:pPr>
        <w:spacing w:line="276" w:lineRule="auto"/>
        <w:jc w:val="center"/>
        <w:rPr>
          <w:rFonts w:ascii="Times New Roman" w:hAnsi="Times New Roman"/>
          <w:b/>
          <w:bCs/>
          <w:sz w:val="20"/>
          <w:szCs w:val="20"/>
          <w:lang w:val="bs-Latn-BA"/>
        </w:rPr>
      </w:pPr>
    </w:p>
    <w:p w:rsidR="00A131AD" w:rsidRPr="00081B73" w:rsidRDefault="00624C80" w:rsidP="000C0138">
      <w:pPr>
        <w:spacing w:line="276" w:lineRule="auto"/>
        <w:jc w:val="center"/>
        <w:rPr>
          <w:rFonts w:ascii="Times New Roman" w:hAnsi="Times New Roman"/>
          <w:b/>
          <w:bCs/>
          <w:sz w:val="20"/>
          <w:szCs w:val="20"/>
          <w:lang w:val="bs-Latn-BA"/>
        </w:rPr>
      </w:pPr>
      <w:r>
        <w:rPr>
          <w:rFonts w:ascii="Times New Roman" w:hAnsi="Times New Roman"/>
          <w:sz w:val="20"/>
          <w:szCs w:val="20"/>
          <w:lang w:val="bs-Latn-BA"/>
        </w:rPr>
        <w:t>Tab</w:t>
      </w:r>
      <w:r w:rsidR="00A131AD" w:rsidRPr="00081B73">
        <w:rPr>
          <w:rFonts w:ascii="Times New Roman" w:hAnsi="Times New Roman"/>
          <w:sz w:val="20"/>
          <w:szCs w:val="20"/>
          <w:lang w:val="bs-Latn-BA"/>
        </w:rPr>
        <w:t>l</w:t>
      </w:r>
      <w:r>
        <w:rPr>
          <w:rFonts w:ascii="Times New Roman" w:hAnsi="Times New Roman"/>
          <w:sz w:val="20"/>
          <w:szCs w:val="20"/>
          <w:lang w:val="bs-Latn-BA"/>
        </w:rPr>
        <w:t>ic</w:t>
      </w:r>
      <w:r w:rsidR="00A131AD" w:rsidRPr="00081B73">
        <w:rPr>
          <w:rFonts w:ascii="Times New Roman" w:hAnsi="Times New Roman"/>
          <w:sz w:val="20"/>
          <w:szCs w:val="20"/>
          <w:lang w:val="bs-Latn-BA"/>
        </w:rPr>
        <w:t>a 1: Stanovništvo po općinama*</w:t>
      </w:r>
    </w:p>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noProof/>
          <w:sz w:val="20"/>
          <w:szCs w:val="20"/>
          <w:lang w:val="bs-Latn-BA" w:eastAsia="bs-Latn-BA"/>
        </w:rPr>
        <w:drawing>
          <wp:anchor distT="0" distB="0" distL="114300" distR="114300" simplePos="0" relativeHeight="251665408" behindDoc="0" locked="0" layoutInCell="1" allowOverlap="1" wp14:anchorId="07AFD6B8" wp14:editId="7FCD1014">
            <wp:simplePos x="0" y="0"/>
            <wp:positionH relativeFrom="column">
              <wp:posOffset>228600</wp:posOffset>
            </wp:positionH>
            <wp:positionV relativeFrom="paragraph">
              <wp:posOffset>67945</wp:posOffset>
            </wp:positionV>
            <wp:extent cx="1927225" cy="1817370"/>
            <wp:effectExtent l="0" t="0" r="0" b="0"/>
            <wp:wrapSquare wrapText="bothSides"/>
            <wp:docPr id="123" name="Picture 123" descr="canton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anton5"/>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927225" cy="181737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4737" w:type="dxa"/>
        <w:tblCellSpacing w:w="15" w:type="dxa"/>
        <w:tblCellMar>
          <w:top w:w="15" w:type="dxa"/>
          <w:left w:w="15" w:type="dxa"/>
          <w:bottom w:w="15" w:type="dxa"/>
          <w:right w:w="15" w:type="dxa"/>
        </w:tblCellMar>
        <w:tblLook w:val="0000" w:firstRow="0" w:lastRow="0" w:firstColumn="0" w:lastColumn="0" w:noHBand="0" w:noVBand="0"/>
      </w:tblPr>
      <w:tblGrid>
        <w:gridCol w:w="2409"/>
        <w:gridCol w:w="1237"/>
        <w:gridCol w:w="1091"/>
      </w:tblGrid>
      <w:tr w:rsidR="00A131AD" w:rsidRPr="00081B73" w:rsidTr="001911A6">
        <w:trPr>
          <w:trHeight w:val="510"/>
          <w:tblCellSpacing w:w="15" w:type="dxa"/>
        </w:trPr>
        <w:tc>
          <w:tcPr>
            <w:tcW w:w="2364" w:type="dxa"/>
            <w:tcBorders>
              <w:right w:val="single" w:sz="4" w:space="0" w:color="000000"/>
            </w:tcBorders>
            <w:shd w:val="clear" w:color="auto" w:fill="C0C0C0"/>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b/>
                <w:bCs/>
                <w:color w:val="800000"/>
                <w:sz w:val="20"/>
                <w:szCs w:val="20"/>
                <w:lang w:val="bs-Latn-BA"/>
              </w:rPr>
              <w:t>Općina</w:t>
            </w:r>
          </w:p>
        </w:tc>
        <w:tc>
          <w:tcPr>
            <w:tcW w:w="1207" w:type="dxa"/>
            <w:tcBorders>
              <w:left w:val="nil"/>
            </w:tcBorders>
            <w:shd w:val="clear" w:color="auto" w:fill="C0C0C0"/>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b/>
                <w:bCs/>
                <w:color w:val="800000"/>
                <w:sz w:val="20"/>
                <w:szCs w:val="20"/>
                <w:lang w:val="bs-Latn-BA"/>
              </w:rPr>
              <w:t>površina, km</w:t>
            </w:r>
            <w:r w:rsidRPr="00081B73">
              <w:rPr>
                <w:rFonts w:ascii="Times New Roman" w:hAnsi="Times New Roman"/>
                <w:b/>
                <w:bCs/>
                <w:color w:val="800000"/>
                <w:sz w:val="20"/>
                <w:szCs w:val="20"/>
                <w:vertAlign w:val="superscript"/>
                <w:lang w:val="bs-Latn-BA"/>
              </w:rPr>
              <w:t>2</w:t>
            </w:r>
          </w:p>
        </w:tc>
        <w:tc>
          <w:tcPr>
            <w:tcW w:w="1046" w:type="dxa"/>
            <w:tcBorders>
              <w:left w:val="nil"/>
            </w:tcBorders>
            <w:shd w:val="clear" w:color="auto" w:fill="C0C0C0"/>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color w:val="800000"/>
                <w:sz w:val="20"/>
                <w:szCs w:val="20"/>
                <w:lang w:val="bs-Latn-BA"/>
              </w:rPr>
              <w:t>Procjena broja stanovnika</w:t>
            </w:r>
          </w:p>
        </w:tc>
      </w:tr>
      <w:tr w:rsidR="00A131AD" w:rsidRPr="00081B73" w:rsidTr="001911A6">
        <w:trPr>
          <w:cantSplit/>
          <w:trHeight w:val="222"/>
          <w:tblCellSpacing w:w="15" w:type="dxa"/>
        </w:trPr>
        <w:tc>
          <w:tcPr>
            <w:tcW w:w="2364" w:type="dxa"/>
            <w:shd w:val="clear" w:color="auto" w:fill="FFFFCC"/>
            <w:vAlign w:val="center"/>
          </w:tcPr>
          <w:p w:rsidR="00A131AD" w:rsidRPr="00081B73" w:rsidRDefault="00A131AD" w:rsidP="000C0138">
            <w:pPr>
              <w:spacing w:line="276" w:lineRule="auto"/>
              <w:jc w:val="left"/>
              <w:rPr>
                <w:rFonts w:ascii="Times New Roman" w:hAnsi="Times New Roman"/>
                <w:sz w:val="20"/>
                <w:szCs w:val="20"/>
                <w:lang w:val="bs-Latn-BA"/>
              </w:rPr>
            </w:pPr>
            <w:r w:rsidRPr="00081B73">
              <w:rPr>
                <w:rFonts w:ascii="Times New Roman" w:hAnsi="Times New Roman"/>
                <w:sz w:val="20"/>
                <w:szCs w:val="20"/>
                <w:lang w:val="bs-Latn-BA"/>
              </w:rPr>
              <w:t> Foča</w:t>
            </w:r>
          </w:p>
        </w:tc>
        <w:tc>
          <w:tcPr>
            <w:tcW w:w="1207"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169,4</w:t>
            </w:r>
          </w:p>
        </w:tc>
        <w:tc>
          <w:tcPr>
            <w:tcW w:w="1046"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1.671</w:t>
            </w:r>
          </w:p>
        </w:tc>
      </w:tr>
      <w:tr w:rsidR="00A131AD" w:rsidRPr="00081B73" w:rsidTr="001911A6">
        <w:trPr>
          <w:trHeight w:val="222"/>
          <w:tblCellSpacing w:w="15" w:type="dxa"/>
        </w:trPr>
        <w:tc>
          <w:tcPr>
            <w:tcW w:w="2364" w:type="dxa"/>
            <w:vAlign w:val="center"/>
          </w:tcPr>
          <w:p w:rsidR="00A131AD" w:rsidRPr="00081B73" w:rsidRDefault="00A131AD" w:rsidP="000C0138">
            <w:pPr>
              <w:spacing w:line="276" w:lineRule="auto"/>
              <w:jc w:val="left"/>
              <w:rPr>
                <w:rFonts w:ascii="Times New Roman" w:hAnsi="Times New Roman"/>
                <w:sz w:val="20"/>
                <w:szCs w:val="20"/>
                <w:lang w:val="bs-Latn-BA"/>
              </w:rPr>
            </w:pPr>
            <w:r w:rsidRPr="00081B73">
              <w:rPr>
                <w:rFonts w:ascii="Times New Roman" w:hAnsi="Times New Roman"/>
                <w:sz w:val="20"/>
                <w:szCs w:val="20"/>
                <w:lang w:val="bs-Latn-BA"/>
              </w:rPr>
              <w:t>Goražde</w:t>
            </w:r>
          </w:p>
        </w:tc>
        <w:tc>
          <w:tcPr>
            <w:tcW w:w="1207"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248,8</w:t>
            </w:r>
          </w:p>
        </w:tc>
        <w:tc>
          <w:tcPr>
            <w:tcW w:w="1046"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29.613</w:t>
            </w:r>
          </w:p>
        </w:tc>
      </w:tr>
      <w:tr w:rsidR="00A131AD" w:rsidRPr="00081B73" w:rsidTr="001911A6">
        <w:trPr>
          <w:trHeight w:val="222"/>
          <w:tblCellSpacing w:w="15" w:type="dxa"/>
        </w:trPr>
        <w:tc>
          <w:tcPr>
            <w:tcW w:w="2364" w:type="dxa"/>
            <w:shd w:val="clear" w:color="auto" w:fill="FFFFCC"/>
            <w:vAlign w:val="center"/>
          </w:tcPr>
          <w:p w:rsidR="00A131AD" w:rsidRPr="00081B73" w:rsidRDefault="00A131AD" w:rsidP="000C0138">
            <w:pPr>
              <w:spacing w:line="276" w:lineRule="auto"/>
              <w:jc w:val="left"/>
              <w:rPr>
                <w:rFonts w:ascii="Times New Roman" w:hAnsi="Times New Roman"/>
                <w:sz w:val="20"/>
                <w:szCs w:val="20"/>
                <w:lang w:val="bs-Latn-BA"/>
              </w:rPr>
            </w:pPr>
            <w:r w:rsidRPr="00081B73">
              <w:rPr>
                <w:rFonts w:ascii="Times New Roman" w:hAnsi="Times New Roman"/>
                <w:sz w:val="20"/>
                <w:szCs w:val="20"/>
                <w:lang w:val="bs-Latn-BA"/>
              </w:rPr>
              <w:t xml:space="preserve">Pale </w:t>
            </w:r>
          </w:p>
        </w:tc>
        <w:tc>
          <w:tcPr>
            <w:tcW w:w="1207"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86,4</w:t>
            </w:r>
          </w:p>
        </w:tc>
        <w:tc>
          <w:tcPr>
            <w:tcW w:w="1046"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1.057</w:t>
            </w:r>
          </w:p>
        </w:tc>
      </w:tr>
      <w:tr w:rsidR="00A131AD" w:rsidRPr="00081B73" w:rsidTr="001911A6">
        <w:trPr>
          <w:trHeight w:val="222"/>
          <w:tblCellSpacing w:w="15" w:type="dxa"/>
        </w:trPr>
        <w:tc>
          <w:tcPr>
            <w:tcW w:w="2364" w:type="dxa"/>
            <w:shd w:val="clear" w:color="auto" w:fill="FFFFFF"/>
            <w:vAlign w:val="center"/>
          </w:tcPr>
          <w:p w:rsidR="00A131AD" w:rsidRPr="00081B73" w:rsidRDefault="00A131AD" w:rsidP="000C0138">
            <w:pPr>
              <w:spacing w:line="276" w:lineRule="auto"/>
              <w:jc w:val="left"/>
              <w:rPr>
                <w:rFonts w:ascii="Times New Roman" w:hAnsi="Times New Roman"/>
                <w:sz w:val="20"/>
                <w:szCs w:val="20"/>
                <w:lang w:val="bs-Latn-BA"/>
              </w:rPr>
            </w:pPr>
            <w:r w:rsidRPr="00081B73">
              <w:rPr>
                <w:rFonts w:ascii="Times New Roman" w:hAnsi="Times New Roman"/>
                <w:sz w:val="20"/>
                <w:szCs w:val="20"/>
                <w:lang w:val="bs-Latn-BA"/>
              </w:rPr>
              <w:t xml:space="preserve">UKUPNO KANTON: </w:t>
            </w:r>
          </w:p>
        </w:tc>
        <w:tc>
          <w:tcPr>
            <w:tcW w:w="1207" w:type="dxa"/>
            <w:shd w:val="clear" w:color="auto" w:fill="FFFFFF"/>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504,6</w:t>
            </w:r>
          </w:p>
        </w:tc>
        <w:tc>
          <w:tcPr>
            <w:tcW w:w="1046" w:type="dxa"/>
            <w:shd w:val="clear" w:color="auto" w:fill="FFFFFF"/>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32.341</w:t>
            </w:r>
          </w:p>
        </w:tc>
      </w:tr>
      <w:tr w:rsidR="00A131AD" w:rsidRPr="00081B73" w:rsidTr="001911A6">
        <w:trPr>
          <w:trHeight w:val="222"/>
          <w:tblCellSpacing w:w="15" w:type="dxa"/>
        </w:trPr>
        <w:tc>
          <w:tcPr>
            <w:tcW w:w="2364" w:type="dxa"/>
            <w:shd w:val="clear" w:color="auto" w:fill="FFFFFF"/>
            <w:vAlign w:val="center"/>
          </w:tcPr>
          <w:p w:rsidR="00A131AD" w:rsidRPr="00081B73" w:rsidRDefault="00A131AD" w:rsidP="000C0138">
            <w:pPr>
              <w:spacing w:line="276" w:lineRule="auto"/>
              <w:jc w:val="left"/>
              <w:rPr>
                <w:rFonts w:ascii="Times New Roman" w:hAnsi="Times New Roman"/>
                <w:sz w:val="20"/>
                <w:szCs w:val="20"/>
                <w:lang w:val="bs-Latn-BA"/>
              </w:rPr>
            </w:pPr>
            <w:r w:rsidRPr="00081B73">
              <w:rPr>
                <w:rFonts w:ascii="Times New Roman" w:hAnsi="Times New Roman"/>
                <w:sz w:val="20"/>
                <w:szCs w:val="20"/>
                <w:lang w:val="bs-Latn-BA"/>
              </w:rPr>
              <w:t>Broj stanovnika/km</w:t>
            </w:r>
            <w:r w:rsidRPr="00081B73">
              <w:rPr>
                <w:rFonts w:ascii="Times New Roman" w:hAnsi="Times New Roman"/>
                <w:b/>
                <w:bCs/>
                <w:sz w:val="20"/>
                <w:szCs w:val="20"/>
                <w:vertAlign w:val="superscript"/>
                <w:lang w:val="bs-Latn-BA"/>
              </w:rPr>
              <w:t>2</w:t>
            </w:r>
          </w:p>
        </w:tc>
        <w:tc>
          <w:tcPr>
            <w:tcW w:w="1207" w:type="dxa"/>
            <w:shd w:val="clear" w:color="auto" w:fill="FFFFFF"/>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64,2</w:t>
            </w:r>
          </w:p>
        </w:tc>
        <w:tc>
          <w:tcPr>
            <w:tcW w:w="1046" w:type="dxa"/>
            <w:shd w:val="clear" w:color="auto" w:fill="FFFFFF"/>
            <w:vAlign w:val="center"/>
          </w:tcPr>
          <w:p w:rsidR="00A131AD" w:rsidRPr="00081B73" w:rsidRDefault="00A131AD" w:rsidP="000C0138">
            <w:pPr>
              <w:spacing w:line="276" w:lineRule="auto"/>
              <w:jc w:val="right"/>
              <w:rPr>
                <w:rFonts w:ascii="Times New Roman" w:hAnsi="Times New Roman"/>
                <w:sz w:val="20"/>
                <w:szCs w:val="20"/>
                <w:lang w:val="bs-Latn-BA"/>
              </w:rPr>
            </w:pPr>
          </w:p>
        </w:tc>
      </w:tr>
    </w:tbl>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 procjena broja stanovnika na dan 30.06. 2015. godine</w:t>
      </w:r>
    </w:p>
    <w:p w:rsidR="00A131AD" w:rsidRPr="00081B73" w:rsidRDefault="00A131AD" w:rsidP="000C0138">
      <w:pPr>
        <w:spacing w:line="276" w:lineRule="auto"/>
        <w:rPr>
          <w:rFonts w:ascii="Times New Roman" w:hAnsi="Times New Roman"/>
          <w:sz w:val="20"/>
          <w:szCs w:val="20"/>
          <w:lang w:val="bs-Latn-BA"/>
        </w:rPr>
      </w:pPr>
    </w:p>
    <w:p w:rsidR="00A131AD" w:rsidRPr="00081B73" w:rsidRDefault="00A131AD" w:rsidP="000C0138">
      <w:pPr>
        <w:spacing w:line="276" w:lineRule="auto"/>
        <w:rPr>
          <w:rFonts w:ascii="Times New Roman" w:hAnsi="Times New Roman"/>
          <w:sz w:val="20"/>
          <w:szCs w:val="20"/>
          <w:lang w:val="bs-Latn-BA"/>
        </w:rPr>
      </w:pPr>
    </w:p>
    <w:p w:rsidR="00A131AD" w:rsidRPr="00081B73" w:rsidRDefault="00A131AD" w:rsidP="00CF03C8">
      <w:pPr>
        <w:pStyle w:val="refererere"/>
        <w:rPr>
          <w:lang w:val="bs-Latn-BA"/>
        </w:rPr>
      </w:pPr>
      <w:r w:rsidRPr="00081B73">
        <w:rPr>
          <w:lang w:val="bs-Latn-BA"/>
        </w:rPr>
        <w:t>Tabl</w:t>
      </w:r>
      <w:r w:rsidR="00624C80">
        <w:rPr>
          <w:lang w:val="bs-Latn-BA"/>
        </w:rPr>
        <w:t>ic</w:t>
      </w:r>
      <w:r w:rsidRPr="00081B73">
        <w:rPr>
          <w:lang w:val="bs-Latn-BA"/>
        </w:rPr>
        <w:t>a 2: Preliminarni pokazatelji vitalne statistike za 2010 i  2015. godinu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667"/>
        <w:gridCol w:w="2696"/>
        <w:gridCol w:w="2493"/>
      </w:tblGrid>
      <w:tr w:rsidR="00A131AD" w:rsidRPr="00081B73" w:rsidTr="001911A6">
        <w:tc>
          <w:tcPr>
            <w:tcW w:w="3667" w:type="dxa"/>
            <w:shd w:val="clear" w:color="auto" w:fill="FFFF00"/>
          </w:tcPr>
          <w:p w:rsidR="00A131AD" w:rsidRPr="00081B73" w:rsidRDefault="00A131AD" w:rsidP="000C0138">
            <w:pPr>
              <w:spacing w:line="276" w:lineRule="auto"/>
              <w:jc w:val="center"/>
              <w:rPr>
                <w:rFonts w:ascii="Times New Roman" w:hAnsi="Times New Roman"/>
                <w:sz w:val="20"/>
                <w:szCs w:val="20"/>
                <w:lang w:val="bs-Latn-BA"/>
              </w:rPr>
            </w:pPr>
          </w:p>
        </w:tc>
        <w:tc>
          <w:tcPr>
            <w:tcW w:w="2696"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2010.</w:t>
            </w:r>
          </w:p>
        </w:tc>
        <w:tc>
          <w:tcPr>
            <w:tcW w:w="2493"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2015.</w:t>
            </w:r>
          </w:p>
        </w:tc>
      </w:tr>
      <w:tr w:rsidR="00A131AD" w:rsidRPr="00081B73" w:rsidTr="001911A6">
        <w:tc>
          <w:tcPr>
            <w:tcW w:w="3667"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Natalitet</w:t>
            </w:r>
          </w:p>
        </w:tc>
        <w:tc>
          <w:tcPr>
            <w:tcW w:w="2696" w:type="dxa"/>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5,5</w:t>
            </w:r>
          </w:p>
        </w:tc>
        <w:tc>
          <w:tcPr>
            <w:tcW w:w="2493" w:type="dxa"/>
          </w:tcPr>
          <w:p w:rsidR="00A131AD" w:rsidRPr="00081B73" w:rsidRDefault="00A131AD" w:rsidP="000C0138">
            <w:pPr>
              <w:spacing w:line="276" w:lineRule="auto"/>
              <w:ind w:right="453"/>
              <w:jc w:val="center"/>
              <w:rPr>
                <w:rFonts w:ascii="Times New Roman" w:hAnsi="Times New Roman"/>
                <w:sz w:val="20"/>
                <w:szCs w:val="20"/>
                <w:lang w:val="bs-Latn-BA"/>
              </w:rPr>
            </w:pPr>
            <w:r w:rsidRPr="00081B73">
              <w:rPr>
                <w:rFonts w:ascii="Times New Roman" w:hAnsi="Times New Roman"/>
                <w:sz w:val="20"/>
                <w:szCs w:val="20"/>
                <w:lang w:val="bs-Latn-BA"/>
              </w:rPr>
              <w:t>6,7</w:t>
            </w:r>
          </w:p>
        </w:tc>
      </w:tr>
      <w:tr w:rsidR="00A131AD" w:rsidRPr="00081B73" w:rsidTr="001911A6">
        <w:tc>
          <w:tcPr>
            <w:tcW w:w="3667"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Mortalitet</w:t>
            </w:r>
          </w:p>
        </w:tc>
        <w:tc>
          <w:tcPr>
            <w:tcW w:w="2696" w:type="dxa"/>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8,0</w:t>
            </w:r>
          </w:p>
        </w:tc>
        <w:tc>
          <w:tcPr>
            <w:tcW w:w="2493" w:type="dxa"/>
          </w:tcPr>
          <w:p w:rsidR="00A131AD" w:rsidRPr="00081B73" w:rsidRDefault="00A131AD" w:rsidP="000C0138">
            <w:pPr>
              <w:spacing w:line="276" w:lineRule="auto"/>
              <w:ind w:right="453"/>
              <w:jc w:val="center"/>
              <w:rPr>
                <w:rFonts w:ascii="Times New Roman" w:hAnsi="Times New Roman"/>
                <w:sz w:val="20"/>
                <w:szCs w:val="20"/>
                <w:lang w:val="bs-Latn-BA"/>
              </w:rPr>
            </w:pPr>
            <w:r w:rsidRPr="00081B73">
              <w:rPr>
                <w:rFonts w:ascii="Times New Roman" w:hAnsi="Times New Roman"/>
                <w:sz w:val="20"/>
                <w:szCs w:val="20"/>
                <w:lang w:val="bs-Latn-BA"/>
              </w:rPr>
              <w:t>9,7</w:t>
            </w:r>
          </w:p>
        </w:tc>
      </w:tr>
      <w:tr w:rsidR="00A131AD" w:rsidRPr="00081B73" w:rsidTr="001911A6">
        <w:tc>
          <w:tcPr>
            <w:tcW w:w="3667"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Smrtnost dojenčadi</w:t>
            </w:r>
          </w:p>
        </w:tc>
        <w:tc>
          <w:tcPr>
            <w:tcW w:w="2696" w:type="dxa"/>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5,6</w:t>
            </w:r>
          </w:p>
        </w:tc>
        <w:tc>
          <w:tcPr>
            <w:tcW w:w="2493" w:type="dxa"/>
          </w:tcPr>
          <w:p w:rsidR="00A131AD" w:rsidRPr="00081B73" w:rsidRDefault="00A131AD" w:rsidP="000C0138">
            <w:pPr>
              <w:spacing w:line="276" w:lineRule="auto"/>
              <w:ind w:right="453"/>
              <w:jc w:val="center"/>
              <w:rPr>
                <w:rFonts w:ascii="Times New Roman" w:hAnsi="Times New Roman"/>
                <w:sz w:val="20"/>
                <w:szCs w:val="20"/>
                <w:lang w:val="bs-Latn-BA"/>
              </w:rPr>
            </w:pPr>
            <w:r w:rsidRPr="00081B73">
              <w:rPr>
                <w:rFonts w:ascii="Times New Roman" w:hAnsi="Times New Roman"/>
                <w:sz w:val="20"/>
                <w:szCs w:val="20"/>
                <w:lang w:val="bs-Latn-BA"/>
              </w:rPr>
              <w:t>9,2</w:t>
            </w:r>
          </w:p>
        </w:tc>
      </w:tr>
      <w:tr w:rsidR="00A131AD" w:rsidRPr="00081B73" w:rsidTr="001911A6">
        <w:tc>
          <w:tcPr>
            <w:tcW w:w="3667" w:type="dxa"/>
          </w:tcPr>
          <w:p w:rsidR="00A131AD" w:rsidRPr="00081B73" w:rsidRDefault="00A131AD" w:rsidP="00624C80">
            <w:pPr>
              <w:spacing w:line="276" w:lineRule="auto"/>
              <w:rPr>
                <w:rFonts w:ascii="Times New Roman" w:hAnsi="Times New Roman"/>
                <w:sz w:val="20"/>
                <w:szCs w:val="20"/>
                <w:lang w:val="bs-Latn-BA"/>
              </w:rPr>
            </w:pPr>
            <w:r w:rsidRPr="00081B73">
              <w:rPr>
                <w:rFonts w:ascii="Times New Roman" w:hAnsi="Times New Roman"/>
                <w:sz w:val="20"/>
                <w:szCs w:val="20"/>
                <w:lang w:val="bs-Latn-BA"/>
              </w:rPr>
              <w:t>Prirodni prira</w:t>
            </w:r>
            <w:r w:rsidR="00624C80">
              <w:rPr>
                <w:rFonts w:ascii="Times New Roman" w:hAnsi="Times New Roman"/>
                <w:sz w:val="20"/>
                <w:szCs w:val="20"/>
                <w:lang w:val="bs-Latn-BA"/>
              </w:rPr>
              <w:t>st</w:t>
            </w:r>
          </w:p>
        </w:tc>
        <w:tc>
          <w:tcPr>
            <w:tcW w:w="2696" w:type="dxa"/>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-2,5</w:t>
            </w:r>
          </w:p>
        </w:tc>
        <w:tc>
          <w:tcPr>
            <w:tcW w:w="2493" w:type="dxa"/>
          </w:tcPr>
          <w:p w:rsidR="00A131AD" w:rsidRPr="00081B73" w:rsidRDefault="00A131AD" w:rsidP="000C0138">
            <w:pPr>
              <w:spacing w:line="276" w:lineRule="auto"/>
              <w:ind w:right="453"/>
              <w:jc w:val="center"/>
              <w:rPr>
                <w:rFonts w:ascii="Times New Roman" w:hAnsi="Times New Roman"/>
                <w:sz w:val="20"/>
                <w:szCs w:val="20"/>
                <w:lang w:val="bs-Latn-BA"/>
              </w:rPr>
            </w:pPr>
            <w:r w:rsidRPr="00081B73">
              <w:rPr>
                <w:rFonts w:ascii="Times New Roman" w:hAnsi="Times New Roman"/>
                <w:sz w:val="20"/>
                <w:szCs w:val="20"/>
                <w:lang w:val="bs-Latn-BA"/>
              </w:rPr>
              <w:t>-3,1</w:t>
            </w:r>
          </w:p>
        </w:tc>
      </w:tr>
    </w:tbl>
    <w:p w:rsidR="00A131AD" w:rsidRPr="00081B73" w:rsidRDefault="00A131AD" w:rsidP="00CF03C8">
      <w:pPr>
        <w:pStyle w:val="refererere"/>
        <w:rPr>
          <w:lang w:val="bs-Latn-BA"/>
        </w:rPr>
      </w:pPr>
    </w:p>
    <w:p w:rsidR="00A131AD" w:rsidRPr="00081B73" w:rsidRDefault="00624C80" w:rsidP="00CF03C8">
      <w:pPr>
        <w:pStyle w:val="refererere"/>
        <w:rPr>
          <w:lang w:val="bs-Latn-BA"/>
        </w:rPr>
      </w:pPr>
      <w:r>
        <w:rPr>
          <w:lang w:val="bs-Latn-BA"/>
        </w:rPr>
        <w:t>Tab</w:t>
      </w:r>
      <w:r w:rsidR="00A131AD" w:rsidRPr="00081B73">
        <w:rPr>
          <w:lang w:val="bs-Latn-BA"/>
        </w:rPr>
        <w:t>l</w:t>
      </w:r>
      <w:r>
        <w:rPr>
          <w:lang w:val="bs-Latn-BA"/>
        </w:rPr>
        <w:t>ic</w:t>
      </w:r>
      <w:r w:rsidR="00A131AD" w:rsidRPr="00081B73">
        <w:rPr>
          <w:lang w:val="bs-Latn-BA"/>
        </w:rPr>
        <w:t>a 3: Vodeći uzroci smrti za 2010 i  2015. godinu **</w:t>
      </w:r>
    </w:p>
    <w:tbl>
      <w:tblPr>
        <w:tblW w:w="92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13"/>
        <w:gridCol w:w="2572"/>
        <w:gridCol w:w="572"/>
        <w:gridCol w:w="969"/>
        <w:gridCol w:w="550"/>
        <w:gridCol w:w="2365"/>
        <w:gridCol w:w="761"/>
        <w:gridCol w:w="969"/>
      </w:tblGrid>
      <w:tr w:rsidR="00A131AD" w:rsidRPr="00081B73" w:rsidTr="001911A6">
        <w:trPr>
          <w:trHeight w:val="405"/>
        </w:trPr>
        <w:tc>
          <w:tcPr>
            <w:tcW w:w="4626" w:type="dxa"/>
            <w:gridSpan w:val="4"/>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2010.</w:t>
            </w:r>
          </w:p>
        </w:tc>
        <w:tc>
          <w:tcPr>
            <w:tcW w:w="4645" w:type="dxa"/>
            <w:gridSpan w:val="4"/>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2015.</w:t>
            </w:r>
          </w:p>
        </w:tc>
      </w:tr>
      <w:tr w:rsidR="00A131AD" w:rsidRPr="00081B73" w:rsidTr="001911A6">
        <w:trPr>
          <w:trHeight w:val="345"/>
        </w:trPr>
        <w:tc>
          <w:tcPr>
            <w:tcW w:w="513" w:type="dxa"/>
            <w:shd w:val="clear" w:color="auto" w:fill="FFFF00"/>
            <w:vAlign w:val="center"/>
          </w:tcPr>
          <w:p w:rsidR="00A131AD" w:rsidRPr="00081B73" w:rsidRDefault="00A131AD" w:rsidP="000C0138">
            <w:pPr>
              <w:spacing w:line="276" w:lineRule="auto"/>
              <w:ind w:right="-108"/>
              <w:jc w:val="center"/>
              <w:rPr>
                <w:rFonts w:ascii="Times New Roman" w:hAnsi="Times New Roman"/>
                <w:bCs/>
                <w:sz w:val="20"/>
                <w:szCs w:val="20"/>
                <w:lang w:val="bs-Latn-BA"/>
              </w:rPr>
            </w:pPr>
            <w:r w:rsidRPr="00081B73">
              <w:rPr>
                <w:rFonts w:ascii="Times New Roman" w:hAnsi="Times New Roman"/>
                <w:bCs/>
                <w:sz w:val="20"/>
                <w:szCs w:val="20"/>
                <w:lang w:val="bs-Latn-BA"/>
              </w:rPr>
              <w:t>Rang</w:t>
            </w:r>
          </w:p>
        </w:tc>
        <w:tc>
          <w:tcPr>
            <w:tcW w:w="2572"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Oboljenje</w:t>
            </w:r>
          </w:p>
        </w:tc>
        <w:tc>
          <w:tcPr>
            <w:tcW w:w="572"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Broj umrlih</w:t>
            </w:r>
          </w:p>
        </w:tc>
        <w:tc>
          <w:tcPr>
            <w:tcW w:w="969"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Indeks strukture (%)</w:t>
            </w:r>
          </w:p>
        </w:tc>
        <w:tc>
          <w:tcPr>
            <w:tcW w:w="550" w:type="dxa"/>
            <w:shd w:val="clear" w:color="auto" w:fill="FFFF00"/>
            <w:vAlign w:val="center"/>
          </w:tcPr>
          <w:p w:rsidR="00A131AD" w:rsidRPr="00081B73" w:rsidRDefault="00A131AD" w:rsidP="000C0138">
            <w:pPr>
              <w:spacing w:line="276" w:lineRule="auto"/>
              <w:ind w:right="-108"/>
              <w:rPr>
                <w:rFonts w:ascii="Times New Roman" w:hAnsi="Times New Roman"/>
                <w:bCs/>
                <w:sz w:val="20"/>
                <w:szCs w:val="20"/>
                <w:lang w:val="bs-Latn-BA"/>
              </w:rPr>
            </w:pPr>
            <w:r w:rsidRPr="00081B73">
              <w:rPr>
                <w:rFonts w:ascii="Times New Roman" w:hAnsi="Times New Roman"/>
                <w:bCs/>
                <w:sz w:val="20"/>
                <w:szCs w:val="20"/>
                <w:lang w:val="bs-Latn-BA"/>
              </w:rPr>
              <w:t>Rang</w:t>
            </w:r>
          </w:p>
        </w:tc>
        <w:tc>
          <w:tcPr>
            <w:tcW w:w="2365"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oboljenje</w:t>
            </w:r>
          </w:p>
        </w:tc>
        <w:tc>
          <w:tcPr>
            <w:tcW w:w="761"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Broj umrlih</w:t>
            </w:r>
          </w:p>
        </w:tc>
        <w:tc>
          <w:tcPr>
            <w:tcW w:w="969"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Indeks strukture (%)</w:t>
            </w:r>
          </w:p>
        </w:tc>
      </w:tr>
      <w:tr w:rsidR="00A131AD" w:rsidRPr="00081B73" w:rsidTr="001911A6">
        <w:tc>
          <w:tcPr>
            <w:tcW w:w="513"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1</w:t>
            </w:r>
          </w:p>
        </w:tc>
        <w:tc>
          <w:tcPr>
            <w:tcW w:w="2572"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 xml:space="preserve">Srčani zastoj </w:t>
            </w:r>
            <w:r w:rsidRPr="00081B73">
              <w:rPr>
                <w:rFonts w:ascii="Times New Roman" w:hAnsi="Times New Roman"/>
                <w:sz w:val="20"/>
                <w:szCs w:val="20"/>
              </w:rPr>
              <w:t>( I46)</w:t>
            </w:r>
          </w:p>
        </w:tc>
        <w:tc>
          <w:tcPr>
            <w:tcW w:w="572"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55</w:t>
            </w:r>
          </w:p>
        </w:tc>
        <w:tc>
          <w:tcPr>
            <w:tcW w:w="969" w:type="dxa"/>
          </w:tcPr>
          <w:p w:rsidR="00A131AD" w:rsidRPr="00081B73" w:rsidRDefault="00A131AD" w:rsidP="000C0138">
            <w:pPr>
              <w:tabs>
                <w:tab w:val="left" w:pos="380"/>
              </w:tabs>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20,8</w:t>
            </w:r>
          </w:p>
        </w:tc>
        <w:tc>
          <w:tcPr>
            <w:tcW w:w="550"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1</w:t>
            </w:r>
          </w:p>
        </w:tc>
        <w:tc>
          <w:tcPr>
            <w:tcW w:w="2365"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Kardiomiopatija (I42)</w:t>
            </w:r>
          </w:p>
        </w:tc>
        <w:tc>
          <w:tcPr>
            <w:tcW w:w="761"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75</w:t>
            </w:r>
          </w:p>
        </w:tc>
        <w:tc>
          <w:tcPr>
            <w:tcW w:w="969"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24,0</w:t>
            </w:r>
          </w:p>
        </w:tc>
      </w:tr>
      <w:tr w:rsidR="00A131AD" w:rsidRPr="00081B73" w:rsidTr="001911A6">
        <w:tc>
          <w:tcPr>
            <w:tcW w:w="513"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2</w:t>
            </w:r>
          </w:p>
        </w:tc>
        <w:tc>
          <w:tcPr>
            <w:tcW w:w="2572" w:type="dxa"/>
          </w:tcPr>
          <w:p w:rsidR="00A131AD" w:rsidRPr="00081B73" w:rsidRDefault="00A131AD" w:rsidP="000C0138">
            <w:pPr>
              <w:tabs>
                <w:tab w:val="right" w:pos="2523"/>
              </w:tabs>
              <w:spacing w:line="276" w:lineRule="auto"/>
              <w:rPr>
                <w:rFonts w:ascii="Times New Roman" w:hAnsi="Times New Roman"/>
                <w:sz w:val="20"/>
                <w:szCs w:val="20"/>
                <w:lang w:val="bs-Latn-BA"/>
              </w:rPr>
            </w:pPr>
            <w:r w:rsidRPr="00081B73">
              <w:rPr>
                <w:rFonts w:ascii="Times New Roman" w:hAnsi="Times New Roman"/>
                <w:sz w:val="20"/>
                <w:szCs w:val="20"/>
                <w:lang w:val="bs-Latn-BA"/>
              </w:rPr>
              <w:t xml:space="preserve">Kardiomiopatija </w:t>
            </w:r>
            <w:r w:rsidRPr="00081B73">
              <w:rPr>
                <w:rFonts w:ascii="Times New Roman" w:hAnsi="Times New Roman"/>
                <w:sz w:val="20"/>
                <w:szCs w:val="20"/>
              </w:rPr>
              <w:t>(I42)</w:t>
            </w:r>
          </w:p>
        </w:tc>
        <w:tc>
          <w:tcPr>
            <w:tcW w:w="572"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46</w:t>
            </w:r>
          </w:p>
        </w:tc>
        <w:tc>
          <w:tcPr>
            <w:tcW w:w="969"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17,4</w:t>
            </w:r>
          </w:p>
        </w:tc>
        <w:tc>
          <w:tcPr>
            <w:tcW w:w="550"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2</w:t>
            </w:r>
          </w:p>
        </w:tc>
        <w:tc>
          <w:tcPr>
            <w:tcW w:w="2365"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Srčani zastoj (I46)</w:t>
            </w:r>
          </w:p>
        </w:tc>
        <w:tc>
          <w:tcPr>
            <w:tcW w:w="761"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33</w:t>
            </w:r>
          </w:p>
        </w:tc>
        <w:tc>
          <w:tcPr>
            <w:tcW w:w="969"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10,5</w:t>
            </w:r>
          </w:p>
        </w:tc>
      </w:tr>
      <w:tr w:rsidR="00A131AD" w:rsidRPr="00081B73" w:rsidTr="001911A6">
        <w:tc>
          <w:tcPr>
            <w:tcW w:w="513"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3</w:t>
            </w:r>
          </w:p>
        </w:tc>
        <w:tc>
          <w:tcPr>
            <w:tcW w:w="2572" w:type="dxa"/>
          </w:tcPr>
          <w:p w:rsidR="00A131AD" w:rsidRPr="00081B73" w:rsidRDefault="00A131AD" w:rsidP="000C0138">
            <w:pPr>
              <w:spacing w:line="276" w:lineRule="auto"/>
              <w:rPr>
                <w:rFonts w:ascii="Times New Roman" w:hAnsi="Times New Roman"/>
                <w:sz w:val="20"/>
                <w:szCs w:val="20"/>
              </w:rPr>
            </w:pPr>
            <w:r w:rsidRPr="00081B73">
              <w:rPr>
                <w:rFonts w:ascii="Times New Roman" w:hAnsi="Times New Roman"/>
                <w:sz w:val="20"/>
                <w:szCs w:val="20"/>
              </w:rPr>
              <w:t>Akutni infarkt miokarda ( I21)</w:t>
            </w:r>
          </w:p>
        </w:tc>
        <w:tc>
          <w:tcPr>
            <w:tcW w:w="572"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22</w:t>
            </w:r>
          </w:p>
        </w:tc>
        <w:tc>
          <w:tcPr>
            <w:tcW w:w="969"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8,3</w:t>
            </w:r>
          </w:p>
        </w:tc>
        <w:tc>
          <w:tcPr>
            <w:tcW w:w="550"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3</w:t>
            </w:r>
          </w:p>
        </w:tc>
        <w:tc>
          <w:tcPr>
            <w:tcW w:w="2365"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Moždani udar (I63)</w:t>
            </w:r>
          </w:p>
        </w:tc>
        <w:tc>
          <w:tcPr>
            <w:tcW w:w="761"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31</w:t>
            </w:r>
          </w:p>
        </w:tc>
        <w:tc>
          <w:tcPr>
            <w:tcW w:w="969"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9,9</w:t>
            </w:r>
          </w:p>
        </w:tc>
      </w:tr>
      <w:tr w:rsidR="00A131AD" w:rsidRPr="00081B73" w:rsidTr="001911A6">
        <w:tc>
          <w:tcPr>
            <w:tcW w:w="513"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4</w:t>
            </w:r>
          </w:p>
        </w:tc>
        <w:tc>
          <w:tcPr>
            <w:tcW w:w="2572"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rPr>
              <w:t>Moždani udar ( I63)</w:t>
            </w:r>
          </w:p>
        </w:tc>
        <w:tc>
          <w:tcPr>
            <w:tcW w:w="572"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19</w:t>
            </w:r>
          </w:p>
        </w:tc>
        <w:tc>
          <w:tcPr>
            <w:tcW w:w="969"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7,2</w:t>
            </w:r>
          </w:p>
        </w:tc>
        <w:tc>
          <w:tcPr>
            <w:tcW w:w="550"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4</w:t>
            </w:r>
          </w:p>
        </w:tc>
        <w:tc>
          <w:tcPr>
            <w:tcW w:w="2365"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Akutni infrakt miokarda (I21)</w:t>
            </w:r>
          </w:p>
        </w:tc>
        <w:tc>
          <w:tcPr>
            <w:tcW w:w="761"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22</w:t>
            </w:r>
          </w:p>
        </w:tc>
        <w:tc>
          <w:tcPr>
            <w:tcW w:w="969"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7,0</w:t>
            </w:r>
          </w:p>
        </w:tc>
      </w:tr>
      <w:tr w:rsidR="00A131AD" w:rsidRPr="00081B73" w:rsidTr="001911A6">
        <w:tc>
          <w:tcPr>
            <w:tcW w:w="513"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5</w:t>
            </w:r>
          </w:p>
        </w:tc>
        <w:tc>
          <w:tcPr>
            <w:tcW w:w="2572"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 xml:space="preserve">Maligna neoplazma bronha i pluća </w:t>
            </w:r>
            <w:r w:rsidRPr="00081B73">
              <w:rPr>
                <w:rFonts w:ascii="Times New Roman" w:hAnsi="Times New Roman"/>
                <w:sz w:val="20"/>
                <w:szCs w:val="20"/>
              </w:rPr>
              <w:t>(C34)</w:t>
            </w:r>
          </w:p>
        </w:tc>
        <w:tc>
          <w:tcPr>
            <w:tcW w:w="572"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15</w:t>
            </w:r>
          </w:p>
        </w:tc>
        <w:tc>
          <w:tcPr>
            <w:tcW w:w="969"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5,7</w:t>
            </w:r>
          </w:p>
        </w:tc>
        <w:tc>
          <w:tcPr>
            <w:tcW w:w="550"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5</w:t>
            </w:r>
          </w:p>
        </w:tc>
        <w:tc>
          <w:tcPr>
            <w:tcW w:w="2365"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Srčana slabost (I50)</w:t>
            </w:r>
          </w:p>
        </w:tc>
        <w:tc>
          <w:tcPr>
            <w:tcW w:w="761"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20</w:t>
            </w:r>
          </w:p>
        </w:tc>
        <w:tc>
          <w:tcPr>
            <w:tcW w:w="969"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6,4</w:t>
            </w:r>
          </w:p>
        </w:tc>
      </w:tr>
      <w:tr w:rsidR="00A131AD" w:rsidRPr="00081B73" w:rsidTr="001911A6">
        <w:tc>
          <w:tcPr>
            <w:tcW w:w="513" w:type="dxa"/>
          </w:tcPr>
          <w:p w:rsidR="00A131AD" w:rsidRPr="00081B73" w:rsidRDefault="00A131AD" w:rsidP="000C0138">
            <w:pPr>
              <w:spacing w:line="276" w:lineRule="auto"/>
              <w:ind w:right="-108"/>
              <w:jc w:val="center"/>
              <w:rPr>
                <w:rFonts w:ascii="Times New Roman" w:hAnsi="Times New Roman"/>
                <w:sz w:val="20"/>
                <w:szCs w:val="20"/>
                <w:lang w:val="bs-Latn-BA"/>
              </w:rPr>
            </w:pPr>
          </w:p>
        </w:tc>
        <w:tc>
          <w:tcPr>
            <w:tcW w:w="2572"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Ostale bolesti kao uzrok smrti</w:t>
            </w:r>
          </w:p>
        </w:tc>
        <w:tc>
          <w:tcPr>
            <w:tcW w:w="572"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108</w:t>
            </w:r>
          </w:p>
        </w:tc>
        <w:tc>
          <w:tcPr>
            <w:tcW w:w="969"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59,4</w:t>
            </w:r>
          </w:p>
        </w:tc>
        <w:tc>
          <w:tcPr>
            <w:tcW w:w="550" w:type="dxa"/>
          </w:tcPr>
          <w:p w:rsidR="00A131AD" w:rsidRPr="00081B73" w:rsidRDefault="00A131AD" w:rsidP="000C0138">
            <w:pPr>
              <w:spacing w:line="276" w:lineRule="auto"/>
              <w:ind w:right="-108"/>
              <w:jc w:val="center"/>
              <w:rPr>
                <w:rFonts w:ascii="Times New Roman" w:hAnsi="Times New Roman"/>
                <w:sz w:val="20"/>
                <w:szCs w:val="20"/>
                <w:lang w:val="bs-Latn-BA"/>
              </w:rPr>
            </w:pPr>
          </w:p>
        </w:tc>
        <w:tc>
          <w:tcPr>
            <w:tcW w:w="2365"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Ostali uzroci smrti</w:t>
            </w:r>
          </w:p>
        </w:tc>
        <w:tc>
          <w:tcPr>
            <w:tcW w:w="761"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132</w:t>
            </w:r>
          </w:p>
        </w:tc>
        <w:tc>
          <w:tcPr>
            <w:tcW w:w="969"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42,2</w:t>
            </w:r>
          </w:p>
        </w:tc>
      </w:tr>
      <w:tr w:rsidR="00A131AD" w:rsidRPr="00081B73" w:rsidTr="001911A6">
        <w:tc>
          <w:tcPr>
            <w:tcW w:w="513" w:type="dxa"/>
          </w:tcPr>
          <w:p w:rsidR="00A131AD" w:rsidRPr="00081B73" w:rsidRDefault="00A131AD" w:rsidP="000C0138">
            <w:pPr>
              <w:spacing w:line="276" w:lineRule="auto"/>
              <w:ind w:right="-108"/>
              <w:jc w:val="center"/>
              <w:rPr>
                <w:rFonts w:ascii="Times New Roman" w:hAnsi="Times New Roman"/>
                <w:sz w:val="20"/>
                <w:szCs w:val="20"/>
                <w:lang w:val="bs-Latn-BA"/>
              </w:rPr>
            </w:pPr>
          </w:p>
        </w:tc>
        <w:tc>
          <w:tcPr>
            <w:tcW w:w="2572"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Ukupno</w:t>
            </w:r>
          </w:p>
        </w:tc>
        <w:tc>
          <w:tcPr>
            <w:tcW w:w="572"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265</w:t>
            </w:r>
          </w:p>
        </w:tc>
        <w:tc>
          <w:tcPr>
            <w:tcW w:w="969"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100%</w:t>
            </w:r>
          </w:p>
        </w:tc>
        <w:tc>
          <w:tcPr>
            <w:tcW w:w="550" w:type="dxa"/>
          </w:tcPr>
          <w:p w:rsidR="00A131AD" w:rsidRPr="00081B73" w:rsidRDefault="00A131AD" w:rsidP="000C0138">
            <w:pPr>
              <w:spacing w:line="276" w:lineRule="auto"/>
              <w:ind w:right="-108"/>
              <w:jc w:val="center"/>
              <w:rPr>
                <w:rFonts w:ascii="Times New Roman" w:hAnsi="Times New Roman"/>
                <w:sz w:val="20"/>
                <w:szCs w:val="20"/>
                <w:lang w:val="bs-Latn-BA"/>
              </w:rPr>
            </w:pPr>
          </w:p>
        </w:tc>
        <w:tc>
          <w:tcPr>
            <w:tcW w:w="2365"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Ukupno umrlih</w:t>
            </w:r>
          </w:p>
        </w:tc>
        <w:tc>
          <w:tcPr>
            <w:tcW w:w="761"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313</w:t>
            </w:r>
          </w:p>
        </w:tc>
        <w:tc>
          <w:tcPr>
            <w:tcW w:w="969"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100%</w:t>
            </w:r>
          </w:p>
        </w:tc>
      </w:tr>
    </w:tbl>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 Poda</w:t>
      </w:r>
      <w:r w:rsidR="00624C80">
        <w:rPr>
          <w:rFonts w:ascii="Times New Roman" w:hAnsi="Times New Roman"/>
          <w:sz w:val="20"/>
          <w:szCs w:val="20"/>
          <w:lang w:val="bs-Latn-BA"/>
        </w:rPr>
        <w:t>t</w:t>
      </w:r>
      <w:r w:rsidRPr="00081B73">
        <w:rPr>
          <w:rFonts w:ascii="Times New Roman" w:hAnsi="Times New Roman"/>
          <w:sz w:val="20"/>
          <w:szCs w:val="20"/>
          <w:lang w:val="bs-Latn-BA"/>
        </w:rPr>
        <w:t>ci Federalnog zavoda za statistiku-obrada uzroka smrti FBiH 2015. god.</w:t>
      </w:r>
    </w:p>
    <w:p w:rsidR="00A131AD" w:rsidRPr="00081B73" w:rsidRDefault="00A131AD" w:rsidP="000C0138">
      <w:pPr>
        <w:spacing w:line="276" w:lineRule="auto"/>
        <w:rPr>
          <w:rFonts w:ascii="Times New Roman" w:hAnsi="Times New Roman"/>
          <w:sz w:val="20"/>
          <w:szCs w:val="20"/>
          <w:lang w:val="bs-Latn-BA"/>
        </w:rPr>
      </w:pPr>
    </w:p>
    <w:p w:rsidR="00A131AD" w:rsidRPr="00081B73" w:rsidRDefault="00A131AD" w:rsidP="000C0138">
      <w:pPr>
        <w:spacing w:line="276" w:lineRule="auto"/>
        <w:rPr>
          <w:rFonts w:ascii="Times New Roman" w:hAnsi="Times New Roman"/>
          <w:sz w:val="20"/>
          <w:szCs w:val="20"/>
          <w:lang w:val="bs-Latn-BA"/>
        </w:rPr>
      </w:pPr>
    </w:p>
    <w:p w:rsidR="00CF03C8" w:rsidRPr="00081B73" w:rsidRDefault="00CF03C8" w:rsidP="000C0138">
      <w:pPr>
        <w:spacing w:line="276" w:lineRule="auto"/>
        <w:rPr>
          <w:rFonts w:ascii="Times New Roman" w:hAnsi="Times New Roman"/>
          <w:sz w:val="20"/>
          <w:szCs w:val="20"/>
          <w:lang w:val="bs-Latn-BA"/>
        </w:rPr>
      </w:pPr>
    </w:p>
    <w:p w:rsidR="00CF03C8" w:rsidRPr="00081B73" w:rsidRDefault="00CF03C8" w:rsidP="000C0138">
      <w:pPr>
        <w:spacing w:line="276" w:lineRule="auto"/>
        <w:rPr>
          <w:rFonts w:ascii="Times New Roman" w:hAnsi="Times New Roman"/>
          <w:sz w:val="20"/>
          <w:szCs w:val="20"/>
          <w:lang w:val="bs-Latn-BA"/>
        </w:rPr>
      </w:pPr>
    </w:p>
    <w:p w:rsidR="00A131AD" w:rsidRPr="00081B73" w:rsidRDefault="00A131AD" w:rsidP="000C0138">
      <w:pPr>
        <w:spacing w:line="276" w:lineRule="auto"/>
        <w:rPr>
          <w:rFonts w:ascii="Times New Roman" w:hAnsi="Times New Roman"/>
          <w:sz w:val="20"/>
          <w:szCs w:val="20"/>
          <w:lang w:val="bs-Latn-BA"/>
        </w:rPr>
      </w:pPr>
    </w:p>
    <w:p w:rsidR="00A131AD" w:rsidRPr="00081B73" w:rsidRDefault="00081B73" w:rsidP="00081B73">
      <w:pPr>
        <w:spacing w:after="160" w:line="259" w:lineRule="auto"/>
        <w:jc w:val="left"/>
        <w:rPr>
          <w:rFonts w:ascii="Times New Roman" w:hAnsi="Times New Roman"/>
          <w:sz w:val="20"/>
          <w:szCs w:val="20"/>
          <w:lang w:val="bs-Latn-BA"/>
        </w:rPr>
      </w:pPr>
      <w:r>
        <w:rPr>
          <w:rFonts w:ascii="Times New Roman" w:hAnsi="Times New Roman"/>
          <w:sz w:val="20"/>
          <w:szCs w:val="20"/>
          <w:lang w:val="bs-Latn-BA"/>
        </w:rPr>
        <w:br w:type="page"/>
      </w:r>
    </w:p>
    <w:p w:rsidR="00A131AD" w:rsidRPr="00081B73" w:rsidRDefault="00A131AD" w:rsidP="00CF03C8">
      <w:pPr>
        <w:pStyle w:val="refererere"/>
        <w:rPr>
          <w:lang w:val="bs-Latn-BA"/>
        </w:rPr>
      </w:pPr>
      <w:r w:rsidRPr="00081B73">
        <w:rPr>
          <w:lang w:val="bs-Latn-BA"/>
        </w:rPr>
        <w:lastRenderedPageBreak/>
        <w:t>Tabl</w:t>
      </w:r>
      <w:r w:rsidR="00624C80">
        <w:rPr>
          <w:lang w:val="bs-Latn-BA"/>
        </w:rPr>
        <w:t>ic</w:t>
      </w:r>
      <w:r w:rsidRPr="00081B73">
        <w:rPr>
          <w:lang w:val="bs-Latn-BA"/>
        </w:rPr>
        <w:t>a 4: Vodeća zarazna oboljenja za 2010 i  2015. godinu</w:t>
      </w:r>
    </w:p>
    <w:tbl>
      <w:tblPr>
        <w:tblW w:w="92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8"/>
        <w:gridCol w:w="1800"/>
        <w:gridCol w:w="1260"/>
        <w:gridCol w:w="1015"/>
        <w:gridCol w:w="540"/>
        <w:gridCol w:w="2037"/>
        <w:gridCol w:w="1023"/>
        <w:gridCol w:w="1129"/>
      </w:tblGrid>
      <w:tr w:rsidR="00A131AD" w:rsidRPr="00081B73" w:rsidTr="001911A6">
        <w:trPr>
          <w:trHeight w:val="476"/>
          <w:jc w:val="center"/>
        </w:trPr>
        <w:tc>
          <w:tcPr>
            <w:tcW w:w="4543" w:type="dxa"/>
            <w:gridSpan w:val="4"/>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2010.</w:t>
            </w:r>
          </w:p>
        </w:tc>
        <w:tc>
          <w:tcPr>
            <w:tcW w:w="4729" w:type="dxa"/>
            <w:gridSpan w:val="4"/>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2015.</w:t>
            </w:r>
          </w:p>
        </w:tc>
      </w:tr>
      <w:tr w:rsidR="00A131AD" w:rsidRPr="00081B73" w:rsidTr="001911A6">
        <w:trPr>
          <w:cantSplit/>
          <w:trHeight w:val="516"/>
          <w:jc w:val="center"/>
        </w:trPr>
        <w:tc>
          <w:tcPr>
            <w:tcW w:w="468" w:type="dxa"/>
            <w:shd w:val="clear" w:color="auto" w:fill="FFFF00"/>
            <w:textDirection w:val="btLr"/>
          </w:tcPr>
          <w:p w:rsidR="00A131AD" w:rsidRPr="00081B73" w:rsidRDefault="00A131AD" w:rsidP="000C0138">
            <w:pPr>
              <w:autoSpaceDE w:val="0"/>
              <w:autoSpaceDN w:val="0"/>
              <w:adjustRightInd w:val="0"/>
              <w:spacing w:line="276" w:lineRule="auto"/>
              <w:ind w:left="113" w:right="113"/>
              <w:rPr>
                <w:rFonts w:ascii="Times New Roman" w:hAnsi="Times New Roman"/>
                <w:color w:val="000000"/>
                <w:sz w:val="20"/>
                <w:szCs w:val="20"/>
                <w:lang w:val="bs-Latn-BA"/>
              </w:rPr>
            </w:pPr>
            <w:r w:rsidRPr="00081B73">
              <w:rPr>
                <w:rFonts w:ascii="Times New Roman" w:hAnsi="Times New Roman"/>
                <w:color w:val="000000"/>
                <w:sz w:val="20"/>
                <w:szCs w:val="20"/>
                <w:lang w:val="bs-Latn-BA"/>
              </w:rPr>
              <w:t>Rang</w:t>
            </w:r>
          </w:p>
        </w:tc>
        <w:tc>
          <w:tcPr>
            <w:tcW w:w="1800"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Bolest / stanje</w:t>
            </w:r>
          </w:p>
        </w:tc>
        <w:tc>
          <w:tcPr>
            <w:tcW w:w="1260"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sz w:val="20"/>
                <w:szCs w:val="20"/>
                <w:lang w:val="bs-Latn-BA"/>
              </w:rPr>
              <w:t>Broj registriranih</w:t>
            </w:r>
          </w:p>
        </w:tc>
        <w:tc>
          <w:tcPr>
            <w:tcW w:w="1015"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Mb/</w:t>
            </w:r>
          </w:p>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100000</w:t>
            </w:r>
          </w:p>
        </w:tc>
        <w:tc>
          <w:tcPr>
            <w:tcW w:w="540" w:type="dxa"/>
            <w:shd w:val="clear" w:color="auto" w:fill="FFFF00"/>
            <w:textDirection w:val="btLr"/>
          </w:tcPr>
          <w:p w:rsidR="00A131AD" w:rsidRPr="00081B73" w:rsidRDefault="00A131AD" w:rsidP="000C0138">
            <w:pPr>
              <w:autoSpaceDE w:val="0"/>
              <w:autoSpaceDN w:val="0"/>
              <w:adjustRightInd w:val="0"/>
              <w:spacing w:line="276" w:lineRule="auto"/>
              <w:ind w:left="113" w:right="113"/>
              <w:rPr>
                <w:rFonts w:ascii="Times New Roman" w:hAnsi="Times New Roman"/>
                <w:color w:val="000000"/>
                <w:sz w:val="20"/>
                <w:szCs w:val="20"/>
                <w:lang w:val="bs-Latn-BA"/>
              </w:rPr>
            </w:pPr>
            <w:r w:rsidRPr="00081B73">
              <w:rPr>
                <w:rFonts w:ascii="Times New Roman" w:hAnsi="Times New Roman"/>
                <w:color w:val="000000"/>
                <w:sz w:val="20"/>
                <w:szCs w:val="20"/>
                <w:lang w:val="bs-Latn-BA"/>
              </w:rPr>
              <w:t>Rang</w:t>
            </w:r>
          </w:p>
        </w:tc>
        <w:tc>
          <w:tcPr>
            <w:tcW w:w="2037"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Bolest / stanje</w:t>
            </w:r>
          </w:p>
        </w:tc>
        <w:tc>
          <w:tcPr>
            <w:tcW w:w="1023"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sz w:val="20"/>
                <w:szCs w:val="20"/>
                <w:lang w:val="bs-Latn-BA"/>
              </w:rPr>
              <w:t>Broj registriranih</w:t>
            </w:r>
          </w:p>
        </w:tc>
        <w:tc>
          <w:tcPr>
            <w:tcW w:w="1129"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Mb/</w:t>
            </w:r>
          </w:p>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100000</w:t>
            </w:r>
          </w:p>
        </w:tc>
      </w:tr>
      <w:tr w:rsidR="00A131AD" w:rsidRPr="00081B73" w:rsidTr="001911A6">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1</w:t>
            </w:r>
          </w:p>
        </w:tc>
        <w:tc>
          <w:tcPr>
            <w:tcW w:w="1800"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Enterocolitis ac.</w:t>
            </w:r>
          </w:p>
        </w:tc>
        <w:tc>
          <w:tcPr>
            <w:tcW w:w="1260"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149</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452,46</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w:t>
            </w:r>
          </w:p>
        </w:tc>
        <w:tc>
          <w:tcPr>
            <w:tcW w:w="2037"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sz w:val="20"/>
                <w:szCs w:val="20"/>
              </w:rPr>
              <w:t>Enterocolitis ac.</w:t>
            </w:r>
          </w:p>
        </w:tc>
        <w:tc>
          <w:tcPr>
            <w:tcW w:w="1023" w:type="dxa"/>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pl-PL"/>
              </w:rPr>
            </w:pPr>
            <w:r w:rsidRPr="00081B73">
              <w:rPr>
                <w:rFonts w:ascii="Times New Roman" w:hAnsi="Times New Roman"/>
                <w:color w:val="000000"/>
                <w:sz w:val="20"/>
                <w:szCs w:val="20"/>
                <w:lang w:val="pl-PL"/>
              </w:rPr>
              <w:t>131</w:t>
            </w:r>
          </w:p>
        </w:tc>
        <w:tc>
          <w:tcPr>
            <w:tcW w:w="1129" w:type="dxa"/>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pl-PL"/>
              </w:rPr>
            </w:pPr>
            <w:r w:rsidRPr="00081B73">
              <w:rPr>
                <w:rFonts w:ascii="Times New Roman" w:hAnsi="Times New Roman"/>
                <w:color w:val="000000"/>
                <w:sz w:val="20"/>
                <w:szCs w:val="20"/>
                <w:lang w:val="pl-PL"/>
              </w:rPr>
              <w:t>405,06</w:t>
            </w:r>
          </w:p>
        </w:tc>
      </w:tr>
      <w:tr w:rsidR="00A131AD" w:rsidRPr="00081B73" w:rsidTr="001911A6">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2</w:t>
            </w:r>
          </w:p>
        </w:tc>
        <w:tc>
          <w:tcPr>
            <w:tcW w:w="1800"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Varicellae</w:t>
            </w:r>
          </w:p>
        </w:tc>
        <w:tc>
          <w:tcPr>
            <w:tcW w:w="1260"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47</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142,72</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2</w:t>
            </w:r>
          </w:p>
        </w:tc>
        <w:tc>
          <w:tcPr>
            <w:tcW w:w="2037"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Varicellae</w:t>
            </w:r>
          </w:p>
        </w:tc>
        <w:tc>
          <w:tcPr>
            <w:tcW w:w="1023" w:type="dxa"/>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pl-PL"/>
              </w:rPr>
            </w:pPr>
            <w:r w:rsidRPr="00081B73">
              <w:rPr>
                <w:rFonts w:ascii="Times New Roman" w:hAnsi="Times New Roman"/>
                <w:color w:val="000000"/>
                <w:sz w:val="20"/>
                <w:szCs w:val="20"/>
                <w:lang w:val="pl-PL"/>
              </w:rPr>
              <w:t>93</w:t>
            </w:r>
          </w:p>
        </w:tc>
        <w:tc>
          <w:tcPr>
            <w:tcW w:w="1129" w:type="dxa"/>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pl-PL"/>
              </w:rPr>
            </w:pPr>
            <w:r w:rsidRPr="00081B73">
              <w:rPr>
                <w:rFonts w:ascii="Times New Roman" w:hAnsi="Times New Roman"/>
                <w:color w:val="000000"/>
                <w:sz w:val="20"/>
                <w:szCs w:val="20"/>
                <w:lang w:val="pl-PL"/>
              </w:rPr>
              <w:t>287,56</w:t>
            </w:r>
          </w:p>
        </w:tc>
      </w:tr>
      <w:tr w:rsidR="00A131AD" w:rsidRPr="00081B73" w:rsidTr="001911A6">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3</w:t>
            </w:r>
          </w:p>
        </w:tc>
        <w:tc>
          <w:tcPr>
            <w:tcW w:w="1800"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Herpes zoster</w:t>
            </w:r>
          </w:p>
        </w:tc>
        <w:tc>
          <w:tcPr>
            <w:tcW w:w="1260"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31</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94,14</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3</w:t>
            </w:r>
          </w:p>
        </w:tc>
        <w:tc>
          <w:tcPr>
            <w:tcW w:w="2037"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Ili/gripa</w:t>
            </w:r>
          </w:p>
        </w:tc>
        <w:tc>
          <w:tcPr>
            <w:tcW w:w="1023" w:type="dxa"/>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pl-PL"/>
              </w:rPr>
            </w:pPr>
            <w:r w:rsidRPr="00081B73">
              <w:rPr>
                <w:rFonts w:ascii="Times New Roman" w:hAnsi="Times New Roman"/>
                <w:color w:val="000000"/>
                <w:sz w:val="20"/>
                <w:szCs w:val="20"/>
                <w:lang w:val="pl-PL"/>
              </w:rPr>
              <w:t>49</w:t>
            </w:r>
          </w:p>
        </w:tc>
        <w:tc>
          <w:tcPr>
            <w:tcW w:w="1129" w:type="dxa"/>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pl-PL"/>
              </w:rPr>
            </w:pPr>
            <w:r w:rsidRPr="00081B73">
              <w:rPr>
                <w:rFonts w:ascii="Times New Roman" w:hAnsi="Times New Roman"/>
                <w:color w:val="000000"/>
                <w:sz w:val="20"/>
                <w:szCs w:val="20"/>
                <w:lang w:val="pl-PL"/>
              </w:rPr>
              <w:t>151,51</w:t>
            </w:r>
          </w:p>
        </w:tc>
      </w:tr>
      <w:tr w:rsidR="00A131AD" w:rsidRPr="00081B73" w:rsidTr="001911A6">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4</w:t>
            </w:r>
          </w:p>
        </w:tc>
        <w:tc>
          <w:tcPr>
            <w:tcW w:w="1800"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Angina streptoc.</w:t>
            </w:r>
          </w:p>
        </w:tc>
        <w:tc>
          <w:tcPr>
            <w:tcW w:w="1260"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17</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51,62</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4</w:t>
            </w:r>
          </w:p>
        </w:tc>
        <w:tc>
          <w:tcPr>
            <w:tcW w:w="2037"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sz w:val="20"/>
                <w:szCs w:val="20"/>
              </w:rPr>
              <w:t>Herpes zoster</w:t>
            </w:r>
          </w:p>
        </w:tc>
        <w:tc>
          <w:tcPr>
            <w:tcW w:w="1023" w:type="dxa"/>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pl-PL"/>
              </w:rPr>
            </w:pPr>
            <w:r w:rsidRPr="00081B73">
              <w:rPr>
                <w:rFonts w:ascii="Times New Roman" w:hAnsi="Times New Roman"/>
                <w:color w:val="000000"/>
                <w:sz w:val="20"/>
                <w:szCs w:val="20"/>
                <w:lang w:val="pl-PL"/>
              </w:rPr>
              <w:t>35</w:t>
            </w:r>
          </w:p>
        </w:tc>
        <w:tc>
          <w:tcPr>
            <w:tcW w:w="1129" w:type="dxa"/>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pl-PL"/>
              </w:rPr>
            </w:pPr>
            <w:r w:rsidRPr="00081B73">
              <w:rPr>
                <w:rFonts w:ascii="Times New Roman" w:hAnsi="Times New Roman"/>
                <w:color w:val="000000"/>
                <w:sz w:val="20"/>
                <w:szCs w:val="20"/>
                <w:lang w:val="pl-PL"/>
              </w:rPr>
              <w:t>108,22</w:t>
            </w:r>
          </w:p>
        </w:tc>
      </w:tr>
      <w:tr w:rsidR="00A131AD" w:rsidRPr="00081B73" w:rsidTr="001911A6">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5</w:t>
            </w:r>
          </w:p>
        </w:tc>
        <w:tc>
          <w:tcPr>
            <w:tcW w:w="1800"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Scabies</w:t>
            </w:r>
          </w:p>
        </w:tc>
        <w:tc>
          <w:tcPr>
            <w:tcW w:w="1260"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16</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48,59</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5</w:t>
            </w:r>
          </w:p>
        </w:tc>
        <w:tc>
          <w:tcPr>
            <w:tcW w:w="2037"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sz w:val="20"/>
                <w:szCs w:val="20"/>
              </w:rPr>
              <w:t>Angina streptoc.</w:t>
            </w:r>
          </w:p>
        </w:tc>
        <w:tc>
          <w:tcPr>
            <w:tcW w:w="1023" w:type="dxa"/>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pl-PL"/>
              </w:rPr>
            </w:pPr>
            <w:r w:rsidRPr="00081B73">
              <w:rPr>
                <w:rFonts w:ascii="Times New Roman" w:hAnsi="Times New Roman"/>
                <w:color w:val="000000"/>
                <w:sz w:val="20"/>
                <w:szCs w:val="20"/>
                <w:lang w:val="pl-PL"/>
              </w:rPr>
              <w:t>9</w:t>
            </w:r>
          </w:p>
        </w:tc>
        <w:tc>
          <w:tcPr>
            <w:tcW w:w="1129" w:type="dxa"/>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pl-PL"/>
              </w:rPr>
            </w:pPr>
            <w:r w:rsidRPr="00081B73">
              <w:rPr>
                <w:rFonts w:ascii="Times New Roman" w:hAnsi="Times New Roman"/>
                <w:color w:val="000000"/>
                <w:sz w:val="20"/>
                <w:szCs w:val="20"/>
                <w:lang w:val="pl-PL"/>
              </w:rPr>
              <w:t>27,83</w:t>
            </w:r>
          </w:p>
        </w:tc>
      </w:tr>
      <w:tr w:rsidR="00A131AD" w:rsidRPr="00081B73" w:rsidTr="001911A6">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p>
        </w:tc>
        <w:tc>
          <w:tcPr>
            <w:tcW w:w="1800"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Ukupno 5 vodećih</w:t>
            </w:r>
          </w:p>
        </w:tc>
        <w:tc>
          <w:tcPr>
            <w:tcW w:w="1260"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260</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789,52</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p>
        </w:tc>
        <w:tc>
          <w:tcPr>
            <w:tcW w:w="2037"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Ukupno 5 vodećih</w:t>
            </w:r>
          </w:p>
        </w:tc>
        <w:tc>
          <w:tcPr>
            <w:tcW w:w="1023" w:type="dxa"/>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317</w:t>
            </w:r>
          </w:p>
        </w:tc>
        <w:tc>
          <w:tcPr>
            <w:tcW w:w="1129" w:type="dxa"/>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980,2</w:t>
            </w:r>
          </w:p>
        </w:tc>
      </w:tr>
      <w:tr w:rsidR="00A131AD" w:rsidRPr="00081B73" w:rsidTr="001911A6">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p>
        </w:tc>
        <w:tc>
          <w:tcPr>
            <w:tcW w:w="1800"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Sveukupno</w:t>
            </w:r>
          </w:p>
        </w:tc>
        <w:tc>
          <w:tcPr>
            <w:tcW w:w="1260"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287</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871,52</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p>
        </w:tc>
        <w:tc>
          <w:tcPr>
            <w:tcW w:w="2037"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Ukupno prijavljeno</w:t>
            </w:r>
          </w:p>
        </w:tc>
        <w:tc>
          <w:tcPr>
            <w:tcW w:w="1023" w:type="dxa"/>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339</w:t>
            </w:r>
          </w:p>
        </w:tc>
        <w:tc>
          <w:tcPr>
            <w:tcW w:w="1129" w:type="dxa"/>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1048,21</w:t>
            </w:r>
          </w:p>
        </w:tc>
      </w:tr>
    </w:tbl>
    <w:p w:rsidR="00A131AD" w:rsidRPr="00081B73" w:rsidRDefault="00A131AD" w:rsidP="000C0138">
      <w:pPr>
        <w:spacing w:line="276" w:lineRule="auto"/>
        <w:rPr>
          <w:rFonts w:ascii="Times New Roman" w:hAnsi="Times New Roman"/>
          <w:sz w:val="20"/>
          <w:szCs w:val="20"/>
          <w:lang w:val="bs-Latn-BA"/>
        </w:rPr>
      </w:pPr>
    </w:p>
    <w:p w:rsidR="00A131AD" w:rsidRPr="00081B73" w:rsidRDefault="00A131AD" w:rsidP="00CF03C8">
      <w:pPr>
        <w:pStyle w:val="refererere"/>
        <w:rPr>
          <w:lang w:val="bs-Latn-BA"/>
        </w:rPr>
      </w:pPr>
      <w:r w:rsidRPr="00081B73">
        <w:rPr>
          <w:lang w:val="bs-Latn-BA"/>
        </w:rPr>
        <w:t>Tabl</w:t>
      </w:r>
      <w:r w:rsidR="00624C80">
        <w:rPr>
          <w:lang w:val="bs-Latn-BA"/>
        </w:rPr>
        <w:t>ic</w:t>
      </w:r>
      <w:r w:rsidRPr="00081B73">
        <w:rPr>
          <w:lang w:val="bs-Latn-BA"/>
        </w:rPr>
        <w:t>a 5: Prevalenc</w:t>
      </w:r>
      <w:r w:rsidR="00624C80">
        <w:rPr>
          <w:lang w:val="bs-Latn-BA"/>
        </w:rPr>
        <w:t>ij</w:t>
      </w:r>
      <w:r w:rsidRPr="00081B73">
        <w:rPr>
          <w:lang w:val="bs-Latn-BA"/>
        </w:rPr>
        <w:t>a nezaraznih bolesti za 2010 i  2015. godinu</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823"/>
        <w:gridCol w:w="2824"/>
        <w:gridCol w:w="2420"/>
      </w:tblGrid>
      <w:tr w:rsidR="00A131AD" w:rsidRPr="00081B73" w:rsidTr="00A3192C">
        <w:trPr>
          <w:cantSplit/>
          <w:trHeight w:val="405"/>
        </w:trPr>
        <w:tc>
          <w:tcPr>
            <w:tcW w:w="3823" w:type="dxa"/>
            <w:vMerge w:val="restart"/>
            <w:shd w:val="clear" w:color="auto" w:fill="FFFF00"/>
            <w:vAlign w:val="center"/>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Bolest</w:t>
            </w:r>
          </w:p>
        </w:tc>
        <w:tc>
          <w:tcPr>
            <w:tcW w:w="2824"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2010.</w:t>
            </w:r>
          </w:p>
        </w:tc>
        <w:tc>
          <w:tcPr>
            <w:tcW w:w="2420"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2015.</w:t>
            </w:r>
          </w:p>
        </w:tc>
      </w:tr>
      <w:tr w:rsidR="00A131AD" w:rsidRPr="00081B73" w:rsidTr="00A3192C">
        <w:trPr>
          <w:cantSplit/>
          <w:trHeight w:val="345"/>
        </w:trPr>
        <w:tc>
          <w:tcPr>
            <w:tcW w:w="3823" w:type="dxa"/>
            <w:vMerge/>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p>
        </w:tc>
        <w:tc>
          <w:tcPr>
            <w:tcW w:w="2824"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Morbiditet</w:t>
            </w:r>
            <w:r w:rsidRPr="00081B73">
              <w:rPr>
                <w:rFonts w:ascii="Times New Roman" w:hAnsi="Times New Roman"/>
                <w:bCs/>
                <w:sz w:val="20"/>
                <w:szCs w:val="20"/>
                <w:lang w:val="bs-Latn-BA"/>
              </w:rPr>
              <w:br/>
              <w:t>/10.000</w:t>
            </w:r>
          </w:p>
        </w:tc>
        <w:tc>
          <w:tcPr>
            <w:tcW w:w="2420"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Morbiditet</w:t>
            </w:r>
            <w:r w:rsidRPr="00081B73">
              <w:rPr>
                <w:rFonts w:ascii="Times New Roman" w:hAnsi="Times New Roman"/>
                <w:bCs/>
                <w:sz w:val="20"/>
                <w:szCs w:val="20"/>
                <w:lang w:val="bs-Latn-BA"/>
              </w:rPr>
              <w:br/>
              <w:t>/10.000</w:t>
            </w:r>
          </w:p>
        </w:tc>
      </w:tr>
      <w:tr w:rsidR="00A131AD" w:rsidRPr="00081B73" w:rsidTr="00A3192C">
        <w:tc>
          <w:tcPr>
            <w:tcW w:w="3823"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Kardiovaskularne (I00-I99)</w:t>
            </w:r>
          </w:p>
        </w:tc>
        <w:tc>
          <w:tcPr>
            <w:tcW w:w="2824"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1.739,4</w:t>
            </w:r>
          </w:p>
        </w:tc>
        <w:tc>
          <w:tcPr>
            <w:tcW w:w="242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1782,9</w:t>
            </w:r>
          </w:p>
        </w:tc>
      </w:tr>
      <w:tr w:rsidR="00A131AD" w:rsidRPr="00081B73" w:rsidTr="00A3192C">
        <w:tc>
          <w:tcPr>
            <w:tcW w:w="3823"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Maligne neoplazme (C00-C97)</w:t>
            </w:r>
          </w:p>
        </w:tc>
        <w:tc>
          <w:tcPr>
            <w:tcW w:w="2824"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45,9</w:t>
            </w:r>
          </w:p>
        </w:tc>
        <w:tc>
          <w:tcPr>
            <w:tcW w:w="242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44,8</w:t>
            </w:r>
          </w:p>
        </w:tc>
      </w:tr>
      <w:tr w:rsidR="00A131AD" w:rsidRPr="00081B73" w:rsidTr="00A3192C">
        <w:tc>
          <w:tcPr>
            <w:tcW w:w="3823"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Diabetes mellitus (E10-E14)</w:t>
            </w:r>
          </w:p>
        </w:tc>
        <w:tc>
          <w:tcPr>
            <w:tcW w:w="2824"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321,9</w:t>
            </w:r>
          </w:p>
        </w:tc>
        <w:tc>
          <w:tcPr>
            <w:tcW w:w="242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391,5</w:t>
            </w:r>
          </w:p>
        </w:tc>
      </w:tr>
      <w:tr w:rsidR="00A131AD" w:rsidRPr="00081B73" w:rsidTr="00A3192C">
        <w:tc>
          <w:tcPr>
            <w:tcW w:w="3823" w:type="dxa"/>
          </w:tcPr>
          <w:p w:rsidR="00A131AD" w:rsidRPr="00081B73" w:rsidRDefault="00624C80" w:rsidP="000C0138">
            <w:pPr>
              <w:spacing w:line="276" w:lineRule="auto"/>
              <w:rPr>
                <w:rFonts w:ascii="Times New Roman" w:hAnsi="Times New Roman"/>
                <w:sz w:val="20"/>
                <w:szCs w:val="20"/>
                <w:lang w:val="bs-Latn-BA"/>
              </w:rPr>
            </w:pPr>
            <w:r>
              <w:rPr>
                <w:rFonts w:ascii="Times New Roman" w:hAnsi="Times New Roman"/>
                <w:sz w:val="20"/>
                <w:szCs w:val="20"/>
                <w:lang w:val="bs-Latn-BA"/>
              </w:rPr>
              <w:t>K</w:t>
            </w:r>
            <w:r w:rsidR="00A131AD" w:rsidRPr="00081B73">
              <w:rPr>
                <w:rFonts w:ascii="Times New Roman" w:hAnsi="Times New Roman"/>
                <w:sz w:val="20"/>
                <w:szCs w:val="20"/>
                <w:lang w:val="bs-Latn-BA"/>
              </w:rPr>
              <w:t>ronične plućne opstruktivne (J40-J46)</w:t>
            </w:r>
          </w:p>
        </w:tc>
        <w:tc>
          <w:tcPr>
            <w:tcW w:w="2824"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215,6</w:t>
            </w:r>
          </w:p>
        </w:tc>
        <w:tc>
          <w:tcPr>
            <w:tcW w:w="2420" w:type="dxa"/>
          </w:tcPr>
          <w:p w:rsidR="00A131AD" w:rsidRPr="00081B73" w:rsidRDefault="00A131AD" w:rsidP="000C0138">
            <w:pPr>
              <w:tabs>
                <w:tab w:val="left" w:pos="390"/>
              </w:tabs>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192,9</w:t>
            </w:r>
          </w:p>
        </w:tc>
      </w:tr>
      <w:tr w:rsidR="00A131AD" w:rsidRPr="00081B73" w:rsidTr="00A3192C">
        <w:tc>
          <w:tcPr>
            <w:tcW w:w="3823"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Mentalne (F00-F99)</w:t>
            </w:r>
          </w:p>
        </w:tc>
        <w:tc>
          <w:tcPr>
            <w:tcW w:w="2824"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241,1</w:t>
            </w:r>
          </w:p>
        </w:tc>
        <w:tc>
          <w:tcPr>
            <w:tcW w:w="242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198,8</w:t>
            </w:r>
          </w:p>
        </w:tc>
      </w:tr>
      <w:tr w:rsidR="00A131AD" w:rsidRPr="00081B73" w:rsidTr="00A3192C">
        <w:tc>
          <w:tcPr>
            <w:tcW w:w="3823"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Koštano-mišićne (M00-M99)</w:t>
            </w:r>
          </w:p>
        </w:tc>
        <w:tc>
          <w:tcPr>
            <w:tcW w:w="2824"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699,9</w:t>
            </w:r>
          </w:p>
        </w:tc>
        <w:tc>
          <w:tcPr>
            <w:tcW w:w="242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813,5</w:t>
            </w:r>
          </w:p>
        </w:tc>
      </w:tr>
    </w:tbl>
    <w:p w:rsidR="00A131AD" w:rsidRPr="00081B73" w:rsidRDefault="00A131AD" w:rsidP="000C0138">
      <w:pPr>
        <w:spacing w:line="276" w:lineRule="auto"/>
        <w:rPr>
          <w:rFonts w:ascii="Times New Roman" w:hAnsi="Times New Roman"/>
          <w:sz w:val="20"/>
          <w:szCs w:val="20"/>
          <w:lang w:val="bs-Latn-BA"/>
        </w:rPr>
      </w:pPr>
    </w:p>
    <w:p w:rsidR="00A131AD" w:rsidRPr="00081B73" w:rsidRDefault="00A131AD" w:rsidP="00CF03C8">
      <w:pPr>
        <w:pStyle w:val="refererere"/>
        <w:rPr>
          <w:lang w:val="bs-Latn-BA"/>
        </w:rPr>
      </w:pPr>
      <w:r w:rsidRPr="00081B73">
        <w:rPr>
          <w:lang w:val="bs-Latn-BA"/>
        </w:rPr>
        <w:t>Tabl</w:t>
      </w:r>
      <w:r w:rsidR="00624C80">
        <w:rPr>
          <w:lang w:val="bs-Latn-BA"/>
        </w:rPr>
        <w:t>ic</w:t>
      </w:r>
      <w:r w:rsidRPr="00081B73">
        <w:rPr>
          <w:lang w:val="bs-Latn-BA"/>
        </w:rPr>
        <w:t>a 6:  Okolinski zdravstveni indikatori</w:t>
      </w:r>
    </w:p>
    <w:tbl>
      <w:tblPr>
        <w:tblW w:w="93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68"/>
        <w:gridCol w:w="1969"/>
        <w:gridCol w:w="1622"/>
        <w:gridCol w:w="1401"/>
        <w:gridCol w:w="1401"/>
        <w:gridCol w:w="1571"/>
      </w:tblGrid>
      <w:tr w:rsidR="00A131AD" w:rsidRPr="00081B73" w:rsidTr="001911A6">
        <w:trPr>
          <w:cantSplit/>
        </w:trPr>
        <w:tc>
          <w:tcPr>
            <w:tcW w:w="1368" w:type="dxa"/>
            <w:vMerge w:val="restart"/>
            <w:shd w:val="clear" w:color="auto" w:fill="FFFF00"/>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bCs/>
                <w:sz w:val="20"/>
                <w:szCs w:val="20"/>
                <w:lang w:val="bs-Latn-BA"/>
              </w:rPr>
              <w:t>Bosansko-podrinjski kanton</w:t>
            </w:r>
            <w:r w:rsidRPr="00081B73">
              <w:rPr>
                <w:rFonts w:ascii="Times New Roman" w:hAnsi="Times New Roman"/>
                <w:sz w:val="20"/>
                <w:szCs w:val="20"/>
                <w:lang w:val="bs-Latn-BA"/>
              </w:rPr>
              <w:t xml:space="preserve"> </w:t>
            </w:r>
          </w:p>
        </w:tc>
        <w:tc>
          <w:tcPr>
            <w:tcW w:w="1969" w:type="dxa"/>
            <w:shd w:val="clear" w:color="auto" w:fill="FFFF00"/>
            <w:vAlign w:val="center"/>
          </w:tcPr>
          <w:p w:rsidR="00A131AD" w:rsidRPr="00081B73" w:rsidRDefault="00A131AD" w:rsidP="00624C80">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 xml:space="preserve">% stanovništva priključen na </w:t>
            </w:r>
            <w:r w:rsidR="00624C80">
              <w:rPr>
                <w:rFonts w:ascii="Times New Roman" w:hAnsi="Times New Roman"/>
                <w:sz w:val="20"/>
                <w:szCs w:val="20"/>
                <w:lang w:val="bs-Latn-BA"/>
              </w:rPr>
              <w:t>središnji</w:t>
            </w:r>
            <w:r w:rsidRPr="00081B73">
              <w:rPr>
                <w:rFonts w:ascii="Times New Roman" w:hAnsi="Times New Roman"/>
                <w:sz w:val="20"/>
                <w:szCs w:val="20"/>
                <w:lang w:val="bs-Latn-BA"/>
              </w:rPr>
              <w:t xml:space="preserve"> s</w:t>
            </w:r>
            <w:r w:rsidR="00624C80">
              <w:rPr>
                <w:rFonts w:ascii="Times New Roman" w:hAnsi="Times New Roman"/>
                <w:sz w:val="20"/>
                <w:szCs w:val="20"/>
                <w:lang w:val="bs-Latn-BA"/>
              </w:rPr>
              <w:t>ustav</w:t>
            </w:r>
            <w:r w:rsidRPr="00081B73">
              <w:rPr>
                <w:rFonts w:ascii="Times New Roman" w:hAnsi="Times New Roman"/>
                <w:sz w:val="20"/>
                <w:szCs w:val="20"/>
                <w:lang w:val="bs-Latn-BA"/>
              </w:rPr>
              <w:t xml:space="preserve"> vodo</w:t>
            </w:r>
            <w:r w:rsidR="00624C80">
              <w:rPr>
                <w:rFonts w:ascii="Times New Roman" w:hAnsi="Times New Roman"/>
                <w:sz w:val="20"/>
                <w:szCs w:val="20"/>
                <w:lang w:val="bs-Latn-BA"/>
              </w:rPr>
              <w:t>opskrbe</w:t>
            </w:r>
          </w:p>
        </w:tc>
        <w:tc>
          <w:tcPr>
            <w:tcW w:w="1622" w:type="dxa"/>
            <w:shd w:val="clear" w:color="auto" w:fill="FFFF00"/>
            <w:vAlign w:val="center"/>
          </w:tcPr>
          <w:p w:rsidR="00A131AD" w:rsidRPr="00081B73" w:rsidRDefault="00A131AD" w:rsidP="00624C80">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 stanovništva priključen na kanalizaci</w:t>
            </w:r>
            <w:r w:rsidR="00624C80">
              <w:rPr>
                <w:rFonts w:ascii="Times New Roman" w:hAnsi="Times New Roman"/>
                <w:sz w:val="20"/>
                <w:szCs w:val="20"/>
                <w:lang w:val="bs-Latn-BA"/>
              </w:rPr>
              <w:t>jski</w:t>
            </w:r>
            <w:r w:rsidRPr="00081B73">
              <w:rPr>
                <w:rFonts w:ascii="Times New Roman" w:hAnsi="Times New Roman"/>
                <w:sz w:val="20"/>
                <w:szCs w:val="20"/>
                <w:lang w:val="bs-Latn-BA"/>
              </w:rPr>
              <w:t xml:space="preserve"> s</w:t>
            </w:r>
            <w:r w:rsidR="00624C80">
              <w:rPr>
                <w:rFonts w:ascii="Times New Roman" w:hAnsi="Times New Roman"/>
                <w:sz w:val="20"/>
                <w:szCs w:val="20"/>
                <w:lang w:val="bs-Latn-BA"/>
              </w:rPr>
              <w:t>ustav</w:t>
            </w:r>
          </w:p>
        </w:tc>
        <w:tc>
          <w:tcPr>
            <w:tcW w:w="1401" w:type="dxa"/>
            <w:shd w:val="clear" w:color="auto" w:fill="FFFF00"/>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Mjerenje koncentracije SO</w:t>
            </w:r>
            <w:r w:rsidRPr="00081B73">
              <w:rPr>
                <w:rFonts w:ascii="Times New Roman" w:hAnsi="Times New Roman"/>
                <w:sz w:val="20"/>
                <w:szCs w:val="20"/>
                <w:vertAlign w:val="subscript"/>
                <w:lang w:val="bs-Latn-BA"/>
              </w:rPr>
              <w:t>2</w:t>
            </w:r>
            <w:r w:rsidRPr="00081B73">
              <w:rPr>
                <w:rFonts w:ascii="Times New Roman" w:hAnsi="Times New Roman"/>
                <w:sz w:val="20"/>
                <w:szCs w:val="20"/>
                <w:lang w:val="bs-Latn-BA"/>
              </w:rPr>
              <w:t xml:space="preserve"> u zraku</w:t>
            </w:r>
          </w:p>
        </w:tc>
        <w:tc>
          <w:tcPr>
            <w:tcW w:w="1401" w:type="dxa"/>
            <w:shd w:val="clear" w:color="auto" w:fill="FFFF00"/>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Mjerenje koncentracije NO</w:t>
            </w:r>
            <w:r w:rsidRPr="00081B73">
              <w:rPr>
                <w:rFonts w:ascii="Times New Roman" w:hAnsi="Times New Roman"/>
                <w:sz w:val="20"/>
                <w:szCs w:val="20"/>
                <w:vertAlign w:val="subscript"/>
                <w:lang w:val="bs-Latn-BA"/>
              </w:rPr>
              <w:t>2</w:t>
            </w:r>
            <w:r w:rsidRPr="00081B73">
              <w:rPr>
                <w:rFonts w:ascii="Times New Roman" w:hAnsi="Times New Roman"/>
                <w:sz w:val="20"/>
                <w:szCs w:val="20"/>
                <w:lang w:val="bs-Latn-BA"/>
              </w:rPr>
              <w:t xml:space="preserve"> u zraku</w:t>
            </w:r>
          </w:p>
        </w:tc>
        <w:tc>
          <w:tcPr>
            <w:tcW w:w="1571" w:type="dxa"/>
            <w:shd w:val="clear" w:color="auto" w:fill="FFFF00"/>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Mjerenje koncentracije dima u zraku</w:t>
            </w:r>
          </w:p>
        </w:tc>
      </w:tr>
      <w:tr w:rsidR="00A131AD" w:rsidRPr="00081B73" w:rsidTr="001911A6">
        <w:trPr>
          <w:cantSplit/>
          <w:trHeight w:val="431"/>
        </w:trPr>
        <w:tc>
          <w:tcPr>
            <w:tcW w:w="1368" w:type="dxa"/>
            <w:vMerge/>
            <w:vAlign w:val="center"/>
          </w:tcPr>
          <w:p w:rsidR="00A131AD" w:rsidRPr="00081B73" w:rsidRDefault="00A131AD" w:rsidP="000C0138">
            <w:pPr>
              <w:spacing w:line="276" w:lineRule="auto"/>
              <w:jc w:val="center"/>
              <w:rPr>
                <w:rFonts w:ascii="Times New Roman" w:hAnsi="Times New Roman"/>
                <w:sz w:val="20"/>
                <w:szCs w:val="20"/>
                <w:lang w:val="bs-Latn-BA"/>
              </w:rPr>
            </w:pPr>
          </w:p>
        </w:tc>
        <w:tc>
          <w:tcPr>
            <w:tcW w:w="1969" w:type="dxa"/>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w:t>
            </w:r>
          </w:p>
        </w:tc>
        <w:tc>
          <w:tcPr>
            <w:tcW w:w="1622" w:type="dxa"/>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w:t>
            </w:r>
          </w:p>
        </w:tc>
        <w:tc>
          <w:tcPr>
            <w:tcW w:w="1401" w:type="dxa"/>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ne mjeri se</w:t>
            </w:r>
          </w:p>
        </w:tc>
        <w:tc>
          <w:tcPr>
            <w:tcW w:w="1401" w:type="dxa"/>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ne mjeri se</w:t>
            </w:r>
          </w:p>
        </w:tc>
        <w:tc>
          <w:tcPr>
            <w:tcW w:w="1571" w:type="dxa"/>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ne mjeri se</w:t>
            </w:r>
          </w:p>
        </w:tc>
      </w:tr>
    </w:tbl>
    <w:p w:rsidR="00A131AD" w:rsidRPr="00081B73" w:rsidRDefault="00A131AD" w:rsidP="000C0138">
      <w:pPr>
        <w:pStyle w:val="Footer"/>
        <w:spacing w:line="276" w:lineRule="auto"/>
        <w:rPr>
          <w:rFonts w:ascii="Times New Roman" w:hAnsi="Times New Roman"/>
          <w:sz w:val="20"/>
          <w:szCs w:val="20"/>
          <w:lang w:val="bs-Latn-BA"/>
        </w:rPr>
      </w:pPr>
    </w:p>
    <w:p w:rsidR="00A131AD" w:rsidRPr="00081B73" w:rsidRDefault="00A131AD" w:rsidP="000C0138">
      <w:pPr>
        <w:pStyle w:val="Footer"/>
        <w:spacing w:line="276" w:lineRule="auto"/>
        <w:rPr>
          <w:rFonts w:ascii="Times New Roman" w:hAnsi="Times New Roman"/>
          <w:sz w:val="20"/>
          <w:szCs w:val="20"/>
          <w:lang w:val="bs-Latn-BA"/>
        </w:rPr>
      </w:pPr>
      <w:r w:rsidRPr="00081B73">
        <w:rPr>
          <w:rFonts w:ascii="Times New Roman" w:hAnsi="Times New Roman"/>
          <w:sz w:val="20"/>
          <w:szCs w:val="20"/>
          <w:lang w:val="bs-Latn-BA"/>
        </w:rPr>
        <w:t>Tabl</w:t>
      </w:r>
      <w:r w:rsidR="00624C80">
        <w:rPr>
          <w:rFonts w:ascii="Times New Roman" w:hAnsi="Times New Roman"/>
          <w:sz w:val="20"/>
          <w:szCs w:val="20"/>
          <w:lang w:val="bs-Latn-BA"/>
        </w:rPr>
        <w:t>ic</w:t>
      </w:r>
      <w:r w:rsidRPr="00081B73">
        <w:rPr>
          <w:rFonts w:ascii="Times New Roman" w:hAnsi="Times New Roman"/>
          <w:sz w:val="20"/>
          <w:szCs w:val="20"/>
          <w:lang w:val="bs-Latn-BA"/>
        </w:rPr>
        <w:t>a 7: Zdravstvena zaštita za 2010</w:t>
      </w:r>
      <w:r w:rsidR="00624C80">
        <w:rPr>
          <w:rFonts w:ascii="Times New Roman" w:hAnsi="Times New Roman"/>
          <w:sz w:val="20"/>
          <w:szCs w:val="20"/>
          <w:lang w:val="bs-Latn-BA"/>
        </w:rPr>
        <w:t>.</w:t>
      </w:r>
      <w:r w:rsidRPr="00081B73">
        <w:rPr>
          <w:rFonts w:ascii="Times New Roman" w:hAnsi="Times New Roman"/>
          <w:sz w:val="20"/>
          <w:szCs w:val="20"/>
          <w:lang w:val="bs-Latn-BA"/>
        </w:rPr>
        <w:t xml:space="preserve"> i  2014. godinu</w:t>
      </w: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01"/>
        <w:gridCol w:w="8"/>
        <w:gridCol w:w="3807"/>
        <w:gridCol w:w="2279"/>
        <w:gridCol w:w="2293"/>
      </w:tblGrid>
      <w:tr w:rsidR="00A131AD" w:rsidRPr="00081B73" w:rsidTr="001911A6">
        <w:trPr>
          <w:trHeight w:val="509"/>
        </w:trPr>
        <w:tc>
          <w:tcPr>
            <w:tcW w:w="4716" w:type="dxa"/>
            <w:gridSpan w:val="3"/>
            <w:shd w:val="clear" w:color="auto" w:fill="FFFF00"/>
            <w:vAlign w:val="center"/>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sz w:val="20"/>
                <w:szCs w:val="20"/>
                <w:lang w:val="bs-Latn-BA"/>
              </w:rPr>
              <w:t>Broj</w:t>
            </w:r>
          </w:p>
        </w:tc>
        <w:tc>
          <w:tcPr>
            <w:tcW w:w="2279"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2010.</w:t>
            </w:r>
          </w:p>
        </w:tc>
        <w:tc>
          <w:tcPr>
            <w:tcW w:w="2293"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2015.</w:t>
            </w:r>
          </w:p>
        </w:tc>
      </w:tr>
      <w:tr w:rsidR="00A131AD" w:rsidRPr="00081B73" w:rsidTr="001911A6">
        <w:trPr>
          <w:cantSplit/>
        </w:trPr>
        <w:tc>
          <w:tcPr>
            <w:tcW w:w="909" w:type="dxa"/>
            <w:gridSpan w:val="2"/>
            <w:vMerge w:val="restart"/>
            <w:tcBorders>
              <w:top w:val="single" w:sz="4" w:space="0" w:color="auto"/>
              <w:left w:val="single" w:sz="4" w:space="0" w:color="auto"/>
              <w:bottom w:val="nil"/>
              <w:right w:val="single" w:sz="4" w:space="0" w:color="auto"/>
            </w:tcBorders>
            <w:vAlign w:val="bottom"/>
          </w:tcPr>
          <w:p w:rsidR="00A131AD" w:rsidRPr="00081B73" w:rsidRDefault="00A131AD" w:rsidP="000C0138">
            <w:pPr>
              <w:pStyle w:val="NormalWeb"/>
              <w:spacing w:before="0" w:beforeAutospacing="0" w:after="0" w:afterAutospacing="0" w:line="276" w:lineRule="auto"/>
              <w:rPr>
                <w:sz w:val="20"/>
                <w:szCs w:val="20"/>
                <w:lang w:val="bs-Latn-BA"/>
              </w:rPr>
            </w:pPr>
            <w:r w:rsidRPr="00081B73">
              <w:rPr>
                <w:sz w:val="20"/>
                <w:szCs w:val="20"/>
                <w:lang w:val="bs-Latn-BA"/>
              </w:rPr>
              <w:t>PZZ</w:t>
            </w:r>
          </w:p>
        </w:tc>
        <w:tc>
          <w:tcPr>
            <w:tcW w:w="3807" w:type="dxa"/>
            <w:tcBorders>
              <w:left w:val="single" w:sz="4" w:space="0" w:color="auto"/>
            </w:tcBorders>
          </w:tcPr>
          <w:p w:rsidR="00A131AD" w:rsidRPr="00081B73" w:rsidRDefault="00A131AD" w:rsidP="000C0138">
            <w:pPr>
              <w:pStyle w:val="NormalWeb"/>
              <w:spacing w:before="0" w:beforeAutospacing="0" w:after="0" w:afterAutospacing="0" w:line="276" w:lineRule="auto"/>
              <w:rPr>
                <w:sz w:val="20"/>
                <w:szCs w:val="20"/>
                <w:lang w:val="bs-Latn-BA"/>
              </w:rPr>
            </w:pPr>
            <w:r w:rsidRPr="00081B73">
              <w:rPr>
                <w:sz w:val="20"/>
                <w:szCs w:val="20"/>
                <w:lang w:val="bs-Latn-BA"/>
              </w:rPr>
              <w:t>ordinacije PZZ</w:t>
            </w:r>
          </w:p>
        </w:tc>
        <w:tc>
          <w:tcPr>
            <w:tcW w:w="2279" w:type="dxa"/>
            <w:vAlign w:val="center"/>
          </w:tcPr>
          <w:p w:rsidR="00A131AD" w:rsidRPr="00081B73" w:rsidRDefault="00A131AD" w:rsidP="000C0138">
            <w:pPr>
              <w:pStyle w:val="NormalWeb"/>
              <w:spacing w:line="276" w:lineRule="auto"/>
              <w:jc w:val="right"/>
              <w:rPr>
                <w:sz w:val="20"/>
                <w:szCs w:val="20"/>
                <w:lang w:val="bs-Latn-BA"/>
              </w:rPr>
            </w:pPr>
            <w:r w:rsidRPr="00081B73">
              <w:rPr>
                <w:sz w:val="20"/>
                <w:szCs w:val="20"/>
                <w:lang w:val="bs-Latn-BA"/>
              </w:rPr>
              <w:t>19</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18</w:t>
            </w:r>
          </w:p>
        </w:tc>
      </w:tr>
      <w:tr w:rsidR="00A131AD" w:rsidRPr="00081B73" w:rsidTr="001911A6">
        <w:trPr>
          <w:cantSplit/>
        </w:trPr>
        <w:tc>
          <w:tcPr>
            <w:tcW w:w="909" w:type="dxa"/>
            <w:gridSpan w:val="2"/>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07" w:type="dxa"/>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stomatološke ordinacije/stolice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7</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8</w:t>
            </w:r>
          </w:p>
        </w:tc>
      </w:tr>
      <w:tr w:rsidR="00A131AD" w:rsidRPr="00081B73" w:rsidTr="001911A6">
        <w:trPr>
          <w:cantSplit/>
        </w:trPr>
        <w:tc>
          <w:tcPr>
            <w:tcW w:w="909" w:type="dxa"/>
            <w:gridSpan w:val="2"/>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07" w:type="dxa"/>
            <w:tcBorders>
              <w:left w:val="single" w:sz="4" w:space="0" w:color="auto"/>
            </w:tcBorders>
          </w:tcPr>
          <w:p w:rsidR="00A131AD" w:rsidRPr="00081B73" w:rsidRDefault="00624C80" w:rsidP="000C0138">
            <w:pPr>
              <w:spacing w:line="276" w:lineRule="auto"/>
              <w:rPr>
                <w:rFonts w:ascii="Times New Roman" w:hAnsi="Times New Roman"/>
                <w:sz w:val="20"/>
                <w:szCs w:val="20"/>
                <w:lang w:val="bs-Latn-BA"/>
              </w:rPr>
            </w:pPr>
            <w:r>
              <w:rPr>
                <w:rFonts w:ascii="Times New Roman" w:hAnsi="Times New Roman"/>
                <w:sz w:val="20"/>
                <w:szCs w:val="20"/>
                <w:lang w:val="bs-Latn-BA"/>
              </w:rPr>
              <w:t>ljkarne</w:t>
            </w:r>
            <w:r w:rsidR="00A131AD" w:rsidRPr="00081B73">
              <w:rPr>
                <w:rFonts w:ascii="Times New Roman" w:hAnsi="Times New Roman"/>
                <w:sz w:val="20"/>
                <w:szCs w:val="20"/>
                <w:lang w:val="bs-Latn-BA"/>
              </w:rPr>
              <w:t xml:space="preserve"> u javnom sektoru</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w:t>
            </w:r>
          </w:p>
        </w:tc>
      </w:tr>
      <w:tr w:rsidR="00A131AD" w:rsidRPr="00081B73" w:rsidTr="001911A6">
        <w:trPr>
          <w:cantSplit/>
        </w:trPr>
        <w:tc>
          <w:tcPr>
            <w:tcW w:w="901" w:type="dxa"/>
            <w:vMerge w:val="restart"/>
            <w:tcBorders>
              <w:top w:val="nil"/>
              <w:left w:val="single" w:sz="4" w:space="0" w:color="auto"/>
              <w:bottom w:val="nil"/>
              <w:right w:val="single" w:sz="4" w:space="0" w:color="auto"/>
            </w:tcBorders>
            <w:vAlign w:val="center"/>
          </w:tcPr>
          <w:p w:rsidR="00A131AD" w:rsidRPr="00081B73" w:rsidRDefault="00A131AD" w:rsidP="000C0138">
            <w:pPr>
              <w:spacing w:line="276" w:lineRule="auto"/>
              <w:jc w:val="left"/>
              <w:rPr>
                <w:rFonts w:ascii="Times New Roman" w:hAnsi="Times New Roman"/>
                <w:sz w:val="20"/>
                <w:szCs w:val="20"/>
                <w:lang w:val="bs-Latn-BA"/>
              </w:rPr>
            </w:pPr>
          </w:p>
        </w:tc>
        <w:tc>
          <w:tcPr>
            <w:tcW w:w="381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dr medicine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17</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18</w:t>
            </w:r>
          </w:p>
        </w:tc>
      </w:tr>
      <w:tr w:rsidR="00A131AD" w:rsidRPr="00081B73" w:rsidTr="001911A6">
        <w:trPr>
          <w:cantSplit/>
        </w:trPr>
        <w:tc>
          <w:tcPr>
            <w:tcW w:w="901" w:type="dxa"/>
            <w:vMerge/>
            <w:tcBorders>
              <w:top w:val="nil"/>
              <w:left w:val="single" w:sz="4" w:space="0" w:color="auto"/>
              <w:bottom w:val="nil"/>
              <w:right w:val="single" w:sz="4" w:space="0" w:color="auto"/>
            </w:tcBorders>
            <w:vAlign w:val="center"/>
          </w:tcPr>
          <w:p w:rsidR="00A131AD" w:rsidRPr="00081B73" w:rsidRDefault="00A131AD" w:rsidP="000C0138">
            <w:pPr>
              <w:spacing w:line="276" w:lineRule="auto"/>
              <w:jc w:val="left"/>
              <w:rPr>
                <w:rFonts w:ascii="Times New Roman" w:hAnsi="Times New Roman"/>
                <w:sz w:val="20"/>
                <w:szCs w:val="20"/>
                <w:lang w:val="bs-Latn-BA"/>
              </w:rPr>
            </w:pPr>
          </w:p>
        </w:tc>
        <w:tc>
          <w:tcPr>
            <w:tcW w:w="381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zdravstveni tehničari/sestre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60</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33</w:t>
            </w:r>
          </w:p>
        </w:tc>
      </w:tr>
      <w:tr w:rsidR="00A131AD" w:rsidRPr="00081B73" w:rsidTr="001911A6">
        <w:trPr>
          <w:cantSplit/>
        </w:trPr>
        <w:tc>
          <w:tcPr>
            <w:tcW w:w="901" w:type="dxa"/>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1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dr stomatologije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8</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10</w:t>
            </w:r>
          </w:p>
        </w:tc>
      </w:tr>
      <w:tr w:rsidR="00A131AD" w:rsidRPr="00081B73" w:rsidTr="001911A6">
        <w:trPr>
          <w:cantSplit/>
        </w:trPr>
        <w:tc>
          <w:tcPr>
            <w:tcW w:w="901" w:type="dxa"/>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1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stomatološki tehničari/sestre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9</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12</w:t>
            </w:r>
          </w:p>
        </w:tc>
      </w:tr>
      <w:tr w:rsidR="00A131AD" w:rsidRPr="00081B73" w:rsidTr="001911A6">
        <w:trPr>
          <w:cantSplit/>
        </w:trPr>
        <w:tc>
          <w:tcPr>
            <w:tcW w:w="901" w:type="dxa"/>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1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magistri farmacije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w:t>
            </w:r>
          </w:p>
        </w:tc>
      </w:tr>
      <w:tr w:rsidR="00A131AD" w:rsidRPr="00081B73" w:rsidTr="001911A6">
        <w:trPr>
          <w:cantSplit/>
        </w:trPr>
        <w:tc>
          <w:tcPr>
            <w:tcW w:w="901" w:type="dxa"/>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1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farmaceutski tehničari</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8</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5</w:t>
            </w:r>
          </w:p>
        </w:tc>
      </w:tr>
      <w:tr w:rsidR="00A131AD" w:rsidRPr="00081B73" w:rsidTr="00A3192C">
        <w:trPr>
          <w:trHeight w:val="283"/>
        </w:trPr>
        <w:tc>
          <w:tcPr>
            <w:tcW w:w="901" w:type="dxa"/>
            <w:vAlign w:val="center"/>
          </w:tcPr>
          <w:p w:rsidR="00A131AD" w:rsidRPr="00081B73" w:rsidRDefault="00A131AD" w:rsidP="000C0138">
            <w:pPr>
              <w:spacing w:line="276" w:lineRule="auto"/>
              <w:jc w:val="left"/>
              <w:rPr>
                <w:rFonts w:ascii="Times New Roman" w:hAnsi="Times New Roman"/>
                <w:sz w:val="20"/>
                <w:szCs w:val="20"/>
                <w:lang w:val="bs-Latn-BA"/>
              </w:rPr>
            </w:pPr>
            <w:r w:rsidRPr="00081B73">
              <w:rPr>
                <w:rFonts w:ascii="Times New Roman" w:hAnsi="Times New Roman"/>
                <w:sz w:val="20"/>
                <w:szCs w:val="20"/>
                <w:lang w:val="bs-Latn-BA"/>
              </w:rPr>
              <w:t>Bolnice</w:t>
            </w:r>
          </w:p>
        </w:tc>
        <w:tc>
          <w:tcPr>
            <w:tcW w:w="3815" w:type="dxa"/>
            <w:gridSpan w:val="2"/>
            <w:vAlign w:val="center"/>
          </w:tcPr>
          <w:p w:rsidR="00A131AD" w:rsidRPr="00081B73" w:rsidRDefault="00A131AD" w:rsidP="000C0138">
            <w:pPr>
              <w:spacing w:line="276" w:lineRule="auto"/>
              <w:jc w:val="left"/>
              <w:rPr>
                <w:rFonts w:ascii="Times New Roman" w:hAnsi="Times New Roman"/>
                <w:sz w:val="20"/>
                <w:szCs w:val="20"/>
                <w:lang w:val="bs-Latn-BA"/>
              </w:rPr>
            </w:pPr>
            <w:r w:rsidRPr="00081B73">
              <w:rPr>
                <w:rFonts w:ascii="Times New Roman" w:hAnsi="Times New Roman"/>
                <w:sz w:val="20"/>
                <w:szCs w:val="20"/>
                <w:lang w:val="bs-Latn-BA"/>
              </w:rPr>
              <w:t>bolničke postelje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77</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82</w:t>
            </w:r>
          </w:p>
        </w:tc>
      </w:tr>
    </w:tbl>
    <w:p w:rsidR="00A131AD" w:rsidRPr="00081B73" w:rsidRDefault="00A131AD" w:rsidP="000C0138">
      <w:pPr>
        <w:spacing w:line="276" w:lineRule="auto"/>
        <w:rPr>
          <w:rFonts w:ascii="Times New Roman" w:hAnsi="Times New Roman"/>
          <w:sz w:val="20"/>
          <w:szCs w:val="20"/>
          <w:lang w:val="bs-Latn-BA"/>
        </w:rPr>
      </w:pPr>
    </w:p>
    <w:p w:rsidR="00081B73" w:rsidRDefault="00081B73">
      <w:pPr>
        <w:spacing w:after="160" w:line="259" w:lineRule="auto"/>
        <w:jc w:val="left"/>
        <w:rPr>
          <w:rFonts w:ascii="Times New Roman" w:hAnsi="Times New Roman"/>
          <w:b/>
          <w:bCs/>
          <w:sz w:val="20"/>
          <w:szCs w:val="20"/>
          <w:lang w:val="bs-Latn-BA"/>
        </w:rPr>
      </w:pPr>
      <w:r>
        <w:rPr>
          <w:rFonts w:ascii="Times New Roman" w:hAnsi="Times New Roman"/>
          <w:b/>
          <w:bCs/>
          <w:sz w:val="20"/>
          <w:szCs w:val="20"/>
          <w:lang w:val="bs-Latn-BA"/>
        </w:rPr>
        <w:br w:type="page"/>
      </w:r>
    </w:p>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lastRenderedPageBreak/>
        <w:t>Srednjebosanski kanton</w:t>
      </w:r>
    </w:p>
    <w:p w:rsidR="00A131AD" w:rsidRPr="00081B73" w:rsidRDefault="00FE3B0D" w:rsidP="000C0138">
      <w:pPr>
        <w:spacing w:line="276" w:lineRule="auto"/>
        <w:jc w:val="center"/>
        <w:rPr>
          <w:rFonts w:ascii="Times New Roman" w:hAnsi="Times New Roman"/>
          <w:b/>
          <w:bCs/>
          <w:sz w:val="20"/>
          <w:szCs w:val="20"/>
          <w:lang w:val="bs-Latn-BA"/>
        </w:rPr>
      </w:pPr>
      <w:r>
        <w:rPr>
          <w:rFonts w:ascii="Times New Roman" w:hAnsi="Times New Roman"/>
          <w:sz w:val="20"/>
          <w:szCs w:val="20"/>
          <w:lang w:val="bs-Latn-BA"/>
        </w:rPr>
        <w:t>Tab</w:t>
      </w:r>
      <w:r w:rsidR="00A131AD" w:rsidRPr="00081B73">
        <w:rPr>
          <w:rFonts w:ascii="Times New Roman" w:hAnsi="Times New Roman"/>
          <w:sz w:val="20"/>
          <w:szCs w:val="20"/>
          <w:lang w:val="bs-Latn-BA"/>
        </w:rPr>
        <w:t>l</w:t>
      </w:r>
      <w:r>
        <w:rPr>
          <w:rFonts w:ascii="Times New Roman" w:hAnsi="Times New Roman"/>
          <w:sz w:val="20"/>
          <w:szCs w:val="20"/>
          <w:lang w:val="bs-Latn-BA"/>
        </w:rPr>
        <w:t>ic</w:t>
      </w:r>
      <w:r w:rsidR="00A131AD" w:rsidRPr="00081B73">
        <w:rPr>
          <w:rFonts w:ascii="Times New Roman" w:hAnsi="Times New Roman"/>
          <w:sz w:val="20"/>
          <w:szCs w:val="20"/>
          <w:lang w:val="bs-Latn-BA"/>
        </w:rPr>
        <w:t>a 1: Stanovništvo po općinama*</w:t>
      </w:r>
    </w:p>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noProof/>
          <w:sz w:val="20"/>
          <w:szCs w:val="20"/>
          <w:lang w:val="bs-Latn-BA" w:eastAsia="bs-Latn-BA"/>
        </w:rPr>
        <w:drawing>
          <wp:anchor distT="0" distB="0" distL="114300" distR="114300" simplePos="0" relativeHeight="251666432" behindDoc="0" locked="0" layoutInCell="1" allowOverlap="1" wp14:anchorId="78EEDB27" wp14:editId="7E5A6C2A">
            <wp:simplePos x="0" y="0"/>
            <wp:positionH relativeFrom="column">
              <wp:posOffset>144145</wp:posOffset>
            </wp:positionH>
            <wp:positionV relativeFrom="paragraph">
              <wp:posOffset>24130</wp:posOffset>
            </wp:positionV>
            <wp:extent cx="2256155" cy="2164715"/>
            <wp:effectExtent l="0" t="0" r="0" b="6985"/>
            <wp:wrapSquare wrapText="bothSides"/>
            <wp:docPr id="122" name="Picture 122" descr="canton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anton6"/>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256155" cy="216471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4742" w:type="dxa"/>
        <w:tblCellSpacing w:w="15" w:type="dxa"/>
        <w:tblCellMar>
          <w:top w:w="15" w:type="dxa"/>
          <w:left w:w="15" w:type="dxa"/>
          <w:bottom w:w="15" w:type="dxa"/>
          <w:right w:w="15" w:type="dxa"/>
        </w:tblCellMar>
        <w:tblLook w:val="0000" w:firstRow="0" w:lastRow="0" w:firstColumn="0" w:lastColumn="0" w:noHBand="0" w:noVBand="0"/>
      </w:tblPr>
      <w:tblGrid>
        <w:gridCol w:w="2431"/>
        <w:gridCol w:w="1204"/>
        <w:gridCol w:w="1107"/>
      </w:tblGrid>
      <w:tr w:rsidR="00A131AD" w:rsidRPr="00081B73" w:rsidTr="001911A6">
        <w:trPr>
          <w:trHeight w:val="510"/>
          <w:tblCellSpacing w:w="15" w:type="dxa"/>
        </w:trPr>
        <w:tc>
          <w:tcPr>
            <w:tcW w:w="2386" w:type="dxa"/>
            <w:tcBorders>
              <w:right w:val="single" w:sz="4" w:space="0" w:color="000000"/>
            </w:tcBorders>
            <w:shd w:val="clear" w:color="auto" w:fill="C0C0C0"/>
            <w:vAlign w:val="center"/>
          </w:tcPr>
          <w:p w:rsidR="00A131AD" w:rsidRPr="00081B73" w:rsidRDefault="00A131AD" w:rsidP="000C0138">
            <w:pPr>
              <w:spacing w:line="276" w:lineRule="auto"/>
              <w:rPr>
                <w:rFonts w:ascii="Times New Roman" w:hAnsi="Times New Roman"/>
                <w:b/>
                <w:sz w:val="20"/>
                <w:szCs w:val="20"/>
                <w:lang w:val="bs-Latn-BA"/>
              </w:rPr>
            </w:pPr>
            <w:r w:rsidRPr="00081B73">
              <w:rPr>
                <w:rFonts w:ascii="Times New Roman" w:hAnsi="Times New Roman"/>
                <w:b/>
                <w:sz w:val="20"/>
                <w:szCs w:val="20"/>
                <w:lang w:val="bs-Latn-BA"/>
              </w:rPr>
              <w:t>Općina</w:t>
            </w:r>
          </w:p>
        </w:tc>
        <w:tc>
          <w:tcPr>
            <w:tcW w:w="1174" w:type="dxa"/>
            <w:tcBorders>
              <w:left w:val="nil"/>
            </w:tcBorders>
            <w:shd w:val="clear" w:color="auto" w:fill="C0C0C0"/>
            <w:vAlign w:val="center"/>
          </w:tcPr>
          <w:p w:rsidR="00A131AD" w:rsidRPr="00081B73" w:rsidRDefault="00A131AD" w:rsidP="000C0138">
            <w:pPr>
              <w:spacing w:line="276" w:lineRule="auto"/>
              <w:ind w:right="-33"/>
              <w:rPr>
                <w:rFonts w:ascii="Times New Roman" w:hAnsi="Times New Roman"/>
                <w:b/>
                <w:sz w:val="20"/>
                <w:szCs w:val="20"/>
                <w:lang w:val="bs-Latn-BA"/>
              </w:rPr>
            </w:pPr>
            <w:r w:rsidRPr="00081B73">
              <w:rPr>
                <w:rFonts w:ascii="Times New Roman" w:hAnsi="Times New Roman"/>
                <w:b/>
                <w:bCs/>
                <w:color w:val="800000"/>
                <w:sz w:val="20"/>
                <w:szCs w:val="20"/>
                <w:lang w:val="bs-Latn-BA"/>
              </w:rPr>
              <w:t>Površina, km</w:t>
            </w:r>
            <w:r w:rsidRPr="00081B73">
              <w:rPr>
                <w:rFonts w:ascii="Times New Roman" w:hAnsi="Times New Roman"/>
                <w:b/>
                <w:bCs/>
                <w:color w:val="800000"/>
                <w:sz w:val="20"/>
                <w:szCs w:val="20"/>
                <w:vertAlign w:val="superscript"/>
                <w:lang w:val="bs-Latn-BA"/>
              </w:rPr>
              <w:t>2</w:t>
            </w:r>
          </w:p>
        </w:tc>
        <w:tc>
          <w:tcPr>
            <w:tcW w:w="1062" w:type="dxa"/>
            <w:tcBorders>
              <w:left w:val="nil"/>
            </w:tcBorders>
            <w:shd w:val="clear" w:color="auto" w:fill="C0C0C0"/>
            <w:vAlign w:val="center"/>
          </w:tcPr>
          <w:p w:rsidR="00A131AD" w:rsidRPr="00081B73" w:rsidRDefault="00A131AD" w:rsidP="000C0138">
            <w:pPr>
              <w:pStyle w:val="NormalWeb"/>
              <w:spacing w:line="276" w:lineRule="auto"/>
              <w:jc w:val="center"/>
              <w:rPr>
                <w:b/>
                <w:sz w:val="20"/>
                <w:szCs w:val="20"/>
                <w:lang w:val="bs-Latn-BA"/>
              </w:rPr>
            </w:pPr>
            <w:r w:rsidRPr="00081B73">
              <w:rPr>
                <w:b/>
                <w:color w:val="800000"/>
                <w:sz w:val="20"/>
                <w:szCs w:val="20"/>
                <w:lang w:val="bs-Latn-BA"/>
              </w:rPr>
              <w:t>Procjena broja stanovnika</w:t>
            </w:r>
          </w:p>
        </w:tc>
      </w:tr>
      <w:tr w:rsidR="00A131AD" w:rsidRPr="00081B73" w:rsidTr="001911A6">
        <w:trPr>
          <w:cantSplit/>
          <w:trHeight w:val="222"/>
          <w:tblCellSpacing w:w="15" w:type="dxa"/>
        </w:trPr>
        <w:tc>
          <w:tcPr>
            <w:tcW w:w="2386" w:type="dxa"/>
            <w:shd w:val="clear" w:color="auto" w:fill="FFFFCC"/>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Bugojno</w:t>
            </w:r>
          </w:p>
        </w:tc>
        <w:tc>
          <w:tcPr>
            <w:tcW w:w="1174" w:type="dxa"/>
            <w:shd w:val="clear" w:color="auto" w:fill="FFFFCC"/>
            <w:vAlign w:val="center"/>
          </w:tcPr>
          <w:p w:rsidR="00A131AD" w:rsidRPr="00081B73" w:rsidRDefault="00A131AD" w:rsidP="000C0138">
            <w:pPr>
              <w:spacing w:line="276" w:lineRule="auto"/>
              <w:ind w:right="-33"/>
              <w:jc w:val="right"/>
              <w:rPr>
                <w:rFonts w:ascii="Times New Roman" w:hAnsi="Times New Roman"/>
                <w:sz w:val="20"/>
                <w:szCs w:val="20"/>
                <w:lang w:val="bs-Latn-BA"/>
              </w:rPr>
            </w:pPr>
            <w:r w:rsidRPr="00081B73">
              <w:rPr>
                <w:rFonts w:ascii="Times New Roman" w:hAnsi="Times New Roman"/>
                <w:sz w:val="20"/>
                <w:szCs w:val="20"/>
                <w:lang w:val="bs-Latn-BA"/>
              </w:rPr>
              <w:t>361,0</w:t>
            </w:r>
          </w:p>
        </w:tc>
        <w:tc>
          <w:tcPr>
            <w:tcW w:w="1062"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37.115</w:t>
            </w:r>
          </w:p>
        </w:tc>
      </w:tr>
      <w:tr w:rsidR="00A131AD" w:rsidRPr="00081B73" w:rsidTr="001911A6">
        <w:trPr>
          <w:trHeight w:val="222"/>
          <w:tblCellSpacing w:w="15" w:type="dxa"/>
        </w:trPr>
        <w:tc>
          <w:tcPr>
            <w:tcW w:w="2386" w:type="dxa"/>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Busovača</w:t>
            </w:r>
          </w:p>
        </w:tc>
        <w:tc>
          <w:tcPr>
            <w:tcW w:w="1174" w:type="dxa"/>
            <w:vAlign w:val="center"/>
          </w:tcPr>
          <w:p w:rsidR="00A131AD" w:rsidRPr="00081B73" w:rsidRDefault="00A131AD" w:rsidP="000C0138">
            <w:pPr>
              <w:spacing w:line="276" w:lineRule="auto"/>
              <w:ind w:right="-33"/>
              <w:jc w:val="right"/>
              <w:rPr>
                <w:rFonts w:ascii="Times New Roman" w:hAnsi="Times New Roman"/>
                <w:sz w:val="20"/>
                <w:szCs w:val="20"/>
                <w:lang w:val="bs-Latn-BA"/>
              </w:rPr>
            </w:pPr>
            <w:r w:rsidRPr="00081B73">
              <w:rPr>
                <w:rFonts w:ascii="Times New Roman" w:hAnsi="Times New Roman"/>
                <w:sz w:val="20"/>
                <w:szCs w:val="20"/>
                <w:lang w:val="bs-Latn-BA"/>
              </w:rPr>
              <w:t>158,0</w:t>
            </w:r>
          </w:p>
        </w:tc>
        <w:tc>
          <w:tcPr>
            <w:tcW w:w="1062"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15.949</w:t>
            </w:r>
          </w:p>
        </w:tc>
      </w:tr>
      <w:tr w:rsidR="00A131AD" w:rsidRPr="00081B73" w:rsidTr="001911A6">
        <w:trPr>
          <w:trHeight w:val="222"/>
          <w:tblCellSpacing w:w="15" w:type="dxa"/>
        </w:trPr>
        <w:tc>
          <w:tcPr>
            <w:tcW w:w="2386" w:type="dxa"/>
            <w:shd w:val="clear" w:color="auto" w:fill="FFFFCC"/>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Dobretići</w:t>
            </w:r>
          </w:p>
        </w:tc>
        <w:tc>
          <w:tcPr>
            <w:tcW w:w="1174" w:type="dxa"/>
            <w:shd w:val="clear" w:color="auto" w:fill="FFFFCC"/>
            <w:vAlign w:val="center"/>
          </w:tcPr>
          <w:p w:rsidR="00A131AD" w:rsidRPr="00081B73" w:rsidRDefault="00A131AD" w:rsidP="000C0138">
            <w:pPr>
              <w:spacing w:line="276" w:lineRule="auto"/>
              <w:ind w:right="-33"/>
              <w:jc w:val="right"/>
              <w:rPr>
                <w:rFonts w:ascii="Times New Roman" w:hAnsi="Times New Roman"/>
                <w:sz w:val="20"/>
                <w:szCs w:val="20"/>
                <w:lang w:val="bs-Latn-BA"/>
              </w:rPr>
            </w:pPr>
            <w:r w:rsidRPr="00081B73">
              <w:rPr>
                <w:rFonts w:ascii="Times New Roman" w:hAnsi="Times New Roman"/>
                <w:sz w:val="20"/>
                <w:szCs w:val="20"/>
                <w:lang w:val="bs-Latn-BA"/>
              </w:rPr>
              <w:t>59,0</w:t>
            </w:r>
          </w:p>
        </w:tc>
        <w:tc>
          <w:tcPr>
            <w:tcW w:w="1062"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625</w:t>
            </w:r>
          </w:p>
        </w:tc>
      </w:tr>
      <w:tr w:rsidR="00A131AD" w:rsidRPr="00081B73" w:rsidTr="001911A6">
        <w:trPr>
          <w:cantSplit/>
          <w:trHeight w:val="222"/>
          <w:tblCellSpacing w:w="15" w:type="dxa"/>
        </w:trPr>
        <w:tc>
          <w:tcPr>
            <w:tcW w:w="2386" w:type="dxa"/>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Donji   Vakuf</w:t>
            </w:r>
          </w:p>
        </w:tc>
        <w:tc>
          <w:tcPr>
            <w:tcW w:w="1174" w:type="dxa"/>
            <w:vAlign w:val="center"/>
          </w:tcPr>
          <w:p w:rsidR="00A131AD" w:rsidRPr="00081B73" w:rsidRDefault="00A131AD" w:rsidP="000C0138">
            <w:pPr>
              <w:spacing w:line="276" w:lineRule="auto"/>
              <w:ind w:right="-33"/>
              <w:jc w:val="right"/>
              <w:rPr>
                <w:rFonts w:ascii="Times New Roman" w:hAnsi="Times New Roman"/>
                <w:sz w:val="20"/>
                <w:szCs w:val="20"/>
                <w:lang w:val="bs-Latn-BA"/>
              </w:rPr>
            </w:pPr>
            <w:r w:rsidRPr="00081B73">
              <w:rPr>
                <w:rFonts w:ascii="Times New Roman" w:hAnsi="Times New Roman"/>
                <w:sz w:val="20"/>
                <w:szCs w:val="20"/>
                <w:lang w:val="bs-Latn-BA"/>
              </w:rPr>
              <w:t>320,0</w:t>
            </w:r>
          </w:p>
        </w:tc>
        <w:tc>
          <w:tcPr>
            <w:tcW w:w="1062"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13.728</w:t>
            </w:r>
          </w:p>
        </w:tc>
      </w:tr>
      <w:tr w:rsidR="00A131AD" w:rsidRPr="00081B73" w:rsidTr="001911A6">
        <w:trPr>
          <w:cantSplit/>
          <w:trHeight w:val="222"/>
          <w:tblCellSpacing w:w="15" w:type="dxa"/>
        </w:trPr>
        <w:tc>
          <w:tcPr>
            <w:tcW w:w="2386" w:type="dxa"/>
            <w:shd w:val="clear" w:color="auto" w:fill="FFFFCC"/>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Fojnica</w:t>
            </w:r>
          </w:p>
        </w:tc>
        <w:tc>
          <w:tcPr>
            <w:tcW w:w="1174" w:type="dxa"/>
            <w:shd w:val="clear" w:color="auto" w:fill="FFFFCC"/>
            <w:vAlign w:val="center"/>
          </w:tcPr>
          <w:p w:rsidR="00A131AD" w:rsidRPr="00081B73" w:rsidRDefault="00A131AD" w:rsidP="000C0138">
            <w:pPr>
              <w:spacing w:line="276" w:lineRule="auto"/>
              <w:ind w:right="-33"/>
              <w:jc w:val="right"/>
              <w:rPr>
                <w:rFonts w:ascii="Times New Roman" w:hAnsi="Times New Roman"/>
                <w:sz w:val="20"/>
                <w:szCs w:val="20"/>
                <w:lang w:val="bs-Latn-BA"/>
              </w:rPr>
            </w:pPr>
            <w:r w:rsidRPr="00081B73">
              <w:rPr>
                <w:rFonts w:ascii="Times New Roman" w:hAnsi="Times New Roman"/>
                <w:sz w:val="20"/>
                <w:szCs w:val="20"/>
                <w:lang w:val="bs-Latn-BA"/>
              </w:rPr>
              <w:t>306,0</w:t>
            </w:r>
          </w:p>
        </w:tc>
        <w:tc>
          <w:tcPr>
            <w:tcW w:w="1062"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11.455</w:t>
            </w:r>
          </w:p>
        </w:tc>
      </w:tr>
      <w:tr w:rsidR="00A131AD" w:rsidRPr="00081B73" w:rsidTr="001911A6">
        <w:trPr>
          <w:cantSplit/>
          <w:trHeight w:val="222"/>
          <w:tblCellSpacing w:w="15" w:type="dxa"/>
        </w:trPr>
        <w:tc>
          <w:tcPr>
            <w:tcW w:w="2386" w:type="dxa"/>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Gornji Vakuf-Uskoplje</w:t>
            </w:r>
          </w:p>
        </w:tc>
        <w:tc>
          <w:tcPr>
            <w:tcW w:w="1174" w:type="dxa"/>
            <w:vAlign w:val="center"/>
          </w:tcPr>
          <w:p w:rsidR="00A131AD" w:rsidRPr="00081B73" w:rsidRDefault="00A131AD" w:rsidP="000C0138">
            <w:pPr>
              <w:spacing w:line="276" w:lineRule="auto"/>
              <w:ind w:right="-33"/>
              <w:jc w:val="right"/>
              <w:rPr>
                <w:rFonts w:ascii="Times New Roman" w:hAnsi="Times New Roman"/>
                <w:sz w:val="20"/>
                <w:szCs w:val="20"/>
                <w:lang w:val="bs-Latn-BA"/>
              </w:rPr>
            </w:pPr>
            <w:r w:rsidRPr="00081B73">
              <w:rPr>
                <w:rFonts w:ascii="Times New Roman" w:hAnsi="Times New Roman"/>
                <w:sz w:val="20"/>
                <w:szCs w:val="20"/>
                <w:lang w:val="bs-Latn-BA"/>
              </w:rPr>
              <w:t>402,0</w:t>
            </w:r>
          </w:p>
        </w:tc>
        <w:tc>
          <w:tcPr>
            <w:tcW w:w="1062"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18.474</w:t>
            </w:r>
          </w:p>
        </w:tc>
      </w:tr>
      <w:tr w:rsidR="00A131AD" w:rsidRPr="00081B73" w:rsidTr="001911A6">
        <w:trPr>
          <w:trHeight w:val="222"/>
          <w:tblCellSpacing w:w="15" w:type="dxa"/>
        </w:trPr>
        <w:tc>
          <w:tcPr>
            <w:tcW w:w="2386" w:type="dxa"/>
            <w:shd w:val="clear" w:color="auto" w:fill="FFFFCC"/>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Jajce</w:t>
            </w:r>
          </w:p>
        </w:tc>
        <w:tc>
          <w:tcPr>
            <w:tcW w:w="1174" w:type="dxa"/>
            <w:shd w:val="clear" w:color="auto" w:fill="FFFFCC"/>
            <w:vAlign w:val="center"/>
          </w:tcPr>
          <w:p w:rsidR="00A131AD" w:rsidRPr="00081B73" w:rsidRDefault="00A131AD" w:rsidP="000C0138">
            <w:pPr>
              <w:spacing w:line="276" w:lineRule="auto"/>
              <w:ind w:right="-33"/>
              <w:jc w:val="right"/>
              <w:rPr>
                <w:rFonts w:ascii="Times New Roman" w:hAnsi="Times New Roman"/>
                <w:sz w:val="20"/>
                <w:szCs w:val="20"/>
                <w:lang w:val="bs-Latn-BA"/>
              </w:rPr>
            </w:pPr>
            <w:r w:rsidRPr="00081B73">
              <w:rPr>
                <w:rFonts w:ascii="Times New Roman" w:hAnsi="Times New Roman"/>
                <w:sz w:val="20"/>
                <w:szCs w:val="20"/>
                <w:lang w:val="bs-Latn-BA"/>
              </w:rPr>
              <w:t>339,0</w:t>
            </w:r>
          </w:p>
        </w:tc>
        <w:tc>
          <w:tcPr>
            <w:tcW w:w="1062"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23.945</w:t>
            </w:r>
          </w:p>
        </w:tc>
      </w:tr>
      <w:tr w:rsidR="00A131AD" w:rsidRPr="00081B73" w:rsidTr="001911A6">
        <w:trPr>
          <w:trHeight w:val="222"/>
          <w:tblCellSpacing w:w="15" w:type="dxa"/>
        </w:trPr>
        <w:tc>
          <w:tcPr>
            <w:tcW w:w="2386" w:type="dxa"/>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Kiseljak</w:t>
            </w:r>
          </w:p>
        </w:tc>
        <w:tc>
          <w:tcPr>
            <w:tcW w:w="1174" w:type="dxa"/>
            <w:vAlign w:val="center"/>
          </w:tcPr>
          <w:p w:rsidR="00A131AD" w:rsidRPr="00081B73" w:rsidRDefault="00A131AD" w:rsidP="000C0138">
            <w:pPr>
              <w:spacing w:line="276" w:lineRule="auto"/>
              <w:ind w:right="-33"/>
              <w:jc w:val="right"/>
              <w:rPr>
                <w:rFonts w:ascii="Times New Roman" w:hAnsi="Times New Roman"/>
                <w:sz w:val="20"/>
                <w:szCs w:val="20"/>
                <w:lang w:val="bs-Latn-BA"/>
              </w:rPr>
            </w:pPr>
            <w:r w:rsidRPr="00081B73">
              <w:rPr>
                <w:rFonts w:ascii="Times New Roman" w:hAnsi="Times New Roman"/>
                <w:sz w:val="20"/>
                <w:szCs w:val="20"/>
                <w:lang w:val="bs-Latn-BA"/>
              </w:rPr>
              <w:t>165,0</w:t>
            </w:r>
          </w:p>
        </w:tc>
        <w:tc>
          <w:tcPr>
            <w:tcW w:w="1062"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20.442</w:t>
            </w:r>
          </w:p>
        </w:tc>
      </w:tr>
      <w:tr w:rsidR="00A131AD" w:rsidRPr="00081B73" w:rsidTr="001911A6">
        <w:trPr>
          <w:trHeight w:val="222"/>
          <w:tblCellSpacing w:w="15" w:type="dxa"/>
        </w:trPr>
        <w:tc>
          <w:tcPr>
            <w:tcW w:w="2386" w:type="dxa"/>
            <w:shd w:val="clear" w:color="auto" w:fill="FFFFCC"/>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Kreševo</w:t>
            </w:r>
          </w:p>
        </w:tc>
        <w:tc>
          <w:tcPr>
            <w:tcW w:w="1174" w:type="dxa"/>
            <w:shd w:val="clear" w:color="auto" w:fill="FFFFCC"/>
            <w:vAlign w:val="center"/>
          </w:tcPr>
          <w:p w:rsidR="00A131AD" w:rsidRPr="00081B73" w:rsidRDefault="00A131AD" w:rsidP="000C0138">
            <w:pPr>
              <w:spacing w:line="276" w:lineRule="auto"/>
              <w:ind w:right="-33"/>
              <w:jc w:val="right"/>
              <w:rPr>
                <w:rFonts w:ascii="Times New Roman" w:hAnsi="Times New Roman"/>
                <w:sz w:val="20"/>
                <w:szCs w:val="20"/>
                <w:lang w:val="bs-Latn-BA"/>
              </w:rPr>
            </w:pPr>
            <w:r w:rsidRPr="00081B73">
              <w:rPr>
                <w:rFonts w:ascii="Times New Roman" w:hAnsi="Times New Roman"/>
                <w:sz w:val="20"/>
                <w:szCs w:val="20"/>
                <w:lang w:val="bs-Latn-BA"/>
              </w:rPr>
              <w:t>149,0</w:t>
            </w:r>
          </w:p>
        </w:tc>
        <w:tc>
          <w:tcPr>
            <w:tcW w:w="1062"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5.403</w:t>
            </w:r>
          </w:p>
        </w:tc>
      </w:tr>
      <w:tr w:rsidR="00A131AD" w:rsidRPr="00081B73" w:rsidTr="001911A6">
        <w:trPr>
          <w:trHeight w:val="222"/>
          <w:tblCellSpacing w:w="15" w:type="dxa"/>
        </w:trPr>
        <w:tc>
          <w:tcPr>
            <w:tcW w:w="2386" w:type="dxa"/>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Novi Travnik</w:t>
            </w:r>
          </w:p>
        </w:tc>
        <w:tc>
          <w:tcPr>
            <w:tcW w:w="1174" w:type="dxa"/>
            <w:vAlign w:val="center"/>
          </w:tcPr>
          <w:p w:rsidR="00A131AD" w:rsidRPr="00081B73" w:rsidRDefault="00A131AD" w:rsidP="000C0138">
            <w:pPr>
              <w:spacing w:line="276" w:lineRule="auto"/>
              <w:ind w:right="-33"/>
              <w:jc w:val="right"/>
              <w:rPr>
                <w:rFonts w:ascii="Times New Roman" w:hAnsi="Times New Roman"/>
                <w:sz w:val="20"/>
                <w:szCs w:val="20"/>
                <w:lang w:val="bs-Latn-BA"/>
              </w:rPr>
            </w:pPr>
            <w:r w:rsidRPr="00081B73">
              <w:rPr>
                <w:rFonts w:ascii="Times New Roman" w:hAnsi="Times New Roman"/>
                <w:sz w:val="20"/>
                <w:szCs w:val="20"/>
                <w:lang w:val="bs-Latn-BA"/>
              </w:rPr>
              <w:t>242,0</w:t>
            </w:r>
          </w:p>
        </w:tc>
        <w:tc>
          <w:tcPr>
            <w:tcW w:w="1062"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24.952</w:t>
            </w:r>
          </w:p>
        </w:tc>
      </w:tr>
      <w:tr w:rsidR="00A131AD" w:rsidRPr="00081B73" w:rsidTr="001911A6">
        <w:trPr>
          <w:trHeight w:val="222"/>
          <w:tblCellSpacing w:w="15" w:type="dxa"/>
        </w:trPr>
        <w:tc>
          <w:tcPr>
            <w:tcW w:w="2386" w:type="dxa"/>
            <w:shd w:val="clear" w:color="auto" w:fill="FFFFCC"/>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Travnik</w:t>
            </w:r>
          </w:p>
        </w:tc>
        <w:tc>
          <w:tcPr>
            <w:tcW w:w="1174" w:type="dxa"/>
            <w:shd w:val="clear" w:color="auto" w:fill="FFFFCC"/>
            <w:vAlign w:val="center"/>
          </w:tcPr>
          <w:p w:rsidR="00A131AD" w:rsidRPr="00081B73" w:rsidRDefault="00A131AD" w:rsidP="000C0138">
            <w:pPr>
              <w:spacing w:line="276" w:lineRule="auto"/>
              <w:ind w:right="-33"/>
              <w:jc w:val="right"/>
              <w:rPr>
                <w:rFonts w:ascii="Times New Roman" w:hAnsi="Times New Roman"/>
                <w:sz w:val="20"/>
                <w:szCs w:val="20"/>
                <w:lang w:val="bs-Latn-BA"/>
              </w:rPr>
            </w:pPr>
            <w:r w:rsidRPr="00081B73">
              <w:rPr>
                <w:rFonts w:ascii="Times New Roman" w:hAnsi="Times New Roman"/>
                <w:sz w:val="20"/>
                <w:szCs w:val="20"/>
                <w:lang w:val="bs-Latn-BA"/>
              </w:rPr>
              <w:t>529,0</w:t>
            </w:r>
          </w:p>
        </w:tc>
        <w:tc>
          <w:tcPr>
            <w:tcW w:w="1062"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54.332</w:t>
            </w:r>
          </w:p>
        </w:tc>
      </w:tr>
      <w:tr w:rsidR="00A131AD" w:rsidRPr="00081B73" w:rsidTr="001911A6">
        <w:trPr>
          <w:trHeight w:val="222"/>
          <w:tblCellSpacing w:w="15" w:type="dxa"/>
        </w:trPr>
        <w:tc>
          <w:tcPr>
            <w:tcW w:w="2386" w:type="dxa"/>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Vitez</w:t>
            </w:r>
          </w:p>
        </w:tc>
        <w:tc>
          <w:tcPr>
            <w:tcW w:w="1174" w:type="dxa"/>
            <w:vAlign w:val="center"/>
          </w:tcPr>
          <w:p w:rsidR="00A131AD" w:rsidRPr="00081B73" w:rsidRDefault="00A131AD" w:rsidP="000C0138">
            <w:pPr>
              <w:spacing w:line="276" w:lineRule="auto"/>
              <w:ind w:right="-33"/>
              <w:jc w:val="right"/>
              <w:rPr>
                <w:rFonts w:ascii="Times New Roman" w:hAnsi="Times New Roman"/>
                <w:sz w:val="20"/>
                <w:szCs w:val="20"/>
                <w:lang w:val="bs-Latn-BA"/>
              </w:rPr>
            </w:pPr>
            <w:r w:rsidRPr="00081B73">
              <w:rPr>
                <w:rFonts w:ascii="Times New Roman" w:hAnsi="Times New Roman"/>
                <w:sz w:val="20"/>
                <w:szCs w:val="20"/>
                <w:lang w:val="bs-Latn-BA"/>
              </w:rPr>
              <w:t>159,0</w:t>
            </w:r>
          </w:p>
        </w:tc>
        <w:tc>
          <w:tcPr>
            <w:tcW w:w="1062"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25.294</w:t>
            </w:r>
          </w:p>
        </w:tc>
      </w:tr>
      <w:tr w:rsidR="00A131AD" w:rsidRPr="00081B73" w:rsidTr="001911A6">
        <w:trPr>
          <w:trHeight w:val="222"/>
          <w:tblCellSpacing w:w="15" w:type="dxa"/>
        </w:trPr>
        <w:tc>
          <w:tcPr>
            <w:tcW w:w="2386" w:type="dxa"/>
            <w:shd w:val="clear" w:color="auto" w:fill="FFFFCC"/>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UKUPNO KANTON:</w:t>
            </w:r>
          </w:p>
        </w:tc>
        <w:tc>
          <w:tcPr>
            <w:tcW w:w="1174" w:type="dxa"/>
            <w:shd w:val="clear" w:color="auto" w:fill="FFFFCC"/>
            <w:vAlign w:val="center"/>
          </w:tcPr>
          <w:p w:rsidR="00A131AD" w:rsidRPr="00081B73" w:rsidRDefault="00A131AD" w:rsidP="000C0138">
            <w:pPr>
              <w:spacing w:line="276" w:lineRule="auto"/>
              <w:ind w:right="-33"/>
              <w:jc w:val="right"/>
              <w:rPr>
                <w:rFonts w:ascii="Times New Roman" w:hAnsi="Times New Roman"/>
                <w:sz w:val="20"/>
                <w:szCs w:val="20"/>
                <w:lang w:val="bs-Latn-BA"/>
              </w:rPr>
            </w:pPr>
            <w:r w:rsidRPr="00081B73">
              <w:rPr>
                <w:rFonts w:ascii="Times New Roman" w:hAnsi="Times New Roman"/>
                <w:sz w:val="20"/>
                <w:szCs w:val="20"/>
                <w:lang w:val="bs-Latn-BA"/>
              </w:rPr>
              <w:t>3.189</w:t>
            </w:r>
          </w:p>
        </w:tc>
        <w:tc>
          <w:tcPr>
            <w:tcW w:w="1062" w:type="dxa"/>
            <w:shd w:val="clear" w:color="auto" w:fill="FFFFCC"/>
            <w:vAlign w:val="center"/>
          </w:tcPr>
          <w:p w:rsidR="00A131AD" w:rsidRPr="00081B73" w:rsidRDefault="00A131AD" w:rsidP="000C0138">
            <w:pPr>
              <w:pStyle w:val="NormalWeb"/>
              <w:spacing w:line="276" w:lineRule="auto"/>
              <w:jc w:val="right"/>
              <w:rPr>
                <w:sz w:val="20"/>
                <w:szCs w:val="20"/>
                <w:lang w:val="bs-Latn-BA"/>
              </w:rPr>
            </w:pPr>
            <w:r w:rsidRPr="00081B73">
              <w:rPr>
                <w:sz w:val="20"/>
                <w:szCs w:val="20"/>
                <w:lang w:val="bs-Latn-BA"/>
              </w:rPr>
              <w:t>251.714</w:t>
            </w:r>
          </w:p>
        </w:tc>
      </w:tr>
      <w:tr w:rsidR="00A131AD" w:rsidRPr="00081B73" w:rsidTr="001911A6">
        <w:trPr>
          <w:trHeight w:val="222"/>
          <w:tblCellSpacing w:w="15" w:type="dxa"/>
        </w:trPr>
        <w:tc>
          <w:tcPr>
            <w:tcW w:w="2386" w:type="dxa"/>
            <w:shd w:val="clear" w:color="auto" w:fill="FFFFCC"/>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Broj stanovnika/km</w:t>
            </w:r>
            <w:r w:rsidRPr="00081B73">
              <w:rPr>
                <w:rFonts w:ascii="Times New Roman" w:hAnsi="Times New Roman"/>
                <w:b/>
                <w:bCs/>
                <w:sz w:val="20"/>
                <w:szCs w:val="20"/>
                <w:vertAlign w:val="superscript"/>
                <w:lang w:val="bs-Latn-BA"/>
              </w:rPr>
              <w:t>2</w:t>
            </w:r>
          </w:p>
        </w:tc>
        <w:tc>
          <w:tcPr>
            <w:tcW w:w="1174" w:type="dxa"/>
            <w:shd w:val="clear" w:color="auto" w:fill="FFFFCC"/>
            <w:vAlign w:val="center"/>
          </w:tcPr>
          <w:p w:rsidR="00A131AD" w:rsidRPr="00081B73" w:rsidRDefault="00A131AD" w:rsidP="000C0138">
            <w:pPr>
              <w:spacing w:line="276" w:lineRule="auto"/>
              <w:ind w:right="-33"/>
              <w:jc w:val="right"/>
              <w:rPr>
                <w:rFonts w:ascii="Times New Roman" w:hAnsi="Times New Roman"/>
                <w:sz w:val="20"/>
                <w:szCs w:val="20"/>
                <w:lang w:val="bs-Latn-BA"/>
              </w:rPr>
            </w:pPr>
            <w:r w:rsidRPr="00081B73">
              <w:rPr>
                <w:rFonts w:ascii="Times New Roman" w:hAnsi="Times New Roman"/>
                <w:sz w:val="20"/>
                <w:szCs w:val="20"/>
                <w:lang w:val="bs-Latn-BA"/>
              </w:rPr>
              <w:t>79,2</w:t>
            </w:r>
          </w:p>
        </w:tc>
        <w:tc>
          <w:tcPr>
            <w:tcW w:w="1062" w:type="dxa"/>
            <w:shd w:val="clear" w:color="auto" w:fill="FFFFCC"/>
            <w:vAlign w:val="center"/>
          </w:tcPr>
          <w:p w:rsidR="00A131AD" w:rsidRPr="00081B73" w:rsidRDefault="00A131AD" w:rsidP="000C0138">
            <w:pPr>
              <w:pStyle w:val="NormalWeb"/>
              <w:spacing w:line="276" w:lineRule="auto"/>
              <w:jc w:val="right"/>
              <w:rPr>
                <w:sz w:val="20"/>
                <w:szCs w:val="20"/>
                <w:lang w:val="bs-Latn-BA"/>
              </w:rPr>
            </w:pPr>
          </w:p>
        </w:tc>
      </w:tr>
    </w:tbl>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ab/>
      </w:r>
    </w:p>
    <w:p w:rsidR="00A131AD" w:rsidRPr="00081B73" w:rsidRDefault="00A131AD" w:rsidP="000C0138">
      <w:pPr>
        <w:spacing w:line="276" w:lineRule="auto"/>
        <w:ind w:left="3600"/>
        <w:rPr>
          <w:rFonts w:ascii="Times New Roman" w:hAnsi="Times New Roman"/>
          <w:sz w:val="20"/>
          <w:szCs w:val="20"/>
          <w:lang w:val="bs-Latn-BA"/>
        </w:rPr>
      </w:pPr>
      <w:r w:rsidRPr="00081B73">
        <w:rPr>
          <w:rFonts w:ascii="Times New Roman" w:hAnsi="Times New Roman"/>
          <w:sz w:val="20"/>
          <w:szCs w:val="20"/>
          <w:lang w:val="bs-Latn-BA"/>
        </w:rPr>
        <w:t xml:space="preserve">  * procjena broja stanovnika na dan 30.06.2015. godine</w:t>
      </w:r>
    </w:p>
    <w:p w:rsidR="00A131AD" w:rsidRPr="00081B73" w:rsidRDefault="00A131AD" w:rsidP="00677033">
      <w:pPr>
        <w:pStyle w:val="refererere"/>
        <w:rPr>
          <w:lang w:val="bs-Latn-BA"/>
        </w:rPr>
      </w:pPr>
      <w:r w:rsidRPr="00081B73">
        <w:rPr>
          <w:lang w:val="bs-Latn-BA"/>
        </w:rPr>
        <w:t>Tabl</w:t>
      </w:r>
      <w:r w:rsidR="00624C80">
        <w:rPr>
          <w:lang w:val="bs-Latn-BA"/>
        </w:rPr>
        <w:t>ic</w:t>
      </w:r>
      <w:r w:rsidRPr="00081B73">
        <w:rPr>
          <w:lang w:val="bs-Latn-BA"/>
        </w:rPr>
        <w:t>a 2: Preliminarni pokazatelji vitalne statistike za 2010 i  2015. godinu</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642"/>
        <w:gridCol w:w="2728"/>
        <w:gridCol w:w="2839"/>
      </w:tblGrid>
      <w:tr w:rsidR="00A131AD" w:rsidRPr="00081B73" w:rsidTr="00A2552D">
        <w:tc>
          <w:tcPr>
            <w:tcW w:w="3642" w:type="dxa"/>
            <w:shd w:val="clear" w:color="auto" w:fill="FFFF00"/>
          </w:tcPr>
          <w:p w:rsidR="00A131AD" w:rsidRPr="00081B73" w:rsidRDefault="00A131AD" w:rsidP="000C0138">
            <w:pPr>
              <w:spacing w:line="276" w:lineRule="auto"/>
              <w:jc w:val="center"/>
              <w:rPr>
                <w:rFonts w:ascii="Times New Roman" w:hAnsi="Times New Roman"/>
                <w:sz w:val="20"/>
                <w:szCs w:val="20"/>
                <w:lang w:val="bs-Latn-BA"/>
              </w:rPr>
            </w:pPr>
          </w:p>
        </w:tc>
        <w:tc>
          <w:tcPr>
            <w:tcW w:w="2728"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2010.</w:t>
            </w:r>
          </w:p>
        </w:tc>
        <w:tc>
          <w:tcPr>
            <w:tcW w:w="2839"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2015.</w:t>
            </w:r>
          </w:p>
        </w:tc>
      </w:tr>
      <w:tr w:rsidR="00A131AD" w:rsidRPr="00081B73" w:rsidTr="00A2552D">
        <w:tc>
          <w:tcPr>
            <w:tcW w:w="3642"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Natalitet</w:t>
            </w:r>
          </w:p>
        </w:tc>
        <w:tc>
          <w:tcPr>
            <w:tcW w:w="2728" w:type="dxa"/>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8,2</w:t>
            </w:r>
          </w:p>
        </w:tc>
        <w:tc>
          <w:tcPr>
            <w:tcW w:w="2839" w:type="dxa"/>
          </w:tcPr>
          <w:p w:rsidR="00A131AD" w:rsidRPr="00081B73" w:rsidRDefault="00A131AD" w:rsidP="000C0138">
            <w:pPr>
              <w:spacing w:line="276" w:lineRule="auto"/>
              <w:ind w:right="453"/>
              <w:jc w:val="center"/>
              <w:rPr>
                <w:rFonts w:ascii="Times New Roman" w:hAnsi="Times New Roman"/>
                <w:sz w:val="20"/>
                <w:szCs w:val="20"/>
                <w:lang w:val="bs-Latn-BA"/>
              </w:rPr>
            </w:pPr>
            <w:r w:rsidRPr="00081B73">
              <w:rPr>
                <w:rFonts w:ascii="Times New Roman" w:hAnsi="Times New Roman"/>
                <w:sz w:val="20"/>
                <w:szCs w:val="20"/>
                <w:lang w:val="bs-Latn-BA"/>
              </w:rPr>
              <w:t>7,9</w:t>
            </w:r>
          </w:p>
        </w:tc>
      </w:tr>
      <w:tr w:rsidR="00A131AD" w:rsidRPr="00081B73" w:rsidTr="00A2552D">
        <w:tc>
          <w:tcPr>
            <w:tcW w:w="3642"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Mortalitet</w:t>
            </w:r>
          </w:p>
        </w:tc>
        <w:tc>
          <w:tcPr>
            <w:tcW w:w="2728" w:type="dxa"/>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8,9</w:t>
            </w:r>
          </w:p>
        </w:tc>
        <w:tc>
          <w:tcPr>
            <w:tcW w:w="2839" w:type="dxa"/>
          </w:tcPr>
          <w:p w:rsidR="00A131AD" w:rsidRPr="00081B73" w:rsidRDefault="00A131AD" w:rsidP="000C0138">
            <w:pPr>
              <w:spacing w:line="276" w:lineRule="auto"/>
              <w:ind w:right="453"/>
              <w:jc w:val="center"/>
              <w:rPr>
                <w:rFonts w:ascii="Times New Roman" w:hAnsi="Times New Roman"/>
                <w:sz w:val="20"/>
                <w:szCs w:val="20"/>
                <w:lang w:val="bs-Latn-BA"/>
              </w:rPr>
            </w:pPr>
            <w:r w:rsidRPr="00081B73">
              <w:rPr>
                <w:rFonts w:ascii="Times New Roman" w:hAnsi="Times New Roman"/>
                <w:sz w:val="20"/>
                <w:szCs w:val="20"/>
                <w:lang w:val="bs-Latn-BA"/>
              </w:rPr>
              <w:t>9,1</w:t>
            </w:r>
          </w:p>
        </w:tc>
      </w:tr>
      <w:tr w:rsidR="00A131AD" w:rsidRPr="00081B73" w:rsidTr="00A2552D">
        <w:tc>
          <w:tcPr>
            <w:tcW w:w="3642"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Smrtnost dojenčadi</w:t>
            </w:r>
          </w:p>
        </w:tc>
        <w:tc>
          <w:tcPr>
            <w:tcW w:w="2728" w:type="dxa"/>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9,0</w:t>
            </w:r>
          </w:p>
        </w:tc>
        <w:tc>
          <w:tcPr>
            <w:tcW w:w="2839" w:type="dxa"/>
          </w:tcPr>
          <w:p w:rsidR="00A131AD" w:rsidRPr="00081B73" w:rsidRDefault="00A131AD" w:rsidP="000C0138">
            <w:pPr>
              <w:spacing w:line="276" w:lineRule="auto"/>
              <w:ind w:right="453"/>
              <w:jc w:val="center"/>
              <w:rPr>
                <w:rFonts w:ascii="Times New Roman" w:hAnsi="Times New Roman"/>
                <w:sz w:val="20"/>
                <w:szCs w:val="20"/>
                <w:lang w:val="bs-Latn-BA"/>
              </w:rPr>
            </w:pPr>
            <w:r w:rsidRPr="00081B73">
              <w:rPr>
                <w:rFonts w:ascii="Times New Roman" w:hAnsi="Times New Roman"/>
                <w:sz w:val="20"/>
                <w:szCs w:val="20"/>
                <w:lang w:val="bs-Latn-BA"/>
              </w:rPr>
              <w:t>7,1</w:t>
            </w:r>
          </w:p>
        </w:tc>
      </w:tr>
      <w:tr w:rsidR="00A131AD" w:rsidRPr="00081B73" w:rsidTr="00A2552D">
        <w:tc>
          <w:tcPr>
            <w:tcW w:w="3642" w:type="dxa"/>
          </w:tcPr>
          <w:p w:rsidR="00A131AD" w:rsidRPr="00081B73" w:rsidRDefault="00A131AD" w:rsidP="00624C80">
            <w:pPr>
              <w:spacing w:line="276" w:lineRule="auto"/>
              <w:rPr>
                <w:rFonts w:ascii="Times New Roman" w:hAnsi="Times New Roman"/>
                <w:sz w:val="20"/>
                <w:szCs w:val="20"/>
                <w:lang w:val="bs-Latn-BA"/>
              </w:rPr>
            </w:pPr>
            <w:r w:rsidRPr="00081B73">
              <w:rPr>
                <w:rFonts w:ascii="Times New Roman" w:hAnsi="Times New Roman"/>
                <w:sz w:val="20"/>
                <w:szCs w:val="20"/>
                <w:lang w:val="bs-Latn-BA"/>
              </w:rPr>
              <w:t>Prirodni prira</w:t>
            </w:r>
            <w:r w:rsidR="00624C80">
              <w:rPr>
                <w:rFonts w:ascii="Times New Roman" w:hAnsi="Times New Roman"/>
                <w:sz w:val="20"/>
                <w:szCs w:val="20"/>
                <w:lang w:val="bs-Latn-BA"/>
              </w:rPr>
              <w:t>st</w:t>
            </w:r>
          </w:p>
        </w:tc>
        <w:tc>
          <w:tcPr>
            <w:tcW w:w="2728" w:type="dxa"/>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0,7</w:t>
            </w:r>
          </w:p>
        </w:tc>
        <w:tc>
          <w:tcPr>
            <w:tcW w:w="2839" w:type="dxa"/>
          </w:tcPr>
          <w:p w:rsidR="00A131AD" w:rsidRPr="00081B73" w:rsidRDefault="00A131AD" w:rsidP="000C0138">
            <w:pPr>
              <w:spacing w:line="276" w:lineRule="auto"/>
              <w:ind w:right="453"/>
              <w:jc w:val="center"/>
              <w:rPr>
                <w:rFonts w:ascii="Times New Roman" w:hAnsi="Times New Roman"/>
                <w:sz w:val="20"/>
                <w:szCs w:val="20"/>
                <w:lang w:val="bs-Latn-BA"/>
              </w:rPr>
            </w:pPr>
            <w:r w:rsidRPr="00081B73">
              <w:rPr>
                <w:rFonts w:ascii="Times New Roman" w:hAnsi="Times New Roman"/>
                <w:sz w:val="20"/>
                <w:szCs w:val="20"/>
                <w:lang w:val="bs-Latn-BA"/>
              </w:rPr>
              <w:t>-1,3</w:t>
            </w:r>
          </w:p>
        </w:tc>
      </w:tr>
    </w:tbl>
    <w:p w:rsidR="00A2552D" w:rsidRPr="00081B73" w:rsidRDefault="00A2552D" w:rsidP="000C0138">
      <w:pPr>
        <w:spacing w:line="276" w:lineRule="auto"/>
        <w:rPr>
          <w:rFonts w:ascii="Times New Roman" w:hAnsi="Times New Roman"/>
          <w:sz w:val="20"/>
          <w:szCs w:val="20"/>
          <w:lang w:val="bs-Latn-BA"/>
        </w:rPr>
      </w:pPr>
    </w:p>
    <w:p w:rsidR="00A131AD" w:rsidRPr="00081B73" w:rsidRDefault="00A131AD" w:rsidP="00677033">
      <w:pPr>
        <w:pStyle w:val="refererere"/>
        <w:rPr>
          <w:lang w:val="bs-Latn-BA"/>
        </w:rPr>
      </w:pPr>
      <w:r w:rsidRPr="00081B73">
        <w:rPr>
          <w:lang w:val="bs-Latn-BA"/>
        </w:rPr>
        <w:t>Tabl</w:t>
      </w:r>
      <w:r w:rsidR="00624C80">
        <w:rPr>
          <w:lang w:val="bs-Latn-BA"/>
        </w:rPr>
        <w:t>ic</w:t>
      </w:r>
      <w:r w:rsidRPr="00081B73">
        <w:rPr>
          <w:lang w:val="bs-Latn-BA"/>
        </w:rPr>
        <w:t>a 3: Vodeći uzroci smrti za 2010</w:t>
      </w:r>
      <w:r w:rsidR="00624C80">
        <w:rPr>
          <w:lang w:val="bs-Latn-BA"/>
        </w:rPr>
        <w:t>.</w:t>
      </w:r>
      <w:r w:rsidRPr="00081B73">
        <w:rPr>
          <w:lang w:val="bs-Latn-BA"/>
        </w:rPr>
        <w:t xml:space="preserve"> i  2015. godinu **</w:t>
      </w:r>
    </w:p>
    <w:tbl>
      <w:tblPr>
        <w:tblW w:w="92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88"/>
        <w:gridCol w:w="2342"/>
        <w:gridCol w:w="831"/>
        <w:gridCol w:w="935"/>
        <w:gridCol w:w="644"/>
        <w:gridCol w:w="2268"/>
        <w:gridCol w:w="828"/>
        <w:gridCol w:w="935"/>
      </w:tblGrid>
      <w:tr w:rsidR="00A131AD" w:rsidRPr="00081B73" w:rsidTr="001911A6">
        <w:trPr>
          <w:trHeight w:val="405"/>
        </w:trPr>
        <w:tc>
          <w:tcPr>
            <w:tcW w:w="4596" w:type="dxa"/>
            <w:gridSpan w:val="4"/>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2010.</w:t>
            </w:r>
          </w:p>
        </w:tc>
        <w:tc>
          <w:tcPr>
            <w:tcW w:w="4675" w:type="dxa"/>
            <w:gridSpan w:val="4"/>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2015.</w:t>
            </w:r>
          </w:p>
        </w:tc>
      </w:tr>
      <w:tr w:rsidR="00A131AD" w:rsidRPr="00081B73" w:rsidTr="00A2552D">
        <w:trPr>
          <w:trHeight w:val="345"/>
        </w:trPr>
        <w:tc>
          <w:tcPr>
            <w:tcW w:w="488" w:type="dxa"/>
            <w:shd w:val="clear" w:color="auto" w:fill="FFFF00"/>
            <w:vAlign w:val="center"/>
          </w:tcPr>
          <w:p w:rsidR="00A131AD" w:rsidRPr="00081B73" w:rsidRDefault="00A131AD" w:rsidP="000C0138">
            <w:pPr>
              <w:spacing w:line="276" w:lineRule="auto"/>
              <w:ind w:right="-108"/>
              <w:jc w:val="center"/>
              <w:rPr>
                <w:rFonts w:ascii="Times New Roman" w:hAnsi="Times New Roman"/>
                <w:bCs/>
                <w:sz w:val="20"/>
                <w:szCs w:val="20"/>
                <w:lang w:val="bs-Latn-BA"/>
              </w:rPr>
            </w:pPr>
            <w:r w:rsidRPr="00081B73">
              <w:rPr>
                <w:rFonts w:ascii="Times New Roman" w:hAnsi="Times New Roman"/>
                <w:bCs/>
                <w:sz w:val="20"/>
                <w:szCs w:val="20"/>
                <w:lang w:val="bs-Latn-BA"/>
              </w:rPr>
              <w:t>Rang</w:t>
            </w:r>
          </w:p>
        </w:tc>
        <w:tc>
          <w:tcPr>
            <w:tcW w:w="2342"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Oboljenje</w:t>
            </w:r>
          </w:p>
        </w:tc>
        <w:tc>
          <w:tcPr>
            <w:tcW w:w="831"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Broj umrlih</w:t>
            </w:r>
          </w:p>
        </w:tc>
        <w:tc>
          <w:tcPr>
            <w:tcW w:w="935"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Indeks strukture (%)</w:t>
            </w:r>
          </w:p>
        </w:tc>
        <w:tc>
          <w:tcPr>
            <w:tcW w:w="644" w:type="dxa"/>
            <w:shd w:val="clear" w:color="auto" w:fill="FFFF00"/>
            <w:vAlign w:val="center"/>
          </w:tcPr>
          <w:p w:rsidR="00A131AD" w:rsidRPr="00081B73" w:rsidRDefault="00A131AD" w:rsidP="000C0138">
            <w:pPr>
              <w:spacing w:line="276" w:lineRule="auto"/>
              <w:ind w:right="-108"/>
              <w:rPr>
                <w:rFonts w:ascii="Times New Roman" w:hAnsi="Times New Roman"/>
                <w:bCs/>
                <w:sz w:val="20"/>
                <w:szCs w:val="20"/>
                <w:lang w:val="bs-Latn-BA"/>
              </w:rPr>
            </w:pPr>
            <w:r w:rsidRPr="00081B73">
              <w:rPr>
                <w:rFonts w:ascii="Times New Roman" w:hAnsi="Times New Roman"/>
                <w:bCs/>
                <w:sz w:val="20"/>
                <w:szCs w:val="20"/>
                <w:lang w:val="bs-Latn-BA"/>
              </w:rPr>
              <w:t>Rang</w:t>
            </w:r>
          </w:p>
        </w:tc>
        <w:tc>
          <w:tcPr>
            <w:tcW w:w="2268"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oboljenje</w:t>
            </w:r>
          </w:p>
        </w:tc>
        <w:tc>
          <w:tcPr>
            <w:tcW w:w="828"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Broj umrlih</w:t>
            </w:r>
          </w:p>
        </w:tc>
        <w:tc>
          <w:tcPr>
            <w:tcW w:w="935"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Indeks strukture (%)</w:t>
            </w:r>
          </w:p>
        </w:tc>
      </w:tr>
      <w:tr w:rsidR="00A131AD" w:rsidRPr="00081B73" w:rsidTr="00A2552D">
        <w:tc>
          <w:tcPr>
            <w:tcW w:w="488"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1</w:t>
            </w:r>
          </w:p>
        </w:tc>
        <w:tc>
          <w:tcPr>
            <w:tcW w:w="2342"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 xml:space="preserve">Kardiomiopatija </w:t>
            </w:r>
            <w:r w:rsidRPr="00081B73">
              <w:rPr>
                <w:rFonts w:ascii="Times New Roman" w:hAnsi="Times New Roman"/>
                <w:sz w:val="20"/>
                <w:szCs w:val="20"/>
              </w:rPr>
              <w:t>(I42)</w:t>
            </w:r>
          </w:p>
        </w:tc>
        <w:tc>
          <w:tcPr>
            <w:tcW w:w="831"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567</w:t>
            </w:r>
          </w:p>
        </w:tc>
        <w:tc>
          <w:tcPr>
            <w:tcW w:w="935" w:type="dxa"/>
          </w:tcPr>
          <w:p w:rsidR="00A131AD" w:rsidRPr="00081B73" w:rsidRDefault="00A131AD" w:rsidP="000C0138">
            <w:pPr>
              <w:tabs>
                <w:tab w:val="left" w:pos="260"/>
              </w:tabs>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24,9</w:t>
            </w:r>
          </w:p>
        </w:tc>
        <w:tc>
          <w:tcPr>
            <w:tcW w:w="644"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1</w:t>
            </w:r>
          </w:p>
        </w:tc>
        <w:tc>
          <w:tcPr>
            <w:tcW w:w="226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Kardiomiopatija (I42)</w:t>
            </w:r>
          </w:p>
        </w:tc>
        <w:tc>
          <w:tcPr>
            <w:tcW w:w="828"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510</w:t>
            </w:r>
          </w:p>
        </w:tc>
        <w:tc>
          <w:tcPr>
            <w:tcW w:w="935"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22,4</w:t>
            </w:r>
          </w:p>
        </w:tc>
      </w:tr>
      <w:tr w:rsidR="00A131AD" w:rsidRPr="00081B73" w:rsidTr="00A2552D">
        <w:tc>
          <w:tcPr>
            <w:tcW w:w="488"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2</w:t>
            </w:r>
          </w:p>
        </w:tc>
        <w:tc>
          <w:tcPr>
            <w:tcW w:w="2342" w:type="dxa"/>
          </w:tcPr>
          <w:p w:rsidR="00A131AD" w:rsidRPr="00081B73" w:rsidRDefault="00A131AD" w:rsidP="000C0138">
            <w:pPr>
              <w:tabs>
                <w:tab w:val="right" w:pos="2523"/>
              </w:tabs>
              <w:spacing w:line="276" w:lineRule="auto"/>
              <w:rPr>
                <w:rFonts w:ascii="Times New Roman" w:hAnsi="Times New Roman"/>
                <w:sz w:val="20"/>
                <w:szCs w:val="20"/>
                <w:lang w:val="bs-Latn-BA"/>
              </w:rPr>
            </w:pPr>
            <w:r w:rsidRPr="00081B73">
              <w:rPr>
                <w:rFonts w:ascii="Times New Roman" w:hAnsi="Times New Roman"/>
                <w:sz w:val="20"/>
                <w:szCs w:val="20"/>
              </w:rPr>
              <w:t>Akutni infarkt miokarda ( I21)</w:t>
            </w:r>
          </w:p>
        </w:tc>
        <w:tc>
          <w:tcPr>
            <w:tcW w:w="831"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334</w:t>
            </w:r>
          </w:p>
        </w:tc>
        <w:tc>
          <w:tcPr>
            <w:tcW w:w="935"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14,7</w:t>
            </w:r>
          </w:p>
        </w:tc>
        <w:tc>
          <w:tcPr>
            <w:tcW w:w="644"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2</w:t>
            </w:r>
          </w:p>
        </w:tc>
        <w:tc>
          <w:tcPr>
            <w:tcW w:w="226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Akutni infrakt miokarda (I21)</w:t>
            </w:r>
          </w:p>
        </w:tc>
        <w:tc>
          <w:tcPr>
            <w:tcW w:w="828"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262</w:t>
            </w:r>
          </w:p>
        </w:tc>
        <w:tc>
          <w:tcPr>
            <w:tcW w:w="935"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11,5</w:t>
            </w:r>
          </w:p>
        </w:tc>
      </w:tr>
      <w:tr w:rsidR="00A131AD" w:rsidRPr="00081B73" w:rsidTr="00A2552D">
        <w:tc>
          <w:tcPr>
            <w:tcW w:w="488"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3</w:t>
            </w:r>
          </w:p>
        </w:tc>
        <w:tc>
          <w:tcPr>
            <w:tcW w:w="2342" w:type="dxa"/>
          </w:tcPr>
          <w:p w:rsidR="00A131AD" w:rsidRPr="00081B73" w:rsidRDefault="00A131AD" w:rsidP="000C0138">
            <w:pPr>
              <w:spacing w:line="276" w:lineRule="auto"/>
              <w:rPr>
                <w:rFonts w:ascii="Times New Roman" w:hAnsi="Times New Roman"/>
                <w:sz w:val="20"/>
                <w:szCs w:val="20"/>
              </w:rPr>
            </w:pPr>
            <w:r w:rsidRPr="00081B73">
              <w:rPr>
                <w:rFonts w:ascii="Times New Roman" w:hAnsi="Times New Roman"/>
                <w:sz w:val="20"/>
                <w:szCs w:val="20"/>
              </w:rPr>
              <w:t>Moždani udar ( I63)</w:t>
            </w:r>
          </w:p>
        </w:tc>
        <w:tc>
          <w:tcPr>
            <w:tcW w:w="831"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244</w:t>
            </w:r>
          </w:p>
        </w:tc>
        <w:tc>
          <w:tcPr>
            <w:tcW w:w="935"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10,7</w:t>
            </w:r>
          </w:p>
        </w:tc>
        <w:tc>
          <w:tcPr>
            <w:tcW w:w="644"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3</w:t>
            </w:r>
          </w:p>
        </w:tc>
        <w:tc>
          <w:tcPr>
            <w:tcW w:w="226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Moždani udar (I63)</w:t>
            </w:r>
          </w:p>
        </w:tc>
        <w:tc>
          <w:tcPr>
            <w:tcW w:w="828"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246</w:t>
            </w:r>
          </w:p>
        </w:tc>
        <w:tc>
          <w:tcPr>
            <w:tcW w:w="935"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10,8</w:t>
            </w:r>
          </w:p>
        </w:tc>
      </w:tr>
      <w:tr w:rsidR="00A131AD" w:rsidRPr="00081B73" w:rsidTr="00A2552D">
        <w:tc>
          <w:tcPr>
            <w:tcW w:w="488"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4</w:t>
            </w:r>
          </w:p>
        </w:tc>
        <w:tc>
          <w:tcPr>
            <w:tcW w:w="2342"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Inzulin- ovisni diabetes mellitus (E10)</w:t>
            </w:r>
          </w:p>
        </w:tc>
        <w:tc>
          <w:tcPr>
            <w:tcW w:w="831"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151</w:t>
            </w:r>
          </w:p>
        </w:tc>
        <w:tc>
          <w:tcPr>
            <w:tcW w:w="935"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6,6</w:t>
            </w:r>
          </w:p>
        </w:tc>
        <w:tc>
          <w:tcPr>
            <w:tcW w:w="644"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4</w:t>
            </w:r>
          </w:p>
        </w:tc>
        <w:tc>
          <w:tcPr>
            <w:tcW w:w="226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Sekvele cerebrovaskularnih oboljenja (I69)</w:t>
            </w:r>
          </w:p>
        </w:tc>
        <w:tc>
          <w:tcPr>
            <w:tcW w:w="828"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94</w:t>
            </w:r>
          </w:p>
        </w:tc>
        <w:tc>
          <w:tcPr>
            <w:tcW w:w="935"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4,1</w:t>
            </w:r>
          </w:p>
        </w:tc>
      </w:tr>
      <w:tr w:rsidR="00A131AD" w:rsidRPr="00081B73" w:rsidTr="00A2552D">
        <w:tc>
          <w:tcPr>
            <w:tcW w:w="488"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5</w:t>
            </w:r>
          </w:p>
        </w:tc>
        <w:tc>
          <w:tcPr>
            <w:tcW w:w="2342"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 xml:space="preserve">Maligna neoplazma bronha i pluća </w:t>
            </w:r>
            <w:r w:rsidRPr="00081B73">
              <w:rPr>
                <w:rFonts w:ascii="Times New Roman" w:hAnsi="Times New Roman"/>
                <w:sz w:val="20"/>
                <w:szCs w:val="20"/>
              </w:rPr>
              <w:t>(C34)</w:t>
            </w:r>
          </w:p>
        </w:tc>
        <w:tc>
          <w:tcPr>
            <w:tcW w:w="831"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91</w:t>
            </w:r>
          </w:p>
        </w:tc>
        <w:tc>
          <w:tcPr>
            <w:tcW w:w="935"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4,0</w:t>
            </w:r>
          </w:p>
        </w:tc>
        <w:tc>
          <w:tcPr>
            <w:tcW w:w="644"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5</w:t>
            </w:r>
          </w:p>
        </w:tc>
        <w:tc>
          <w:tcPr>
            <w:tcW w:w="226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Maligne neoplazme bronha i pluća (C34)</w:t>
            </w:r>
          </w:p>
        </w:tc>
        <w:tc>
          <w:tcPr>
            <w:tcW w:w="828"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86</w:t>
            </w:r>
          </w:p>
        </w:tc>
        <w:tc>
          <w:tcPr>
            <w:tcW w:w="935"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3,8</w:t>
            </w:r>
          </w:p>
        </w:tc>
      </w:tr>
      <w:tr w:rsidR="00A131AD" w:rsidRPr="00081B73" w:rsidTr="00A2552D">
        <w:tc>
          <w:tcPr>
            <w:tcW w:w="488" w:type="dxa"/>
          </w:tcPr>
          <w:p w:rsidR="00A131AD" w:rsidRPr="00081B73" w:rsidRDefault="00A131AD" w:rsidP="000C0138">
            <w:pPr>
              <w:spacing w:line="276" w:lineRule="auto"/>
              <w:ind w:right="-108"/>
              <w:jc w:val="center"/>
              <w:rPr>
                <w:rFonts w:ascii="Times New Roman" w:hAnsi="Times New Roman"/>
                <w:sz w:val="20"/>
                <w:szCs w:val="20"/>
                <w:lang w:val="bs-Latn-BA"/>
              </w:rPr>
            </w:pPr>
          </w:p>
        </w:tc>
        <w:tc>
          <w:tcPr>
            <w:tcW w:w="2342"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Ostale bolesti kao uzrok smrti</w:t>
            </w:r>
          </w:p>
        </w:tc>
        <w:tc>
          <w:tcPr>
            <w:tcW w:w="831"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886</w:t>
            </w:r>
          </w:p>
        </w:tc>
        <w:tc>
          <w:tcPr>
            <w:tcW w:w="935"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39,0</w:t>
            </w:r>
          </w:p>
        </w:tc>
        <w:tc>
          <w:tcPr>
            <w:tcW w:w="644" w:type="dxa"/>
          </w:tcPr>
          <w:p w:rsidR="00A131AD" w:rsidRPr="00081B73" w:rsidRDefault="00A131AD" w:rsidP="000C0138">
            <w:pPr>
              <w:spacing w:line="276" w:lineRule="auto"/>
              <w:ind w:right="-108"/>
              <w:jc w:val="center"/>
              <w:rPr>
                <w:rFonts w:ascii="Times New Roman" w:hAnsi="Times New Roman"/>
                <w:sz w:val="20"/>
                <w:szCs w:val="20"/>
                <w:lang w:val="bs-Latn-BA"/>
              </w:rPr>
            </w:pPr>
          </w:p>
        </w:tc>
        <w:tc>
          <w:tcPr>
            <w:tcW w:w="226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Ostali uzroci smrti</w:t>
            </w:r>
          </w:p>
        </w:tc>
        <w:tc>
          <w:tcPr>
            <w:tcW w:w="828"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1082</w:t>
            </w:r>
          </w:p>
        </w:tc>
        <w:tc>
          <w:tcPr>
            <w:tcW w:w="935"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47,5</w:t>
            </w:r>
          </w:p>
        </w:tc>
      </w:tr>
      <w:tr w:rsidR="00A131AD" w:rsidRPr="00081B73" w:rsidTr="00A2552D">
        <w:tc>
          <w:tcPr>
            <w:tcW w:w="488" w:type="dxa"/>
          </w:tcPr>
          <w:p w:rsidR="00A131AD" w:rsidRPr="00081B73" w:rsidRDefault="00A131AD" w:rsidP="000C0138">
            <w:pPr>
              <w:spacing w:line="276" w:lineRule="auto"/>
              <w:ind w:right="-108"/>
              <w:jc w:val="center"/>
              <w:rPr>
                <w:rFonts w:ascii="Times New Roman" w:hAnsi="Times New Roman"/>
                <w:sz w:val="20"/>
                <w:szCs w:val="20"/>
                <w:lang w:val="bs-Latn-BA"/>
              </w:rPr>
            </w:pPr>
          </w:p>
        </w:tc>
        <w:tc>
          <w:tcPr>
            <w:tcW w:w="2342"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Ukupno umrlih</w:t>
            </w:r>
          </w:p>
        </w:tc>
        <w:tc>
          <w:tcPr>
            <w:tcW w:w="831"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2273</w:t>
            </w:r>
          </w:p>
        </w:tc>
        <w:tc>
          <w:tcPr>
            <w:tcW w:w="935"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100%</w:t>
            </w:r>
          </w:p>
        </w:tc>
        <w:tc>
          <w:tcPr>
            <w:tcW w:w="644" w:type="dxa"/>
          </w:tcPr>
          <w:p w:rsidR="00A131AD" w:rsidRPr="00081B73" w:rsidRDefault="00A131AD" w:rsidP="000C0138">
            <w:pPr>
              <w:spacing w:line="276" w:lineRule="auto"/>
              <w:ind w:right="-108"/>
              <w:jc w:val="center"/>
              <w:rPr>
                <w:rFonts w:ascii="Times New Roman" w:hAnsi="Times New Roman"/>
                <w:sz w:val="20"/>
                <w:szCs w:val="20"/>
                <w:lang w:val="bs-Latn-BA"/>
              </w:rPr>
            </w:pPr>
          </w:p>
        </w:tc>
        <w:tc>
          <w:tcPr>
            <w:tcW w:w="226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Ukupno umrlih</w:t>
            </w:r>
          </w:p>
        </w:tc>
        <w:tc>
          <w:tcPr>
            <w:tcW w:w="828"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2280</w:t>
            </w:r>
          </w:p>
        </w:tc>
        <w:tc>
          <w:tcPr>
            <w:tcW w:w="935"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100%</w:t>
            </w:r>
          </w:p>
        </w:tc>
      </w:tr>
    </w:tbl>
    <w:p w:rsidR="00A131AD" w:rsidRPr="00081B73" w:rsidRDefault="00A131AD" w:rsidP="000C0138">
      <w:pPr>
        <w:spacing w:line="276" w:lineRule="auto"/>
        <w:rPr>
          <w:rFonts w:ascii="Times New Roman" w:hAnsi="Times New Roman"/>
          <w:sz w:val="20"/>
          <w:szCs w:val="20"/>
          <w:lang w:val="bs-Latn-BA"/>
        </w:rPr>
      </w:pPr>
    </w:p>
    <w:p w:rsidR="00081B73" w:rsidRDefault="00081B73">
      <w:pPr>
        <w:spacing w:after="160" w:line="259" w:lineRule="auto"/>
        <w:jc w:val="left"/>
        <w:rPr>
          <w:rFonts w:ascii="Times New Roman" w:hAnsi="Times New Roman"/>
          <w:sz w:val="20"/>
          <w:szCs w:val="20"/>
          <w:lang w:val="bs-Latn-BA"/>
        </w:rPr>
      </w:pPr>
      <w:r>
        <w:rPr>
          <w:lang w:val="bs-Latn-BA"/>
        </w:rPr>
        <w:br w:type="page"/>
      </w:r>
    </w:p>
    <w:p w:rsidR="00A131AD" w:rsidRPr="00081B73" w:rsidRDefault="00A131AD" w:rsidP="00677033">
      <w:pPr>
        <w:pStyle w:val="refererere"/>
        <w:rPr>
          <w:lang w:val="bs-Latn-BA"/>
        </w:rPr>
      </w:pPr>
      <w:r w:rsidRPr="00081B73">
        <w:rPr>
          <w:lang w:val="bs-Latn-BA"/>
        </w:rPr>
        <w:lastRenderedPageBreak/>
        <w:t>Tabl</w:t>
      </w:r>
      <w:r w:rsidR="00624C80">
        <w:rPr>
          <w:lang w:val="bs-Latn-BA"/>
        </w:rPr>
        <w:t>ic</w:t>
      </w:r>
      <w:r w:rsidRPr="00081B73">
        <w:rPr>
          <w:lang w:val="bs-Latn-BA"/>
        </w:rPr>
        <w:t>a 4: Vodeća zarazna oboljenja za 2010</w:t>
      </w:r>
      <w:r w:rsidR="00624C80">
        <w:rPr>
          <w:lang w:val="bs-Latn-BA"/>
        </w:rPr>
        <w:t>.</w:t>
      </w:r>
      <w:r w:rsidRPr="00081B73">
        <w:rPr>
          <w:lang w:val="bs-Latn-BA"/>
        </w:rPr>
        <w:t xml:space="preserve"> i  2015. godinu</w:t>
      </w:r>
    </w:p>
    <w:tbl>
      <w:tblPr>
        <w:tblW w:w="92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8"/>
        <w:gridCol w:w="1800"/>
        <w:gridCol w:w="1260"/>
        <w:gridCol w:w="1015"/>
        <w:gridCol w:w="540"/>
        <w:gridCol w:w="2179"/>
        <w:gridCol w:w="881"/>
        <w:gridCol w:w="1129"/>
      </w:tblGrid>
      <w:tr w:rsidR="00A131AD" w:rsidRPr="00081B73" w:rsidTr="001911A6">
        <w:trPr>
          <w:trHeight w:val="476"/>
          <w:jc w:val="center"/>
        </w:trPr>
        <w:tc>
          <w:tcPr>
            <w:tcW w:w="4543" w:type="dxa"/>
            <w:gridSpan w:val="4"/>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2010.</w:t>
            </w:r>
          </w:p>
        </w:tc>
        <w:tc>
          <w:tcPr>
            <w:tcW w:w="4729" w:type="dxa"/>
            <w:gridSpan w:val="4"/>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2015.</w:t>
            </w:r>
          </w:p>
        </w:tc>
      </w:tr>
      <w:tr w:rsidR="00A131AD" w:rsidRPr="00081B73" w:rsidTr="001911A6">
        <w:trPr>
          <w:cantSplit/>
          <w:trHeight w:val="516"/>
          <w:jc w:val="center"/>
        </w:trPr>
        <w:tc>
          <w:tcPr>
            <w:tcW w:w="468" w:type="dxa"/>
            <w:shd w:val="clear" w:color="auto" w:fill="FFFF00"/>
            <w:textDirection w:val="btLr"/>
          </w:tcPr>
          <w:p w:rsidR="00A131AD" w:rsidRPr="00081B73" w:rsidRDefault="00A131AD" w:rsidP="000C0138">
            <w:pPr>
              <w:autoSpaceDE w:val="0"/>
              <w:autoSpaceDN w:val="0"/>
              <w:adjustRightInd w:val="0"/>
              <w:spacing w:line="276" w:lineRule="auto"/>
              <w:ind w:left="113" w:right="113"/>
              <w:rPr>
                <w:rFonts w:ascii="Times New Roman" w:hAnsi="Times New Roman"/>
                <w:color w:val="000000"/>
                <w:sz w:val="20"/>
                <w:szCs w:val="20"/>
                <w:lang w:val="bs-Latn-BA"/>
              </w:rPr>
            </w:pPr>
            <w:r w:rsidRPr="00081B73">
              <w:rPr>
                <w:rFonts w:ascii="Times New Roman" w:hAnsi="Times New Roman"/>
                <w:color w:val="000000"/>
                <w:sz w:val="20"/>
                <w:szCs w:val="20"/>
                <w:lang w:val="bs-Latn-BA"/>
              </w:rPr>
              <w:t>Rang</w:t>
            </w:r>
          </w:p>
        </w:tc>
        <w:tc>
          <w:tcPr>
            <w:tcW w:w="1800"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Bolest / stanje</w:t>
            </w:r>
          </w:p>
        </w:tc>
        <w:tc>
          <w:tcPr>
            <w:tcW w:w="1260"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sz w:val="20"/>
                <w:szCs w:val="20"/>
                <w:lang w:val="bs-Latn-BA"/>
              </w:rPr>
              <w:t>Broj registriranih</w:t>
            </w:r>
          </w:p>
        </w:tc>
        <w:tc>
          <w:tcPr>
            <w:tcW w:w="1015"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Mb/</w:t>
            </w:r>
          </w:p>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100000</w:t>
            </w:r>
          </w:p>
        </w:tc>
        <w:tc>
          <w:tcPr>
            <w:tcW w:w="540" w:type="dxa"/>
            <w:shd w:val="clear" w:color="auto" w:fill="FFFF00"/>
            <w:textDirection w:val="btLr"/>
          </w:tcPr>
          <w:p w:rsidR="00A131AD" w:rsidRPr="00081B73" w:rsidRDefault="00A131AD" w:rsidP="000C0138">
            <w:pPr>
              <w:autoSpaceDE w:val="0"/>
              <w:autoSpaceDN w:val="0"/>
              <w:adjustRightInd w:val="0"/>
              <w:spacing w:line="276" w:lineRule="auto"/>
              <w:ind w:left="113" w:right="113"/>
              <w:rPr>
                <w:rFonts w:ascii="Times New Roman" w:hAnsi="Times New Roman"/>
                <w:color w:val="000000"/>
                <w:sz w:val="20"/>
                <w:szCs w:val="20"/>
                <w:lang w:val="bs-Latn-BA"/>
              </w:rPr>
            </w:pPr>
            <w:r w:rsidRPr="00081B73">
              <w:rPr>
                <w:rFonts w:ascii="Times New Roman" w:hAnsi="Times New Roman"/>
                <w:color w:val="000000"/>
                <w:sz w:val="20"/>
                <w:szCs w:val="20"/>
                <w:lang w:val="bs-Latn-BA"/>
              </w:rPr>
              <w:t>Rang</w:t>
            </w:r>
          </w:p>
        </w:tc>
        <w:tc>
          <w:tcPr>
            <w:tcW w:w="2179"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Bolest / stanje</w:t>
            </w:r>
          </w:p>
        </w:tc>
        <w:tc>
          <w:tcPr>
            <w:tcW w:w="881"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sz w:val="20"/>
                <w:szCs w:val="20"/>
                <w:lang w:val="bs-Latn-BA"/>
              </w:rPr>
              <w:t>Broj registriranih</w:t>
            </w:r>
          </w:p>
        </w:tc>
        <w:tc>
          <w:tcPr>
            <w:tcW w:w="1129"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Mb/</w:t>
            </w:r>
          </w:p>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100000</w:t>
            </w:r>
          </w:p>
        </w:tc>
      </w:tr>
      <w:tr w:rsidR="00A131AD" w:rsidRPr="00081B73" w:rsidTr="001911A6">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1</w:t>
            </w:r>
          </w:p>
        </w:tc>
        <w:tc>
          <w:tcPr>
            <w:tcW w:w="1800"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Enterocolitis ac</w:t>
            </w:r>
          </w:p>
        </w:tc>
        <w:tc>
          <w:tcPr>
            <w:tcW w:w="1260"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358</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140,63</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w:t>
            </w:r>
          </w:p>
        </w:tc>
        <w:tc>
          <w:tcPr>
            <w:tcW w:w="2179"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Varicellae</w:t>
            </w:r>
          </w:p>
        </w:tc>
        <w:tc>
          <w:tcPr>
            <w:tcW w:w="881"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675</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268,16</w:t>
            </w:r>
          </w:p>
        </w:tc>
      </w:tr>
      <w:tr w:rsidR="00A131AD" w:rsidRPr="00081B73" w:rsidTr="001911A6">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2</w:t>
            </w:r>
          </w:p>
        </w:tc>
        <w:tc>
          <w:tcPr>
            <w:tcW w:w="1800"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Influenza</w:t>
            </w:r>
          </w:p>
        </w:tc>
        <w:tc>
          <w:tcPr>
            <w:tcW w:w="1260"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283</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11,17</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2</w:t>
            </w:r>
          </w:p>
        </w:tc>
        <w:tc>
          <w:tcPr>
            <w:tcW w:w="2179"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sz w:val="20"/>
                <w:szCs w:val="20"/>
              </w:rPr>
              <w:t>Enterocolitis ac</w:t>
            </w:r>
          </w:p>
        </w:tc>
        <w:tc>
          <w:tcPr>
            <w:tcW w:w="881"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393</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156,13</w:t>
            </w:r>
          </w:p>
        </w:tc>
      </w:tr>
      <w:tr w:rsidR="00A131AD" w:rsidRPr="00081B73" w:rsidTr="001911A6">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3</w:t>
            </w:r>
          </w:p>
        </w:tc>
        <w:tc>
          <w:tcPr>
            <w:tcW w:w="1800"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Rubeola</w:t>
            </w:r>
          </w:p>
        </w:tc>
        <w:tc>
          <w:tcPr>
            <w:tcW w:w="1260" w:type="dxa"/>
            <w:vAlign w:val="bottom"/>
          </w:tcPr>
          <w:p w:rsidR="00A131AD" w:rsidRPr="00081B73" w:rsidRDefault="00A131AD" w:rsidP="000C0138">
            <w:pPr>
              <w:widowControl w:val="0"/>
              <w:autoSpaceDE w:val="0"/>
              <w:autoSpaceDN w:val="0"/>
              <w:adjustRightInd w:val="0"/>
              <w:spacing w:line="276" w:lineRule="auto"/>
              <w:jc w:val="right"/>
              <w:rPr>
                <w:rFonts w:ascii="Times New Roman" w:hAnsi="Times New Roman"/>
                <w:sz w:val="20"/>
                <w:szCs w:val="20"/>
              </w:rPr>
            </w:pPr>
            <w:r w:rsidRPr="00081B73">
              <w:rPr>
                <w:rFonts w:ascii="Times New Roman" w:hAnsi="Times New Roman"/>
                <w:sz w:val="20"/>
                <w:szCs w:val="20"/>
              </w:rPr>
              <w:t>195</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76,60</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3</w:t>
            </w:r>
          </w:p>
        </w:tc>
        <w:tc>
          <w:tcPr>
            <w:tcW w:w="2179"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Ili/gripa</w:t>
            </w:r>
          </w:p>
        </w:tc>
        <w:tc>
          <w:tcPr>
            <w:tcW w:w="881"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301</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119,58</w:t>
            </w:r>
          </w:p>
        </w:tc>
      </w:tr>
      <w:tr w:rsidR="00A131AD" w:rsidRPr="00081B73" w:rsidTr="001911A6">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4</w:t>
            </w:r>
          </w:p>
        </w:tc>
        <w:tc>
          <w:tcPr>
            <w:tcW w:w="1800"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Varicellae</w:t>
            </w:r>
          </w:p>
        </w:tc>
        <w:tc>
          <w:tcPr>
            <w:tcW w:w="1260" w:type="dxa"/>
            <w:vAlign w:val="bottom"/>
          </w:tcPr>
          <w:p w:rsidR="00A131AD" w:rsidRPr="00081B73" w:rsidRDefault="00A131AD" w:rsidP="000C0138">
            <w:pPr>
              <w:widowControl w:val="0"/>
              <w:autoSpaceDE w:val="0"/>
              <w:autoSpaceDN w:val="0"/>
              <w:adjustRightInd w:val="0"/>
              <w:spacing w:line="276" w:lineRule="auto"/>
              <w:jc w:val="right"/>
              <w:rPr>
                <w:rFonts w:ascii="Times New Roman" w:hAnsi="Times New Roman"/>
                <w:sz w:val="20"/>
                <w:szCs w:val="20"/>
              </w:rPr>
            </w:pPr>
            <w:r w:rsidRPr="00081B73">
              <w:rPr>
                <w:rFonts w:ascii="Times New Roman" w:hAnsi="Times New Roman"/>
                <w:sz w:val="20"/>
                <w:szCs w:val="20"/>
              </w:rPr>
              <w:t>189</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74,24</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4</w:t>
            </w:r>
          </w:p>
        </w:tc>
        <w:tc>
          <w:tcPr>
            <w:tcW w:w="2179"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sz w:val="20"/>
                <w:szCs w:val="20"/>
              </w:rPr>
              <w:t>Angina streptoc.</w:t>
            </w:r>
          </w:p>
        </w:tc>
        <w:tc>
          <w:tcPr>
            <w:tcW w:w="881"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98</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38,93</w:t>
            </w:r>
          </w:p>
        </w:tc>
      </w:tr>
      <w:tr w:rsidR="00A131AD" w:rsidRPr="00081B73" w:rsidTr="001911A6">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5</w:t>
            </w:r>
          </w:p>
        </w:tc>
        <w:tc>
          <w:tcPr>
            <w:tcW w:w="1800"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TBC activa resp.</w:t>
            </w:r>
          </w:p>
        </w:tc>
        <w:tc>
          <w:tcPr>
            <w:tcW w:w="1260"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118</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46,35</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5</w:t>
            </w:r>
          </w:p>
        </w:tc>
        <w:tc>
          <w:tcPr>
            <w:tcW w:w="2179"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TBC pulmonum activa</w:t>
            </w:r>
          </w:p>
        </w:tc>
        <w:tc>
          <w:tcPr>
            <w:tcW w:w="881"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68</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27,01</w:t>
            </w:r>
          </w:p>
        </w:tc>
      </w:tr>
      <w:tr w:rsidR="00A131AD" w:rsidRPr="00081B73" w:rsidTr="001911A6">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p>
        </w:tc>
        <w:tc>
          <w:tcPr>
            <w:tcW w:w="1800"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Ukupno 5 vodećih</w:t>
            </w:r>
          </w:p>
        </w:tc>
        <w:tc>
          <w:tcPr>
            <w:tcW w:w="1260"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1143</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448,98</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p>
        </w:tc>
        <w:tc>
          <w:tcPr>
            <w:tcW w:w="2179"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Ukupno 5 vodećih</w:t>
            </w:r>
          </w:p>
        </w:tc>
        <w:tc>
          <w:tcPr>
            <w:tcW w:w="881"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1535</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609,8</w:t>
            </w:r>
          </w:p>
        </w:tc>
      </w:tr>
      <w:tr w:rsidR="00A131AD" w:rsidRPr="00081B73" w:rsidTr="001911A6">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p>
        </w:tc>
        <w:tc>
          <w:tcPr>
            <w:tcW w:w="1800"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Sveukupno</w:t>
            </w:r>
          </w:p>
        </w:tc>
        <w:tc>
          <w:tcPr>
            <w:tcW w:w="1260"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1591</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624,97</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p>
        </w:tc>
        <w:tc>
          <w:tcPr>
            <w:tcW w:w="2179"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Ukupno prijavljeno</w:t>
            </w:r>
          </w:p>
        </w:tc>
        <w:tc>
          <w:tcPr>
            <w:tcW w:w="881"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1853</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736,15</w:t>
            </w:r>
          </w:p>
        </w:tc>
      </w:tr>
    </w:tbl>
    <w:p w:rsidR="00A131AD" w:rsidRPr="00081B73" w:rsidRDefault="00A131AD" w:rsidP="000C0138">
      <w:pPr>
        <w:spacing w:line="276" w:lineRule="auto"/>
        <w:rPr>
          <w:rFonts w:ascii="Times New Roman" w:hAnsi="Times New Roman"/>
          <w:sz w:val="20"/>
          <w:szCs w:val="20"/>
          <w:lang w:val="bs-Latn-BA"/>
        </w:rPr>
      </w:pPr>
    </w:p>
    <w:p w:rsidR="00A131AD" w:rsidRPr="00081B73" w:rsidRDefault="00A131AD" w:rsidP="00677033">
      <w:pPr>
        <w:pStyle w:val="refererere"/>
        <w:rPr>
          <w:lang w:val="bs-Latn-BA"/>
        </w:rPr>
      </w:pPr>
      <w:r w:rsidRPr="00081B73">
        <w:rPr>
          <w:lang w:val="bs-Latn-BA"/>
        </w:rPr>
        <w:t>Tabl</w:t>
      </w:r>
      <w:r w:rsidR="00624C80">
        <w:rPr>
          <w:lang w:val="bs-Latn-BA"/>
        </w:rPr>
        <w:t>ic</w:t>
      </w:r>
      <w:r w:rsidRPr="00081B73">
        <w:rPr>
          <w:lang w:val="bs-Latn-BA"/>
        </w:rPr>
        <w:t>a 5: Prevalenc</w:t>
      </w:r>
      <w:r w:rsidR="00624C80">
        <w:rPr>
          <w:lang w:val="bs-Latn-BA"/>
        </w:rPr>
        <w:t>ij</w:t>
      </w:r>
      <w:r w:rsidRPr="00081B73">
        <w:rPr>
          <w:lang w:val="bs-Latn-BA"/>
        </w:rPr>
        <w:t>a nezaraznih bolesti za 2010 i  2015. godinu</w:t>
      </w:r>
      <w:r w:rsidRPr="00081B73">
        <w:rPr>
          <w:lang w:val="bs-Latn-BA"/>
        </w:rPr>
        <w:tab/>
      </w:r>
    </w:p>
    <w:tbl>
      <w:tblPr>
        <w:tblW w:w="93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08"/>
        <w:gridCol w:w="2568"/>
        <w:gridCol w:w="2160"/>
      </w:tblGrid>
      <w:tr w:rsidR="00A131AD" w:rsidRPr="00081B73" w:rsidTr="001911A6">
        <w:trPr>
          <w:cantSplit/>
          <w:trHeight w:val="405"/>
        </w:trPr>
        <w:tc>
          <w:tcPr>
            <w:tcW w:w="4608" w:type="dxa"/>
            <w:vMerge w:val="restart"/>
            <w:shd w:val="clear" w:color="auto" w:fill="FFFF00"/>
            <w:vAlign w:val="center"/>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Bolest</w:t>
            </w:r>
          </w:p>
        </w:tc>
        <w:tc>
          <w:tcPr>
            <w:tcW w:w="2568"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2010.</w:t>
            </w:r>
          </w:p>
        </w:tc>
        <w:tc>
          <w:tcPr>
            <w:tcW w:w="2160"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2015.</w:t>
            </w:r>
          </w:p>
        </w:tc>
      </w:tr>
      <w:tr w:rsidR="00A131AD" w:rsidRPr="00081B73" w:rsidTr="001911A6">
        <w:trPr>
          <w:cantSplit/>
          <w:trHeight w:val="345"/>
        </w:trPr>
        <w:tc>
          <w:tcPr>
            <w:tcW w:w="4608" w:type="dxa"/>
            <w:vMerge/>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p>
        </w:tc>
        <w:tc>
          <w:tcPr>
            <w:tcW w:w="2568"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Morbiditet</w:t>
            </w:r>
            <w:r w:rsidRPr="00081B73">
              <w:rPr>
                <w:rFonts w:ascii="Times New Roman" w:hAnsi="Times New Roman"/>
                <w:bCs/>
                <w:sz w:val="20"/>
                <w:szCs w:val="20"/>
                <w:lang w:val="bs-Latn-BA"/>
              </w:rPr>
              <w:br/>
              <w:t>/10.000</w:t>
            </w:r>
          </w:p>
        </w:tc>
        <w:tc>
          <w:tcPr>
            <w:tcW w:w="2160"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Morbiditet</w:t>
            </w:r>
            <w:r w:rsidRPr="00081B73">
              <w:rPr>
                <w:rFonts w:ascii="Times New Roman" w:hAnsi="Times New Roman"/>
                <w:bCs/>
                <w:sz w:val="20"/>
                <w:szCs w:val="20"/>
                <w:lang w:val="bs-Latn-BA"/>
              </w:rPr>
              <w:br/>
              <w:t>/10.000</w:t>
            </w:r>
          </w:p>
        </w:tc>
      </w:tr>
      <w:tr w:rsidR="00A131AD" w:rsidRPr="00081B73" w:rsidTr="001911A6">
        <w:tc>
          <w:tcPr>
            <w:tcW w:w="460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Kardiovaskularne (I00-I99)</w:t>
            </w:r>
          </w:p>
        </w:tc>
        <w:tc>
          <w:tcPr>
            <w:tcW w:w="2568"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777,5</w:t>
            </w:r>
          </w:p>
        </w:tc>
        <w:tc>
          <w:tcPr>
            <w:tcW w:w="216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1046,9</w:t>
            </w:r>
          </w:p>
        </w:tc>
      </w:tr>
      <w:tr w:rsidR="00A131AD" w:rsidRPr="00081B73" w:rsidTr="001911A6">
        <w:tc>
          <w:tcPr>
            <w:tcW w:w="460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Maligne neoplazme (C00-C97)</w:t>
            </w:r>
          </w:p>
        </w:tc>
        <w:tc>
          <w:tcPr>
            <w:tcW w:w="2568"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39,1</w:t>
            </w:r>
          </w:p>
        </w:tc>
        <w:tc>
          <w:tcPr>
            <w:tcW w:w="216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50,2</w:t>
            </w:r>
          </w:p>
        </w:tc>
      </w:tr>
      <w:tr w:rsidR="00A131AD" w:rsidRPr="00081B73" w:rsidTr="001911A6">
        <w:tc>
          <w:tcPr>
            <w:tcW w:w="460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Diabetes mellitus (E10-E14)</w:t>
            </w:r>
          </w:p>
        </w:tc>
        <w:tc>
          <w:tcPr>
            <w:tcW w:w="2568"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78,0</w:t>
            </w:r>
          </w:p>
        </w:tc>
        <w:tc>
          <w:tcPr>
            <w:tcW w:w="216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285,0</w:t>
            </w:r>
          </w:p>
        </w:tc>
      </w:tr>
      <w:tr w:rsidR="00A131AD" w:rsidRPr="00081B73" w:rsidTr="001911A6">
        <w:tc>
          <w:tcPr>
            <w:tcW w:w="4608" w:type="dxa"/>
          </w:tcPr>
          <w:p w:rsidR="00A131AD" w:rsidRPr="00081B73" w:rsidRDefault="00624C80" w:rsidP="000C0138">
            <w:pPr>
              <w:spacing w:line="276" w:lineRule="auto"/>
              <w:rPr>
                <w:rFonts w:ascii="Times New Roman" w:hAnsi="Times New Roman"/>
                <w:sz w:val="20"/>
                <w:szCs w:val="20"/>
                <w:lang w:val="bs-Latn-BA"/>
              </w:rPr>
            </w:pPr>
            <w:r>
              <w:rPr>
                <w:rFonts w:ascii="Times New Roman" w:hAnsi="Times New Roman"/>
                <w:sz w:val="20"/>
                <w:szCs w:val="20"/>
                <w:lang w:val="bs-Latn-BA"/>
              </w:rPr>
              <w:t>K</w:t>
            </w:r>
            <w:r w:rsidR="00A131AD" w:rsidRPr="00081B73">
              <w:rPr>
                <w:rFonts w:ascii="Times New Roman" w:hAnsi="Times New Roman"/>
                <w:sz w:val="20"/>
                <w:szCs w:val="20"/>
                <w:lang w:val="bs-Latn-BA"/>
              </w:rPr>
              <w:t>ronične plućne opstruktivne (J40-J46)</w:t>
            </w:r>
          </w:p>
        </w:tc>
        <w:tc>
          <w:tcPr>
            <w:tcW w:w="2568"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73,4</w:t>
            </w:r>
          </w:p>
        </w:tc>
        <w:tc>
          <w:tcPr>
            <w:tcW w:w="2160" w:type="dxa"/>
          </w:tcPr>
          <w:p w:rsidR="00A131AD" w:rsidRPr="00081B73" w:rsidRDefault="00A131AD" w:rsidP="000C0138">
            <w:pPr>
              <w:tabs>
                <w:tab w:val="left" w:pos="390"/>
              </w:tabs>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97,3</w:t>
            </w:r>
          </w:p>
        </w:tc>
      </w:tr>
      <w:tr w:rsidR="00A131AD" w:rsidRPr="00081B73" w:rsidTr="001911A6">
        <w:tc>
          <w:tcPr>
            <w:tcW w:w="460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Mentalne (F00-F99)</w:t>
            </w:r>
          </w:p>
        </w:tc>
        <w:tc>
          <w:tcPr>
            <w:tcW w:w="2568"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136,2</w:t>
            </w:r>
          </w:p>
        </w:tc>
        <w:tc>
          <w:tcPr>
            <w:tcW w:w="216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208,9</w:t>
            </w:r>
          </w:p>
        </w:tc>
      </w:tr>
      <w:tr w:rsidR="00A131AD" w:rsidRPr="00081B73" w:rsidTr="001911A6">
        <w:tc>
          <w:tcPr>
            <w:tcW w:w="460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Koštano-mišićne (M00-M99)</w:t>
            </w:r>
          </w:p>
        </w:tc>
        <w:tc>
          <w:tcPr>
            <w:tcW w:w="2568"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198,8</w:t>
            </w:r>
          </w:p>
        </w:tc>
        <w:tc>
          <w:tcPr>
            <w:tcW w:w="216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295,7</w:t>
            </w:r>
          </w:p>
        </w:tc>
      </w:tr>
    </w:tbl>
    <w:p w:rsidR="00A131AD" w:rsidRPr="00081B73" w:rsidRDefault="00A131AD" w:rsidP="000C0138">
      <w:pPr>
        <w:spacing w:line="276" w:lineRule="auto"/>
        <w:rPr>
          <w:rFonts w:ascii="Times New Roman" w:hAnsi="Times New Roman"/>
          <w:sz w:val="20"/>
          <w:szCs w:val="20"/>
          <w:lang w:val="bs-Latn-BA"/>
        </w:rPr>
      </w:pPr>
    </w:p>
    <w:p w:rsidR="00677033" w:rsidRPr="00081B73" w:rsidRDefault="00677033" w:rsidP="000C0138">
      <w:pPr>
        <w:spacing w:line="276" w:lineRule="auto"/>
        <w:rPr>
          <w:rFonts w:ascii="Times New Roman" w:hAnsi="Times New Roman"/>
          <w:sz w:val="20"/>
          <w:szCs w:val="20"/>
          <w:lang w:val="bs-Latn-BA"/>
        </w:rPr>
      </w:pPr>
    </w:p>
    <w:p w:rsidR="00A131AD" w:rsidRPr="00081B73" w:rsidRDefault="00A131AD" w:rsidP="00677033">
      <w:pPr>
        <w:pStyle w:val="refererere"/>
        <w:rPr>
          <w:lang w:val="bs-Latn-BA"/>
        </w:rPr>
      </w:pPr>
      <w:r w:rsidRPr="00081B73">
        <w:rPr>
          <w:lang w:val="bs-Latn-BA"/>
        </w:rPr>
        <w:t>Tabl</w:t>
      </w:r>
      <w:r w:rsidR="00624C80">
        <w:rPr>
          <w:lang w:val="bs-Latn-BA"/>
        </w:rPr>
        <w:t>ic</w:t>
      </w:r>
      <w:r w:rsidRPr="00081B73">
        <w:rPr>
          <w:lang w:val="bs-Latn-BA"/>
        </w:rPr>
        <w:t>a 6:  Okolinski zdravstveni indikatori</w:t>
      </w:r>
    </w:p>
    <w:tbl>
      <w:tblPr>
        <w:tblW w:w="93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39"/>
        <w:gridCol w:w="1888"/>
        <w:gridCol w:w="1587"/>
        <w:gridCol w:w="1389"/>
        <w:gridCol w:w="1389"/>
        <w:gridCol w:w="1540"/>
      </w:tblGrid>
      <w:tr w:rsidR="00A131AD" w:rsidRPr="00081B73" w:rsidTr="001911A6">
        <w:trPr>
          <w:cantSplit/>
        </w:trPr>
        <w:tc>
          <w:tcPr>
            <w:tcW w:w="1368" w:type="dxa"/>
            <w:vMerge w:val="restart"/>
            <w:shd w:val="clear" w:color="auto" w:fill="FFFF00"/>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bCs/>
                <w:sz w:val="20"/>
                <w:szCs w:val="20"/>
                <w:lang w:val="bs-Latn-BA"/>
              </w:rPr>
              <w:t>Srednjobosanski kanton</w:t>
            </w:r>
            <w:r w:rsidRPr="00081B73">
              <w:rPr>
                <w:rFonts w:ascii="Times New Roman" w:hAnsi="Times New Roman"/>
                <w:sz w:val="20"/>
                <w:szCs w:val="20"/>
                <w:lang w:val="bs-Latn-BA"/>
              </w:rPr>
              <w:t xml:space="preserve"> </w:t>
            </w:r>
          </w:p>
        </w:tc>
        <w:tc>
          <w:tcPr>
            <w:tcW w:w="1969" w:type="dxa"/>
            <w:shd w:val="clear" w:color="auto" w:fill="FFFF00"/>
            <w:vAlign w:val="center"/>
          </w:tcPr>
          <w:p w:rsidR="00A131AD" w:rsidRPr="00081B73" w:rsidRDefault="00A131AD" w:rsidP="00624C80">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 xml:space="preserve">% stanovništva priključen na </w:t>
            </w:r>
            <w:r w:rsidR="00624C80">
              <w:rPr>
                <w:rFonts w:ascii="Times New Roman" w:hAnsi="Times New Roman"/>
                <w:sz w:val="20"/>
                <w:szCs w:val="20"/>
                <w:lang w:val="bs-Latn-BA"/>
              </w:rPr>
              <w:t>središnji</w:t>
            </w:r>
            <w:r w:rsidRPr="00081B73">
              <w:rPr>
                <w:rFonts w:ascii="Times New Roman" w:hAnsi="Times New Roman"/>
                <w:sz w:val="20"/>
                <w:szCs w:val="20"/>
                <w:lang w:val="bs-Latn-BA"/>
              </w:rPr>
              <w:t xml:space="preserve"> s</w:t>
            </w:r>
            <w:r w:rsidR="00624C80">
              <w:rPr>
                <w:rFonts w:ascii="Times New Roman" w:hAnsi="Times New Roman"/>
                <w:sz w:val="20"/>
                <w:szCs w:val="20"/>
                <w:lang w:val="bs-Latn-BA"/>
              </w:rPr>
              <w:t>ustav</w:t>
            </w:r>
            <w:r w:rsidRPr="00081B73">
              <w:rPr>
                <w:rFonts w:ascii="Times New Roman" w:hAnsi="Times New Roman"/>
                <w:sz w:val="20"/>
                <w:szCs w:val="20"/>
                <w:lang w:val="bs-Latn-BA"/>
              </w:rPr>
              <w:t xml:space="preserve"> vodo</w:t>
            </w:r>
            <w:r w:rsidR="00624C80">
              <w:rPr>
                <w:rFonts w:ascii="Times New Roman" w:hAnsi="Times New Roman"/>
                <w:sz w:val="20"/>
                <w:szCs w:val="20"/>
                <w:lang w:val="bs-Latn-BA"/>
              </w:rPr>
              <w:t>opskrbe</w:t>
            </w:r>
          </w:p>
        </w:tc>
        <w:tc>
          <w:tcPr>
            <w:tcW w:w="1622" w:type="dxa"/>
            <w:shd w:val="clear" w:color="auto" w:fill="FFFF00"/>
            <w:vAlign w:val="center"/>
          </w:tcPr>
          <w:p w:rsidR="00A131AD" w:rsidRPr="00081B73" w:rsidRDefault="00A131AD" w:rsidP="00624C80">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 stanovništva priključen na kanalizaci</w:t>
            </w:r>
            <w:r w:rsidR="00624C80">
              <w:rPr>
                <w:rFonts w:ascii="Times New Roman" w:hAnsi="Times New Roman"/>
                <w:sz w:val="20"/>
                <w:szCs w:val="20"/>
                <w:lang w:val="bs-Latn-BA"/>
              </w:rPr>
              <w:t>jski</w:t>
            </w:r>
            <w:r w:rsidRPr="00081B73">
              <w:rPr>
                <w:rFonts w:ascii="Times New Roman" w:hAnsi="Times New Roman"/>
                <w:sz w:val="20"/>
                <w:szCs w:val="20"/>
                <w:lang w:val="bs-Latn-BA"/>
              </w:rPr>
              <w:t xml:space="preserve"> s</w:t>
            </w:r>
            <w:r w:rsidR="00624C80">
              <w:rPr>
                <w:rFonts w:ascii="Times New Roman" w:hAnsi="Times New Roman"/>
                <w:sz w:val="20"/>
                <w:szCs w:val="20"/>
                <w:lang w:val="bs-Latn-BA"/>
              </w:rPr>
              <w:t>ustav</w:t>
            </w:r>
          </w:p>
        </w:tc>
        <w:tc>
          <w:tcPr>
            <w:tcW w:w="1401" w:type="dxa"/>
            <w:shd w:val="clear" w:color="auto" w:fill="FFFF00"/>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Mjerenje koncentracije SO</w:t>
            </w:r>
            <w:r w:rsidRPr="00081B73">
              <w:rPr>
                <w:rFonts w:ascii="Times New Roman" w:hAnsi="Times New Roman"/>
                <w:sz w:val="20"/>
                <w:szCs w:val="20"/>
                <w:vertAlign w:val="subscript"/>
                <w:lang w:val="bs-Latn-BA"/>
              </w:rPr>
              <w:t>2</w:t>
            </w:r>
            <w:r w:rsidRPr="00081B73">
              <w:rPr>
                <w:rFonts w:ascii="Times New Roman" w:hAnsi="Times New Roman"/>
                <w:sz w:val="20"/>
                <w:szCs w:val="20"/>
                <w:lang w:val="bs-Latn-BA"/>
              </w:rPr>
              <w:t xml:space="preserve"> u zraku</w:t>
            </w:r>
          </w:p>
        </w:tc>
        <w:tc>
          <w:tcPr>
            <w:tcW w:w="1401" w:type="dxa"/>
            <w:shd w:val="clear" w:color="auto" w:fill="FFFF00"/>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Mjerenje koncentracije NO</w:t>
            </w:r>
            <w:r w:rsidRPr="00081B73">
              <w:rPr>
                <w:rFonts w:ascii="Times New Roman" w:hAnsi="Times New Roman"/>
                <w:sz w:val="20"/>
                <w:szCs w:val="20"/>
                <w:vertAlign w:val="subscript"/>
                <w:lang w:val="bs-Latn-BA"/>
              </w:rPr>
              <w:t>2</w:t>
            </w:r>
            <w:r w:rsidRPr="00081B73">
              <w:rPr>
                <w:rFonts w:ascii="Times New Roman" w:hAnsi="Times New Roman"/>
                <w:sz w:val="20"/>
                <w:szCs w:val="20"/>
                <w:lang w:val="bs-Latn-BA"/>
              </w:rPr>
              <w:t xml:space="preserve"> u zraku</w:t>
            </w:r>
          </w:p>
        </w:tc>
        <w:tc>
          <w:tcPr>
            <w:tcW w:w="1571" w:type="dxa"/>
            <w:shd w:val="clear" w:color="auto" w:fill="FFFF00"/>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Mjerenje koncentracije dima u zraku</w:t>
            </w:r>
          </w:p>
        </w:tc>
      </w:tr>
      <w:tr w:rsidR="00A131AD" w:rsidRPr="00081B73" w:rsidTr="001911A6">
        <w:trPr>
          <w:cantSplit/>
          <w:trHeight w:val="431"/>
        </w:trPr>
        <w:tc>
          <w:tcPr>
            <w:tcW w:w="1368" w:type="dxa"/>
            <w:vMerge/>
            <w:vAlign w:val="center"/>
          </w:tcPr>
          <w:p w:rsidR="00A131AD" w:rsidRPr="00081B73" w:rsidRDefault="00A131AD" w:rsidP="000C0138">
            <w:pPr>
              <w:spacing w:line="276" w:lineRule="auto"/>
              <w:jc w:val="center"/>
              <w:rPr>
                <w:rFonts w:ascii="Times New Roman" w:hAnsi="Times New Roman"/>
                <w:sz w:val="20"/>
                <w:szCs w:val="20"/>
                <w:lang w:val="bs-Latn-BA"/>
              </w:rPr>
            </w:pPr>
          </w:p>
        </w:tc>
        <w:tc>
          <w:tcPr>
            <w:tcW w:w="1969" w:type="dxa"/>
            <w:vAlign w:val="center"/>
          </w:tcPr>
          <w:p w:rsidR="00A131AD" w:rsidRPr="00081B73" w:rsidRDefault="00A131AD" w:rsidP="000C0138">
            <w:pPr>
              <w:spacing w:line="276" w:lineRule="auto"/>
              <w:jc w:val="center"/>
              <w:rPr>
                <w:rFonts w:ascii="Times New Roman" w:hAnsi="Times New Roman"/>
                <w:sz w:val="20"/>
                <w:szCs w:val="20"/>
                <w:lang w:val="bs-Latn-BA"/>
              </w:rPr>
            </w:pPr>
          </w:p>
        </w:tc>
        <w:tc>
          <w:tcPr>
            <w:tcW w:w="1622" w:type="dxa"/>
            <w:vAlign w:val="center"/>
          </w:tcPr>
          <w:p w:rsidR="00A131AD" w:rsidRPr="00081B73" w:rsidRDefault="00A131AD" w:rsidP="000C0138">
            <w:pPr>
              <w:spacing w:line="276" w:lineRule="auto"/>
              <w:jc w:val="center"/>
              <w:rPr>
                <w:rFonts w:ascii="Times New Roman" w:hAnsi="Times New Roman"/>
                <w:sz w:val="20"/>
                <w:szCs w:val="20"/>
                <w:lang w:val="bs-Latn-BA"/>
              </w:rPr>
            </w:pPr>
          </w:p>
        </w:tc>
        <w:tc>
          <w:tcPr>
            <w:tcW w:w="1401" w:type="dxa"/>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ne mjeri se</w:t>
            </w:r>
          </w:p>
        </w:tc>
        <w:tc>
          <w:tcPr>
            <w:tcW w:w="1401" w:type="dxa"/>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ne mjeri se</w:t>
            </w:r>
          </w:p>
        </w:tc>
        <w:tc>
          <w:tcPr>
            <w:tcW w:w="1571" w:type="dxa"/>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ne mjeri se</w:t>
            </w:r>
          </w:p>
        </w:tc>
      </w:tr>
    </w:tbl>
    <w:p w:rsidR="00A131AD" w:rsidRPr="00081B73" w:rsidRDefault="00A131AD" w:rsidP="00677033">
      <w:pPr>
        <w:pStyle w:val="refererere"/>
        <w:rPr>
          <w:lang w:val="bs-Latn-BA"/>
        </w:rPr>
      </w:pPr>
    </w:p>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Tabl</w:t>
      </w:r>
      <w:r w:rsidR="00624C80">
        <w:rPr>
          <w:rFonts w:ascii="Times New Roman" w:hAnsi="Times New Roman"/>
          <w:sz w:val="20"/>
          <w:szCs w:val="20"/>
          <w:lang w:val="bs-Latn-BA"/>
        </w:rPr>
        <w:t>ic</w:t>
      </w:r>
      <w:r w:rsidRPr="00081B73">
        <w:rPr>
          <w:rFonts w:ascii="Times New Roman" w:hAnsi="Times New Roman"/>
          <w:sz w:val="20"/>
          <w:szCs w:val="20"/>
          <w:lang w:val="bs-Latn-BA"/>
        </w:rPr>
        <w:t>a 7: Zdravstvena zaštita za 2010</w:t>
      </w:r>
      <w:r w:rsidR="00624C80">
        <w:rPr>
          <w:rFonts w:ascii="Times New Roman" w:hAnsi="Times New Roman"/>
          <w:sz w:val="20"/>
          <w:szCs w:val="20"/>
          <w:lang w:val="bs-Latn-BA"/>
        </w:rPr>
        <w:t>.</w:t>
      </w:r>
      <w:r w:rsidRPr="00081B73">
        <w:rPr>
          <w:rFonts w:ascii="Times New Roman" w:hAnsi="Times New Roman"/>
          <w:sz w:val="20"/>
          <w:szCs w:val="20"/>
          <w:lang w:val="bs-Latn-BA"/>
        </w:rPr>
        <w:t xml:space="preserve"> i  2015. godinu</w:t>
      </w: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01"/>
        <w:gridCol w:w="8"/>
        <w:gridCol w:w="3807"/>
        <w:gridCol w:w="2279"/>
        <w:gridCol w:w="2293"/>
      </w:tblGrid>
      <w:tr w:rsidR="00A131AD" w:rsidRPr="00081B73" w:rsidTr="001911A6">
        <w:trPr>
          <w:trHeight w:val="509"/>
        </w:trPr>
        <w:tc>
          <w:tcPr>
            <w:tcW w:w="4716" w:type="dxa"/>
            <w:gridSpan w:val="3"/>
            <w:shd w:val="clear" w:color="auto" w:fill="FFFF00"/>
            <w:vAlign w:val="center"/>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sz w:val="20"/>
                <w:szCs w:val="20"/>
                <w:lang w:val="bs-Latn-BA"/>
              </w:rPr>
              <w:t>Broj</w:t>
            </w:r>
          </w:p>
        </w:tc>
        <w:tc>
          <w:tcPr>
            <w:tcW w:w="2279"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2010.</w:t>
            </w:r>
          </w:p>
        </w:tc>
        <w:tc>
          <w:tcPr>
            <w:tcW w:w="2293"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2015.</w:t>
            </w:r>
          </w:p>
        </w:tc>
      </w:tr>
      <w:tr w:rsidR="00A131AD" w:rsidRPr="00081B73" w:rsidTr="001911A6">
        <w:trPr>
          <w:cantSplit/>
        </w:trPr>
        <w:tc>
          <w:tcPr>
            <w:tcW w:w="909" w:type="dxa"/>
            <w:gridSpan w:val="2"/>
            <w:vMerge w:val="restart"/>
            <w:tcBorders>
              <w:top w:val="single" w:sz="4" w:space="0" w:color="auto"/>
              <w:left w:val="single" w:sz="4" w:space="0" w:color="auto"/>
              <w:bottom w:val="nil"/>
              <w:right w:val="single" w:sz="4" w:space="0" w:color="auto"/>
            </w:tcBorders>
            <w:vAlign w:val="bottom"/>
          </w:tcPr>
          <w:p w:rsidR="00A131AD" w:rsidRPr="00081B73" w:rsidRDefault="00A131AD" w:rsidP="000C0138">
            <w:pPr>
              <w:pStyle w:val="NormalWeb"/>
              <w:spacing w:before="0" w:beforeAutospacing="0" w:after="0" w:afterAutospacing="0" w:line="276" w:lineRule="auto"/>
              <w:rPr>
                <w:sz w:val="20"/>
                <w:szCs w:val="20"/>
                <w:lang w:val="bs-Latn-BA"/>
              </w:rPr>
            </w:pPr>
            <w:r w:rsidRPr="00081B73">
              <w:rPr>
                <w:sz w:val="20"/>
                <w:szCs w:val="20"/>
                <w:lang w:val="bs-Latn-BA"/>
              </w:rPr>
              <w:t>PZZ</w:t>
            </w:r>
          </w:p>
        </w:tc>
        <w:tc>
          <w:tcPr>
            <w:tcW w:w="3807" w:type="dxa"/>
            <w:tcBorders>
              <w:left w:val="single" w:sz="4" w:space="0" w:color="auto"/>
            </w:tcBorders>
          </w:tcPr>
          <w:p w:rsidR="00A131AD" w:rsidRPr="00081B73" w:rsidRDefault="00A131AD" w:rsidP="000C0138">
            <w:pPr>
              <w:pStyle w:val="NormalWeb"/>
              <w:spacing w:before="0" w:beforeAutospacing="0" w:after="0" w:afterAutospacing="0" w:line="276" w:lineRule="auto"/>
              <w:rPr>
                <w:sz w:val="20"/>
                <w:szCs w:val="20"/>
                <w:lang w:val="bs-Latn-BA"/>
              </w:rPr>
            </w:pPr>
            <w:r w:rsidRPr="00081B73">
              <w:rPr>
                <w:sz w:val="20"/>
                <w:szCs w:val="20"/>
                <w:lang w:val="bs-Latn-BA"/>
              </w:rPr>
              <w:t>ordinacije PZZ</w:t>
            </w:r>
          </w:p>
        </w:tc>
        <w:tc>
          <w:tcPr>
            <w:tcW w:w="2279" w:type="dxa"/>
            <w:vAlign w:val="center"/>
          </w:tcPr>
          <w:p w:rsidR="00A131AD" w:rsidRPr="00081B73" w:rsidRDefault="00A131AD" w:rsidP="000C0138">
            <w:pPr>
              <w:pStyle w:val="NormalWeb"/>
              <w:spacing w:line="276" w:lineRule="auto"/>
              <w:jc w:val="right"/>
              <w:rPr>
                <w:sz w:val="20"/>
                <w:szCs w:val="20"/>
                <w:lang w:val="bs-Latn-BA"/>
              </w:rPr>
            </w:pPr>
            <w:r w:rsidRPr="00081B73">
              <w:rPr>
                <w:sz w:val="20"/>
                <w:szCs w:val="20"/>
                <w:lang w:val="bs-Latn-BA"/>
              </w:rPr>
              <w:t>190</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163</w:t>
            </w:r>
          </w:p>
        </w:tc>
      </w:tr>
      <w:tr w:rsidR="00A131AD" w:rsidRPr="00081B73" w:rsidTr="001911A6">
        <w:trPr>
          <w:cantSplit/>
        </w:trPr>
        <w:tc>
          <w:tcPr>
            <w:tcW w:w="909" w:type="dxa"/>
            <w:gridSpan w:val="2"/>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07" w:type="dxa"/>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stomatološke ordinacije/stolice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49</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53</w:t>
            </w:r>
          </w:p>
        </w:tc>
      </w:tr>
      <w:tr w:rsidR="00A131AD" w:rsidRPr="00081B73" w:rsidTr="001911A6">
        <w:trPr>
          <w:cantSplit/>
        </w:trPr>
        <w:tc>
          <w:tcPr>
            <w:tcW w:w="909" w:type="dxa"/>
            <w:gridSpan w:val="2"/>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07" w:type="dxa"/>
            <w:tcBorders>
              <w:left w:val="single" w:sz="4" w:space="0" w:color="auto"/>
            </w:tcBorders>
          </w:tcPr>
          <w:p w:rsidR="00A131AD" w:rsidRPr="00081B73" w:rsidRDefault="00624C80" w:rsidP="000C0138">
            <w:pPr>
              <w:spacing w:line="276" w:lineRule="auto"/>
              <w:rPr>
                <w:rFonts w:ascii="Times New Roman" w:hAnsi="Times New Roman"/>
                <w:sz w:val="20"/>
                <w:szCs w:val="20"/>
                <w:lang w:val="bs-Latn-BA"/>
              </w:rPr>
            </w:pPr>
            <w:r>
              <w:rPr>
                <w:rFonts w:ascii="Times New Roman" w:hAnsi="Times New Roman"/>
                <w:sz w:val="20"/>
                <w:szCs w:val="20"/>
                <w:lang w:val="bs-Latn-BA"/>
              </w:rPr>
              <w:t>ljekarne</w:t>
            </w:r>
            <w:r w:rsidR="00A131AD" w:rsidRPr="00081B73">
              <w:rPr>
                <w:rFonts w:ascii="Times New Roman" w:hAnsi="Times New Roman"/>
                <w:sz w:val="20"/>
                <w:szCs w:val="20"/>
                <w:lang w:val="bs-Latn-BA"/>
              </w:rPr>
              <w:t xml:space="preserve"> u javnom sektoru</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9</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w:t>
            </w:r>
          </w:p>
        </w:tc>
      </w:tr>
      <w:tr w:rsidR="00A131AD" w:rsidRPr="00081B73" w:rsidTr="001911A6">
        <w:trPr>
          <w:cantSplit/>
        </w:trPr>
        <w:tc>
          <w:tcPr>
            <w:tcW w:w="901" w:type="dxa"/>
            <w:vMerge w:val="restart"/>
            <w:tcBorders>
              <w:top w:val="nil"/>
              <w:left w:val="single" w:sz="4" w:space="0" w:color="auto"/>
              <w:bottom w:val="nil"/>
              <w:right w:val="single" w:sz="4" w:space="0" w:color="auto"/>
            </w:tcBorders>
            <w:vAlign w:val="center"/>
          </w:tcPr>
          <w:p w:rsidR="00A131AD" w:rsidRPr="00081B73" w:rsidRDefault="00A131AD" w:rsidP="000C0138">
            <w:pPr>
              <w:spacing w:line="276" w:lineRule="auto"/>
              <w:jc w:val="left"/>
              <w:rPr>
                <w:rFonts w:ascii="Times New Roman" w:hAnsi="Times New Roman"/>
                <w:sz w:val="20"/>
                <w:szCs w:val="20"/>
                <w:lang w:val="bs-Latn-BA"/>
              </w:rPr>
            </w:pPr>
          </w:p>
        </w:tc>
        <w:tc>
          <w:tcPr>
            <w:tcW w:w="381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dr medicine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182</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146</w:t>
            </w:r>
          </w:p>
        </w:tc>
      </w:tr>
      <w:tr w:rsidR="00A131AD" w:rsidRPr="00081B73" w:rsidTr="001911A6">
        <w:trPr>
          <w:cantSplit/>
        </w:trPr>
        <w:tc>
          <w:tcPr>
            <w:tcW w:w="901" w:type="dxa"/>
            <w:vMerge/>
            <w:tcBorders>
              <w:top w:val="nil"/>
              <w:left w:val="single" w:sz="4" w:space="0" w:color="auto"/>
              <w:bottom w:val="nil"/>
              <w:right w:val="single" w:sz="4" w:space="0" w:color="auto"/>
            </w:tcBorders>
            <w:vAlign w:val="center"/>
          </w:tcPr>
          <w:p w:rsidR="00A131AD" w:rsidRPr="00081B73" w:rsidRDefault="00A131AD" w:rsidP="000C0138">
            <w:pPr>
              <w:spacing w:line="276" w:lineRule="auto"/>
              <w:jc w:val="left"/>
              <w:rPr>
                <w:rFonts w:ascii="Times New Roman" w:hAnsi="Times New Roman"/>
                <w:sz w:val="20"/>
                <w:szCs w:val="20"/>
                <w:lang w:val="bs-Latn-BA"/>
              </w:rPr>
            </w:pPr>
          </w:p>
        </w:tc>
        <w:tc>
          <w:tcPr>
            <w:tcW w:w="381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zdravstveni tehničari/sestre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443</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374</w:t>
            </w:r>
          </w:p>
        </w:tc>
      </w:tr>
      <w:tr w:rsidR="00A131AD" w:rsidRPr="00081B73" w:rsidTr="001911A6">
        <w:trPr>
          <w:cantSplit/>
        </w:trPr>
        <w:tc>
          <w:tcPr>
            <w:tcW w:w="901" w:type="dxa"/>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1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dr stomatologije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34</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52</w:t>
            </w:r>
          </w:p>
        </w:tc>
      </w:tr>
      <w:tr w:rsidR="00A131AD" w:rsidRPr="00081B73" w:rsidTr="001911A6">
        <w:trPr>
          <w:cantSplit/>
        </w:trPr>
        <w:tc>
          <w:tcPr>
            <w:tcW w:w="901" w:type="dxa"/>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1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stomatološki tehničari/sestre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47</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54</w:t>
            </w:r>
          </w:p>
        </w:tc>
      </w:tr>
      <w:tr w:rsidR="00A131AD" w:rsidRPr="00081B73" w:rsidTr="001911A6">
        <w:trPr>
          <w:cantSplit/>
        </w:trPr>
        <w:tc>
          <w:tcPr>
            <w:tcW w:w="901" w:type="dxa"/>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1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magistri farmacije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19</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10</w:t>
            </w:r>
          </w:p>
        </w:tc>
      </w:tr>
      <w:tr w:rsidR="00A131AD" w:rsidRPr="00081B73" w:rsidTr="001911A6">
        <w:trPr>
          <w:cantSplit/>
        </w:trPr>
        <w:tc>
          <w:tcPr>
            <w:tcW w:w="901" w:type="dxa"/>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1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farmaceutski tehničari</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44</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19</w:t>
            </w:r>
          </w:p>
        </w:tc>
      </w:tr>
      <w:tr w:rsidR="00A131AD" w:rsidRPr="00081B73" w:rsidTr="001911A6">
        <w:trPr>
          <w:trHeight w:val="582"/>
        </w:trPr>
        <w:tc>
          <w:tcPr>
            <w:tcW w:w="901" w:type="dxa"/>
            <w:vAlign w:val="center"/>
          </w:tcPr>
          <w:p w:rsidR="00A131AD" w:rsidRPr="00081B73" w:rsidRDefault="00A131AD" w:rsidP="000C0138">
            <w:pPr>
              <w:spacing w:line="276" w:lineRule="auto"/>
              <w:jc w:val="left"/>
              <w:rPr>
                <w:rFonts w:ascii="Times New Roman" w:hAnsi="Times New Roman"/>
                <w:sz w:val="20"/>
                <w:szCs w:val="20"/>
                <w:lang w:val="bs-Latn-BA"/>
              </w:rPr>
            </w:pPr>
            <w:r w:rsidRPr="00081B73">
              <w:rPr>
                <w:rFonts w:ascii="Times New Roman" w:hAnsi="Times New Roman"/>
                <w:sz w:val="20"/>
                <w:szCs w:val="20"/>
                <w:lang w:val="bs-Latn-BA"/>
              </w:rPr>
              <w:t>Bolnice</w:t>
            </w:r>
          </w:p>
        </w:tc>
        <w:tc>
          <w:tcPr>
            <w:tcW w:w="3815" w:type="dxa"/>
            <w:gridSpan w:val="2"/>
            <w:vAlign w:val="center"/>
          </w:tcPr>
          <w:p w:rsidR="00A131AD" w:rsidRPr="00081B73" w:rsidRDefault="00A131AD" w:rsidP="000C0138">
            <w:pPr>
              <w:spacing w:line="276" w:lineRule="auto"/>
              <w:jc w:val="left"/>
              <w:rPr>
                <w:rFonts w:ascii="Times New Roman" w:hAnsi="Times New Roman"/>
                <w:sz w:val="20"/>
                <w:szCs w:val="20"/>
                <w:lang w:val="bs-Latn-BA"/>
              </w:rPr>
            </w:pPr>
            <w:r w:rsidRPr="00081B73">
              <w:rPr>
                <w:rFonts w:ascii="Times New Roman" w:hAnsi="Times New Roman"/>
                <w:sz w:val="20"/>
                <w:szCs w:val="20"/>
                <w:lang w:val="bs-Latn-BA"/>
              </w:rPr>
              <w:t>bolničke postelje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1305</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1269</w:t>
            </w:r>
          </w:p>
        </w:tc>
      </w:tr>
    </w:tbl>
    <w:p w:rsidR="00A131AD" w:rsidRPr="00081B73" w:rsidRDefault="00A131AD" w:rsidP="000C0138">
      <w:pPr>
        <w:spacing w:line="276" w:lineRule="auto"/>
        <w:rPr>
          <w:rFonts w:ascii="Times New Roman" w:hAnsi="Times New Roman"/>
          <w:b/>
          <w:bCs/>
          <w:sz w:val="20"/>
          <w:szCs w:val="20"/>
          <w:lang w:val="bs-Latn-BA"/>
        </w:rPr>
      </w:pPr>
    </w:p>
    <w:p w:rsidR="00A131AD" w:rsidRPr="00081B73" w:rsidRDefault="00A131AD" w:rsidP="000C0138">
      <w:pPr>
        <w:spacing w:after="160" w:line="276" w:lineRule="auto"/>
        <w:jc w:val="left"/>
        <w:rPr>
          <w:rFonts w:ascii="Times New Roman" w:hAnsi="Times New Roman"/>
          <w:b/>
          <w:bCs/>
          <w:sz w:val="20"/>
          <w:szCs w:val="20"/>
          <w:lang w:val="bs-Latn-BA"/>
        </w:rPr>
      </w:pPr>
      <w:r w:rsidRPr="00081B73">
        <w:rPr>
          <w:rFonts w:ascii="Times New Roman" w:hAnsi="Times New Roman"/>
          <w:b/>
          <w:bCs/>
          <w:sz w:val="20"/>
          <w:szCs w:val="20"/>
          <w:lang w:val="bs-Latn-BA"/>
        </w:rPr>
        <w:br w:type="page"/>
      </w:r>
    </w:p>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lastRenderedPageBreak/>
        <w:t>Hercegovačko-neretvanski kanton</w:t>
      </w:r>
    </w:p>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sz w:val="20"/>
          <w:szCs w:val="20"/>
          <w:lang w:val="bs-Latn-BA"/>
        </w:rPr>
        <w:t>Tabl</w:t>
      </w:r>
      <w:r w:rsidR="00624C80">
        <w:rPr>
          <w:rFonts w:ascii="Times New Roman" w:hAnsi="Times New Roman"/>
          <w:sz w:val="20"/>
          <w:szCs w:val="20"/>
          <w:lang w:val="bs-Latn-BA"/>
        </w:rPr>
        <w:t>ic</w:t>
      </w:r>
      <w:r w:rsidRPr="00081B73">
        <w:rPr>
          <w:rFonts w:ascii="Times New Roman" w:hAnsi="Times New Roman"/>
          <w:sz w:val="20"/>
          <w:szCs w:val="20"/>
          <w:lang w:val="bs-Latn-BA"/>
        </w:rPr>
        <w:t>a 1: Stanovništvo po općinama*</w:t>
      </w:r>
    </w:p>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noProof/>
          <w:sz w:val="20"/>
          <w:szCs w:val="20"/>
          <w:lang w:val="bs-Latn-BA" w:eastAsia="bs-Latn-BA"/>
        </w:rPr>
        <w:drawing>
          <wp:anchor distT="0" distB="0" distL="114300" distR="114300" simplePos="0" relativeHeight="251667456" behindDoc="0" locked="0" layoutInCell="1" allowOverlap="1" wp14:anchorId="6DF470FB" wp14:editId="559F3269">
            <wp:simplePos x="0" y="0"/>
            <wp:positionH relativeFrom="column">
              <wp:posOffset>-88900</wp:posOffset>
            </wp:positionH>
            <wp:positionV relativeFrom="paragraph">
              <wp:posOffset>92075</wp:posOffset>
            </wp:positionV>
            <wp:extent cx="2374900" cy="2273935"/>
            <wp:effectExtent l="0" t="0" r="6350" b="0"/>
            <wp:wrapSquare wrapText="bothSides"/>
            <wp:docPr id="121" name="Picture 121" descr="canton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anton7"/>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374900" cy="227393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pPr w:leftFromText="180" w:rightFromText="180" w:vertAnchor="text" w:horzAnchor="page" w:tblpX="6667" w:tblpY="-68"/>
        <w:tblW w:w="4659" w:type="dxa"/>
        <w:tblCellSpacing w:w="15" w:type="dxa"/>
        <w:tblCellMar>
          <w:top w:w="15" w:type="dxa"/>
          <w:left w:w="15" w:type="dxa"/>
          <w:bottom w:w="15" w:type="dxa"/>
          <w:right w:w="15" w:type="dxa"/>
        </w:tblCellMar>
        <w:tblLook w:val="0000" w:firstRow="0" w:lastRow="0" w:firstColumn="0" w:lastColumn="0" w:noHBand="0" w:noVBand="0"/>
      </w:tblPr>
      <w:tblGrid>
        <w:gridCol w:w="2319"/>
        <w:gridCol w:w="1080"/>
        <w:gridCol w:w="1260"/>
      </w:tblGrid>
      <w:tr w:rsidR="00677033" w:rsidRPr="00081B73" w:rsidTr="00677033">
        <w:trPr>
          <w:trHeight w:val="510"/>
          <w:tblCellSpacing w:w="15" w:type="dxa"/>
        </w:trPr>
        <w:tc>
          <w:tcPr>
            <w:tcW w:w="2274" w:type="dxa"/>
            <w:tcBorders>
              <w:right w:val="single" w:sz="4" w:space="0" w:color="000000"/>
            </w:tcBorders>
            <w:shd w:val="clear" w:color="auto" w:fill="C0C0C0"/>
            <w:vAlign w:val="center"/>
          </w:tcPr>
          <w:p w:rsidR="00677033" w:rsidRPr="00081B73" w:rsidRDefault="00677033" w:rsidP="00677033">
            <w:pPr>
              <w:spacing w:line="276" w:lineRule="auto"/>
              <w:ind w:right="691"/>
              <w:rPr>
                <w:rFonts w:ascii="Times New Roman" w:hAnsi="Times New Roman"/>
                <w:sz w:val="20"/>
                <w:szCs w:val="20"/>
                <w:lang w:val="bs-Latn-BA"/>
              </w:rPr>
            </w:pPr>
            <w:r w:rsidRPr="00081B73">
              <w:rPr>
                <w:rFonts w:ascii="Times New Roman" w:hAnsi="Times New Roman"/>
                <w:b/>
                <w:bCs/>
                <w:color w:val="800000"/>
                <w:sz w:val="20"/>
                <w:szCs w:val="20"/>
                <w:lang w:val="bs-Latn-BA"/>
              </w:rPr>
              <w:t>Općina</w:t>
            </w:r>
          </w:p>
        </w:tc>
        <w:tc>
          <w:tcPr>
            <w:tcW w:w="1050" w:type="dxa"/>
            <w:tcBorders>
              <w:left w:val="nil"/>
            </w:tcBorders>
            <w:shd w:val="clear" w:color="auto" w:fill="C0C0C0"/>
            <w:vAlign w:val="center"/>
          </w:tcPr>
          <w:p w:rsidR="00677033" w:rsidRPr="00081B73" w:rsidRDefault="00677033" w:rsidP="00677033">
            <w:pPr>
              <w:spacing w:line="276" w:lineRule="auto"/>
              <w:ind w:right="45"/>
              <w:rPr>
                <w:rFonts w:ascii="Times New Roman" w:hAnsi="Times New Roman"/>
                <w:sz w:val="20"/>
                <w:szCs w:val="20"/>
                <w:lang w:val="bs-Latn-BA"/>
              </w:rPr>
            </w:pPr>
            <w:r w:rsidRPr="00081B73">
              <w:rPr>
                <w:rFonts w:ascii="Times New Roman" w:hAnsi="Times New Roman"/>
                <w:b/>
                <w:bCs/>
                <w:color w:val="800000"/>
                <w:sz w:val="20"/>
                <w:szCs w:val="20"/>
                <w:lang w:val="bs-Latn-BA"/>
              </w:rPr>
              <w:t>Površina, km</w:t>
            </w:r>
            <w:r w:rsidRPr="00081B73">
              <w:rPr>
                <w:rFonts w:ascii="Times New Roman" w:hAnsi="Times New Roman"/>
                <w:b/>
                <w:bCs/>
                <w:color w:val="800000"/>
                <w:sz w:val="20"/>
                <w:szCs w:val="20"/>
                <w:vertAlign w:val="superscript"/>
                <w:lang w:val="bs-Latn-BA"/>
              </w:rPr>
              <w:t>2</w:t>
            </w:r>
          </w:p>
        </w:tc>
        <w:tc>
          <w:tcPr>
            <w:tcW w:w="1215" w:type="dxa"/>
            <w:tcBorders>
              <w:left w:val="nil"/>
            </w:tcBorders>
            <w:shd w:val="clear" w:color="auto" w:fill="C0C0C0"/>
            <w:vAlign w:val="center"/>
          </w:tcPr>
          <w:p w:rsidR="00677033" w:rsidRPr="00081B73" w:rsidRDefault="00677033" w:rsidP="00677033">
            <w:pPr>
              <w:pStyle w:val="NormalWeb"/>
              <w:spacing w:line="276" w:lineRule="auto"/>
              <w:jc w:val="center"/>
              <w:rPr>
                <w:sz w:val="20"/>
                <w:szCs w:val="20"/>
                <w:lang w:val="bs-Latn-BA"/>
              </w:rPr>
            </w:pPr>
            <w:r w:rsidRPr="00081B73">
              <w:rPr>
                <w:color w:val="800000"/>
                <w:sz w:val="20"/>
                <w:szCs w:val="20"/>
                <w:lang w:val="bs-Latn-BA"/>
              </w:rPr>
              <w:t>Procjena broja stanovnika</w:t>
            </w:r>
          </w:p>
        </w:tc>
      </w:tr>
      <w:tr w:rsidR="00677033" w:rsidRPr="00081B73" w:rsidTr="00677033">
        <w:trPr>
          <w:cantSplit/>
          <w:trHeight w:val="222"/>
          <w:tblCellSpacing w:w="15" w:type="dxa"/>
        </w:trPr>
        <w:tc>
          <w:tcPr>
            <w:tcW w:w="2274" w:type="dxa"/>
            <w:shd w:val="clear" w:color="auto" w:fill="FFFFCC"/>
            <w:vAlign w:val="center"/>
          </w:tcPr>
          <w:p w:rsidR="00677033" w:rsidRPr="00081B73" w:rsidRDefault="00677033" w:rsidP="00677033">
            <w:pPr>
              <w:spacing w:line="276" w:lineRule="auto"/>
              <w:ind w:right="691"/>
              <w:rPr>
                <w:rFonts w:ascii="Times New Roman" w:hAnsi="Times New Roman"/>
                <w:sz w:val="20"/>
                <w:szCs w:val="20"/>
                <w:lang w:val="bs-Latn-BA"/>
              </w:rPr>
            </w:pPr>
            <w:r w:rsidRPr="00081B73">
              <w:rPr>
                <w:rFonts w:ascii="Times New Roman" w:hAnsi="Times New Roman"/>
                <w:sz w:val="20"/>
                <w:szCs w:val="20"/>
                <w:lang w:val="bs-Latn-BA"/>
              </w:rPr>
              <w:t>Čapljina</w:t>
            </w:r>
          </w:p>
        </w:tc>
        <w:tc>
          <w:tcPr>
            <w:tcW w:w="1050" w:type="dxa"/>
            <w:shd w:val="clear" w:color="auto" w:fill="FFFFCC"/>
            <w:vAlign w:val="center"/>
          </w:tcPr>
          <w:p w:rsidR="00677033" w:rsidRPr="00081B73" w:rsidRDefault="00677033" w:rsidP="00677033">
            <w:pPr>
              <w:spacing w:line="276" w:lineRule="auto"/>
              <w:ind w:right="45"/>
              <w:jc w:val="right"/>
              <w:rPr>
                <w:rFonts w:ascii="Times New Roman" w:hAnsi="Times New Roman"/>
                <w:sz w:val="20"/>
                <w:szCs w:val="20"/>
                <w:lang w:val="bs-Latn-BA"/>
              </w:rPr>
            </w:pPr>
            <w:r w:rsidRPr="00081B73">
              <w:rPr>
                <w:rFonts w:ascii="Times New Roman" w:hAnsi="Times New Roman"/>
                <w:sz w:val="20"/>
                <w:szCs w:val="20"/>
                <w:lang w:val="bs-Latn-BA"/>
              </w:rPr>
              <w:t>256,0</w:t>
            </w:r>
          </w:p>
        </w:tc>
        <w:tc>
          <w:tcPr>
            <w:tcW w:w="1215" w:type="dxa"/>
            <w:shd w:val="clear" w:color="auto" w:fill="FFFFCC"/>
            <w:vAlign w:val="center"/>
          </w:tcPr>
          <w:p w:rsidR="00677033" w:rsidRPr="00081B73" w:rsidRDefault="00677033" w:rsidP="00677033">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22.483</w:t>
            </w:r>
          </w:p>
        </w:tc>
      </w:tr>
      <w:tr w:rsidR="00677033" w:rsidRPr="00081B73" w:rsidTr="00677033">
        <w:trPr>
          <w:trHeight w:val="222"/>
          <w:tblCellSpacing w:w="15" w:type="dxa"/>
        </w:trPr>
        <w:tc>
          <w:tcPr>
            <w:tcW w:w="2274" w:type="dxa"/>
            <w:vAlign w:val="center"/>
          </w:tcPr>
          <w:p w:rsidR="00677033" w:rsidRPr="00081B73" w:rsidRDefault="00677033" w:rsidP="00677033">
            <w:pPr>
              <w:spacing w:line="276" w:lineRule="auto"/>
              <w:ind w:right="691"/>
              <w:rPr>
                <w:rFonts w:ascii="Times New Roman" w:hAnsi="Times New Roman"/>
                <w:sz w:val="20"/>
                <w:szCs w:val="20"/>
                <w:lang w:val="bs-Latn-BA"/>
              </w:rPr>
            </w:pPr>
            <w:r w:rsidRPr="00081B73">
              <w:rPr>
                <w:rFonts w:ascii="Times New Roman" w:hAnsi="Times New Roman"/>
                <w:sz w:val="20"/>
                <w:szCs w:val="20"/>
                <w:lang w:val="bs-Latn-BA"/>
              </w:rPr>
              <w:t>Čitluk</w:t>
            </w:r>
          </w:p>
        </w:tc>
        <w:tc>
          <w:tcPr>
            <w:tcW w:w="1050" w:type="dxa"/>
            <w:vAlign w:val="center"/>
          </w:tcPr>
          <w:p w:rsidR="00677033" w:rsidRPr="00081B73" w:rsidRDefault="00677033" w:rsidP="00677033">
            <w:pPr>
              <w:spacing w:line="276" w:lineRule="auto"/>
              <w:ind w:right="45"/>
              <w:jc w:val="right"/>
              <w:rPr>
                <w:rFonts w:ascii="Times New Roman" w:hAnsi="Times New Roman"/>
                <w:sz w:val="20"/>
                <w:szCs w:val="20"/>
                <w:lang w:val="bs-Latn-BA"/>
              </w:rPr>
            </w:pPr>
            <w:r w:rsidRPr="00081B73">
              <w:rPr>
                <w:rFonts w:ascii="Times New Roman" w:hAnsi="Times New Roman"/>
                <w:sz w:val="20"/>
                <w:szCs w:val="20"/>
                <w:lang w:val="bs-Latn-BA"/>
              </w:rPr>
              <w:t>181,0</w:t>
            </w:r>
          </w:p>
        </w:tc>
        <w:tc>
          <w:tcPr>
            <w:tcW w:w="1215" w:type="dxa"/>
            <w:vAlign w:val="center"/>
          </w:tcPr>
          <w:p w:rsidR="00677033" w:rsidRPr="00081B73" w:rsidRDefault="00677033" w:rsidP="00677033">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15.857</w:t>
            </w:r>
          </w:p>
        </w:tc>
      </w:tr>
      <w:tr w:rsidR="00677033" w:rsidRPr="00081B73" w:rsidTr="00677033">
        <w:trPr>
          <w:trHeight w:val="222"/>
          <w:tblCellSpacing w:w="15" w:type="dxa"/>
        </w:trPr>
        <w:tc>
          <w:tcPr>
            <w:tcW w:w="2274" w:type="dxa"/>
            <w:shd w:val="clear" w:color="auto" w:fill="FFFFCC"/>
            <w:vAlign w:val="center"/>
          </w:tcPr>
          <w:p w:rsidR="00677033" w:rsidRPr="00081B73" w:rsidRDefault="00677033" w:rsidP="00677033">
            <w:pPr>
              <w:spacing w:line="276" w:lineRule="auto"/>
              <w:ind w:right="691"/>
              <w:rPr>
                <w:rFonts w:ascii="Times New Roman" w:hAnsi="Times New Roman"/>
                <w:sz w:val="20"/>
                <w:szCs w:val="20"/>
                <w:lang w:val="bs-Latn-BA"/>
              </w:rPr>
            </w:pPr>
            <w:r w:rsidRPr="00081B73">
              <w:rPr>
                <w:rFonts w:ascii="Times New Roman" w:hAnsi="Times New Roman"/>
                <w:sz w:val="20"/>
                <w:szCs w:val="20"/>
                <w:lang w:val="bs-Latn-BA"/>
              </w:rPr>
              <w:t>Jablanica</w:t>
            </w:r>
          </w:p>
        </w:tc>
        <w:tc>
          <w:tcPr>
            <w:tcW w:w="1050" w:type="dxa"/>
            <w:shd w:val="clear" w:color="auto" w:fill="FFFFCC"/>
            <w:vAlign w:val="center"/>
          </w:tcPr>
          <w:p w:rsidR="00677033" w:rsidRPr="00081B73" w:rsidRDefault="00677033" w:rsidP="00677033">
            <w:pPr>
              <w:spacing w:line="276" w:lineRule="auto"/>
              <w:ind w:right="45"/>
              <w:jc w:val="right"/>
              <w:rPr>
                <w:rFonts w:ascii="Times New Roman" w:hAnsi="Times New Roman"/>
                <w:sz w:val="20"/>
                <w:szCs w:val="20"/>
                <w:lang w:val="bs-Latn-BA"/>
              </w:rPr>
            </w:pPr>
            <w:r w:rsidRPr="00081B73">
              <w:rPr>
                <w:rFonts w:ascii="Times New Roman" w:hAnsi="Times New Roman"/>
                <w:sz w:val="20"/>
                <w:szCs w:val="20"/>
                <w:lang w:val="bs-Latn-BA"/>
              </w:rPr>
              <w:t>301,0</w:t>
            </w:r>
          </w:p>
        </w:tc>
        <w:tc>
          <w:tcPr>
            <w:tcW w:w="1215" w:type="dxa"/>
            <w:shd w:val="clear" w:color="auto" w:fill="FFFFCC"/>
            <w:vAlign w:val="center"/>
          </w:tcPr>
          <w:p w:rsidR="00677033" w:rsidRPr="00081B73" w:rsidRDefault="00677033" w:rsidP="00677033">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11.493</w:t>
            </w:r>
          </w:p>
        </w:tc>
      </w:tr>
      <w:tr w:rsidR="00677033" w:rsidRPr="00081B73" w:rsidTr="00677033">
        <w:trPr>
          <w:cantSplit/>
          <w:trHeight w:val="222"/>
          <w:tblCellSpacing w:w="15" w:type="dxa"/>
        </w:trPr>
        <w:tc>
          <w:tcPr>
            <w:tcW w:w="2274" w:type="dxa"/>
            <w:vAlign w:val="center"/>
          </w:tcPr>
          <w:p w:rsidR="00677033" w:rsidRPr="00081B73" w:rsidRDefault="00677033" w:rsidP="00677033">
            <w:pPr>
              <w:spacing w:line="276" w:lineRule="auto"/>
              <w:ind w:right="691"/>
              <w:rPr>
                <w:rFonts w:ascii="Times New Roman" w:hAnsi="Times New Roman"/>
                <w:sz w:val="20"/>
                <w:szCs w:val="20"/>
                <w:lang w:val="bs-Latn-BA"/>
              </w:rPr>
            </w:pPr>
            <w:r w:rsidRPr="00081B73">
              <w:rPr>
                <w:rFonts w:ascii="Times New Roman" w:hAnsi="Times New Roman"/>
                <w:sz w:val="20"/>
                <w:szCs w:val="20"/>
                <w:lang w:val="bs-Latn-BA"/>
              </w:rPr>
              <w:t>Konjic</w:t>
            </w:r>
          </w:p>
        </w:tc>
        <w:tc>
          <w:tcPr>
            <w:tcW w:w="1050" w:type="dxa"/>
            <w:vAlign w:val="center"/>
          </w:tcPr>
          <w:p w:rsidR="00677033" w:rsidRPr="00081B73" w:rsidRDefault="00677033" w:rsidP="00677033">
            <w:pPr>
              <w:spacing w:line="276" w:lineRule="auto"/>
              <w:ind w:right="45"/>
              <w:jc w:val="right"/>
              <w:rPr>
                <w:rFonts w:ascii="Times New Roman" w:hAnsi="Times New Roman"/>
                <w:sz w:val="20"/>
                <w:szCs w:val="20"/>
                <w:lang w:val="bs-Latn-BA"/>
              </w:rPr>
            </w:pPr>
            <w:r w:rsidRPr="00081B73">
              <w:rPr>
                <w:rFonts w:ascii="Times New Roman" w:hAnsi="Times New Roman"/>
                <w:sz w:val="20"/>
                <w:szCs w:val="20"/>
                <w:lang w:val="bs-Latn-BA"/>
              </w:rPr>
              <w:t>1.169,0</w:t>
            </w:r>
          </w:p>
        </w:tc>
        <w:tc>
          <w:tcPr>
            <w:tcW w:w="1215" w:type="dxa"/>
            <w:vAlign w:val="center"/>
          </w:tcPr>
          <w:p w:rsidR="00677033" w:rsidRPr="00081B73" w:rsidRDefault="00677033" w:rsidP="00677033">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27.141</w:t>
            </w:r>
          </w:p>
        </w:tc>
      </w:tr>
      <w:tr w:rsidR="00677033" w:rsidRPr="00081B73" w:rsidTr="00677033">
        <w:trPr>
          <w:cantSplit/>
          <w:trHeight w:val="222"/>
          <w:tblCellSpacing w:w="15" w:type="dxa"/>
        </w:trPr>
        <w:tc>
          <w:tcPr>
            <w:tcW w:w="2274" w:type="dxa"/>
            <w:shd w:val="clear" w:color="auto" w:fill="FFFFCC"/>
            <w:vAlign w:val="center"/>
          </w:tcPr>
          <w:p w:rsidR="00677033" w:rsidRPr="00081B73" w:rsidRDefault="00677033" w:rsidP="00677033">
            <w:pPr>
              <w:spacing w:line="276" w:lineRule="auto"/>
              <w:ind w:right="691"/>
              <w:rPr>
                <w:rFonts w:ascii="Times New Roman" w:hAnsi="Times New Roman"/>
                <w:sz w:val="20"/>
                <w:szCs w:val="20"/>
                <w:lang w:val="bs-Latn-BA"/>
              </w:rPr>
            </w:pPr>
            <w:r w:rsidRPr="00081B73">
              <w:rPr>
                <w:rFonts w:ascii="Times New Roman" w:hAnsi="Times New Roman"/>
                <w:sz w:val="20"/>
                <w:szCs w:val="20"/>
                <w:lang w:val="bs-Latn-BA"/>
              </w:rPr>
              <w:t>Mostar</w:t>
            </w:r>
          </w:p>
        </w:tc>
        <w:tc>
          <w:tcPr>
            <w:tcW w:w="1050" w:type="dxa"/>
            <w:shd w:val="clear" w:color="auto" w:fill="FFFFCC"/>
            <w:vAlign w:val="center"/>
          </w:tcPr>
          <w:p w:rsidR="00677033" w:rsidRPr="00081B73" w:rsidRDefault="00677033" w:rsidP="00677033">
            <w:pPr>
              <w:spacing w:line="276" w:lineRule="auto"/>
              <w:ind w:right="45"/>
              <w:jc w:val="right"/>
              <w:rPr>
                <w:rFonts w:ascii="Times New Roman" w:hAnsi="Times New Roman"/>
                <w:sz w:val="20"/>
                <w:szCs w:val="20"/>
                <w:lang w:val="bs-Latn-BA"/>
              </w:rPr>
            </w:pPr>
            <w:r w:rsidRPr="00081B73">
              <w:rPr>
                <w:rFonts w:ascii="Times New Roman" w:hAnsi="Times New Roman"/>
                <w:sz w:val="20"/>
                <w:szCs w:val="20"/>
                <w:lang w:val="bs-Latn-BA"/>
              </w:rPr>
              <w:t>1.175,0</w:t>
            </w:r>
          </w:p>
        </w:tc>
        <w:tc>
          <w:tcPr>
            <w:tcW w:w="1215" w:type="dxa"/>
            <w:shd w:val="clear" w:color="auto" w:fill="FFFFCC"/>
            <w:vAlign w:val="center"/>
          </w:tcPr>
          <w:p w:rsidR="00677033" w:rsidRPr="00081B73" w:rsidRDefault="00677033" w:rsidP="00677033">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112.347</w:t>
            </w:r>
          </w:p>
        </w:tc>
      </w:tr>
      <w:tr w:rsidR="00677033" w:rsidRPr="00081B73" w:rsidTr="00677033">
        <w:trPr>
          <w:cantSplit/>
          <w:trHeight w:val="222"/>
          <w:tblCellSpacing w:w="15" w:type="dxa"/>
        </w:trPr>
        <w:tc>
          <w:tcPr>
            <w:tcW w:w="2274" w:type="dxa"/>
            <w:vAlign w:val="center"/>
          </w:tcPr>
          <w:p w:rsidR="00677033" w:rsidRPr="00081B73" w:rsidRDefault="00677033" w:rsidP="00677033">
            <w:pPr>
              <w:spacing w:line="276" w:lineRule="auto"/>
              <w:ind w:right="691"/>
              <w:rPr>
                <w:rFonts w:ascii="Times New Roman" w:hAnsi="Times New Roman"/>
                <w:sz w:val="20"/>
                <w:szCs w:val="20"/>
                <w:lang w:val="bs-Latn-BA"/>
              </w:rPr>
            </w:pPr>
            <w:r w:rsidRPr="00081B73">
              <w:rPr>
                <w:rFonts w:ascii="Times New Roman" w:hAnsi="Times New Roman"/>
                <w:sz w:val="20"/>
                <w:szCs w:val="20"/>
                <w:lang w:val="bs-Latn-BA"/>
              </w:rPr>
              <w:t>Neum</w:t>
            </w:r>
          </w:p>
        </w:tc>
        <w:tc>
          <w:tcPr>
            <w:tcW w:w="1050" w:type="dxa"/>
            <w:vAlign w:val="center"/>
          </w:tcPr>
          <w:p w:rsidR="00677033" w:rsidRPr="00081B73" w:rsidRDefault="00677033" w:rsidP="00677033">
            <w:pPr>
              <w:spacing w:line="276" w:lineRule="auto"/>
              <w:ind w:right="45"/>
              <w:jc w:val="right"/>
              <w:rPr>
                <w:rFonts w:ascii="Times New Roman" w:hAnsi="Times New Roman"/>
                <w:sz w:val="20"/>
                <w:szCs w:val="20"/>
                <w:lang w:val="bs-Latn-BA"/>
              </w:rPr>
            </w:pPr>
            <w:r w:rsidRPr="00081B73">
              <w:rPr>
                <w:rFonts w:ascii="Times New Roman" w:hAnsi="Times New Roman"/>
                <w:sz w:val="20"/>
                <w:szCs w:val="20"/>
                <w:lang w:val="bs-Latn-BA"/>
              </w:rPr>
              <w:t>225,0</w:t>
            </w:r>
          </w:p>
        </w:tc>
        <w:tc>
          <w:tcPr>
            <w:tcW w:w="1215" w:type="dxa"/>
            <w:vAlign w:val="center"/>
          </w:tcPr>
          <w:p w:rsidR="00677033" w:rsidRPr="00081B73" w:rsidRDefault="00677033" w:rsidP="00677033">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4.335</w:t>
            </w:r>
          </w:p>
        </w:tc>
      </w:tr>
      <w:tr w:rsidR="00677033" w:rsidRPr="00081B73" w:rsidTr="00677033">
        <w:trPr>
          <w:trHeight w:val="222"/>
          <w:tblCellSpacing w:w="15" w:type="dxa"/>
        </w:trPr>
        <w:tc>
          <w:tcPr>
            <w:tcW w:w="2274" w:type="dxa"/>
            <w:shd w:val="clear" w:color="auto" w:fill="FFFFCC"/>
            <w:vAlign w:val="center"/>
          </w:tcPr>
          <w:p w:rsidR="00677033" w:rsidRPr="00081B73" w:rsidRDefault="00677033" w:rsidP="00677033">
            <w:pPr>
              <w:spacing w:line="276" w:lineRule="auto"/>
              <w:ind w:right="691"/>
              <w:rPr>
                <w:rFonts w:ascii="Times New Roman" w:hAnsi="Times New Roman"/>
                <w:sz w:val="20"/>
                <w:szCs w:val="20"/>
                <w:lang w:val="bs-Latn-BA"/>
              </w:rPr>
            </w:pPr>
            <w:r w:rsidRPr="00081B73">
              <w:rPr>
                <w:rFonts w:ascii="Times New Roman" w:hAnsi="Times New Roman"/>
                <w:sz w:val="20"/>
                <w:szCs w:val="20"/>
                <w:lang w:val="bs-Latn-BA"/>
              </w:rPr>
              <w:t>Prozor</w:t>
            </w:r>
          </w:p>
        </w:tc>
        <w:tc>
          <w:tcPr>
            <w:tcW w:w="1050" w:type="dxa"/>
            <w:shd w:val="clear" w:color="auto" w:fill="FFFFCC"/>
            <w:vAlign w:val="center"/>
          </w:tcPr>
          <w:p w:rsidR="00677033" w:rsidRPr="00081B73" w:rsidRDefault="00677033" w:rsidP="00677033">
            <w:pPr>
              <w:spacing w:line="276" w:lineRule="auto"/>
              <w:ind w:right="45"/>
              <w:jc w:val="right"/>
              <w:rPr>
                <w:rFonts w:ascii="Times New Roman" w:hAnsi="Times New Roman"/>
                <w:sz w:val="20"/>
                <w:szCs w:val="20"/>
                <w:lang w:val="bs-Latn-BA"/>
              </w:rPr>
            </w:pPr>
            <w:r w:rsidRPr="00081B73">
              <w:rPr>
                <w:rFonts w:ascii="Times New Roman" w:hAnsi="Times New Roman"/>
                <w:sz w:val="20"/>
                <w:szCs w:val="20"/>
                <w:lang w:val="bs-Latn-BA"/>
              </w:rPr>
              <w:t>477,0</w:t>
            </w:r>
          </w:p>
        </w:tc>
        <w:tc>
          <w:tcPr>
            <w:tcW w:w="1215" w:type="dxa"/>
            <w:shd w:val="clear" w:color="auto" w:fill="FFFFCC"/>
            <w:vAlign w:val="center"/>
          </w:tcPr>
          <w:p w:rsidR="00677033" w:rsidRPr="00081B73" w:rsidRDefault="00677033" w:rsidP="00677033">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15.498</w:t>
            </w:r>
          </w:p>
        </w:tc>
      </w:tr>
      <w:tr w:rsidR="00677033" w:rsidRPr="00081B73" w:rsidTr="00677033">
        <w:trPr>
          <w:trHeight w:val="222"/>
          <w:tblCellSpacing w:w="15" w:type="dxa"/>
        </w:trPr>
        <w:tc>
          <w:tcPr>
            <w:tcW w:w="2274" w:type="dxa"/>
            <w:vAlign w:val="center"/>
          </w:tcPr>
          <w:p w:rsidR="00677033" w:rsidRPr="00081B73" w:rsidRDefault="00677033" w:rsidP="00677033">
            <w:pPr>
              <w:spacing w:line="276" w:lineRule="auto"/>
              <w:ind w:right="691"/>
              <w:rPr>
                <w:rFonts w:ascii="Times New Roman" w:hAnsi="Times New Roman"/>
                <w:sz w:val="20"/>
                <w:szCs w:val="20"/>
                <w:lang w:val="bs-Latn-BA"/>
              </w:rPr>
            </w:pPr>
            <w:r w:rsidRPr="00081B73">
              <w:rPr>
                <w:rFonts w:ascii="Times New Roman" w:hAnsi="Times New Roman"/>
                <w:sz w:val="20"/>
                <w:szCs w:val="20"/>
                <w:lang w:val="bs-Latn-BA"/>
              </w:rPr>
              <w:t>Stolac</w:t>
            </w:r>
          </w:p>
        </w:tc>
        <w:tc>
          <w:tcPr>
            <w:tcW w:w="1050" w:type="dxa"/>
            <w:vAlign w:val="center"/>
          </w:tcPr>
          <w:p w:rsidR="00677033" w:rsidRPr="00081B73" w:rsidRDefault="00677033" w:rsidP="00677033">
            <w:pPr>
              <w:spacing w:line="276" w:lineRule="auto"/>
              <w:ind w:right="45"/>
              <w:jc w:val="right"/>
              <w:rPr>
                <w:rFonts w:ascii="Times New Roman" w:hAnsi="Times New Roman"/>
                <w:sz w:val="20"/>
                <w:szCs w:val="20"/>
                <w:lang w:val="bs-Latn-BA"/>
              </w:rPr>
            </w:pPr>
            <w:r w:rsidRPr="00081B73">
              <w:rPr>
                <w:rFonts w:ascii="Times New Roman" w:hAnsi="Times New Roman"/>
                <w:sz w:val="20"/>
                <w:szCs w:val="20"/>
                <w:lang w:val="bs-Latn-BA"/>
              </w:rPr>
              <w:t>331,0</w:t>
            </w:r>
          </w:p>
        </w:tc>
        <w:tc>
          <w:tcPr>
            <w:tcW w:w="1215" w:type="dxa"/>
            <w:vAlign w:val="center"/>
          </w:tcPr>
          <w:p w:rsidR="00677033" w:rsidRPr="00081B73" w:rsidRDefault="00677033" w:rsidP="00677033">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 xml:space="preserve">           12.898</w:t>
            </w:r>
          </w:p>
        </w:tc>
      </w:tr>
      <w:tr w:rsidR="00677033" w:rsidRPr="00081B73" w:rsidTr="00677033">
        <w:trPr>
          <w:trHeight w:val="222"/>
          <w:tblCellSpacing w:w="15" w:type="dxa"/>
        </w:trPr>
        <w:tc>
          <w:tcPr>
            <w:tcW w:w="2274" w:type="dxa"/>
            <w:shd w:val="clear" w:color="auto" w:fill="FFFFCC"/>
            <w:vAlign w:val="center"/>
          </w:tcPr>
          <w:p w:rsidR="00677033" w:rsidRPr="00081B73" w:rsidRDefault="00677033" w:rsidP="00677033">
            <w:pPr>
              <w:spacing w:line="276" w:lineRule="auto"/>
              <w:ind w:right="691"/>
              <w:rPr>
                <w:rFonts w:ascii="Times New Roman" w:hAnsi="Times New Roman"/>
                <w:sz w:val="20"/>
                <w:szCs w:val="20"/>
                <w:lang w:val="bs-Latn-BA"/>
              </w:rPr>
            </w:pPr>
            <w:r w:rsidRPr="00081B73">
              <w:rPr>
                <w:rFonts w:ascii="Times New Roman" w:hAnsi="Times New Roman"/>
                <w:sz w:val="20"/>
                <w:szCs w:val="20"/>
                <w:lang w:val="bs-Latn-BA"/>
              </w:rPr>
              <w:t>Ravno</w:t>
            </w:r>
          </w:p>
        </w:tc>
        <w:tc>
          <w:tcPr>
            <w:tcW w:w="1050" w:type="dxa"/>
            <w:shd w:val="clear" w:color="auto" w:fill="FFFFCC"/>
            <w:vAlign w:val="center"/>
          </w:tcPr>
          <w:p w:rsidR="00677033" w:rsidRPr="00081B73" w:rsidRDefault="00677033" w:rsidP="00677033">
            <w:pPr>
              <w:spacing w:line="276" w:lineRule="auto"/>
              <w:ind w:right="45"/>
              <w:jc w:val="right"/>
              <w:rPr>
                <w:rFonts w:ascii="Times New Roman" w:hAnsi="Times New Roman"/>
                <w:sz w:val="20"/>
                <w:szCs w:val="20"/>
                <w:lang w:val="bs-Latn-BA"/>
              </w:rPr>
            </w:pPr>
            <w:r w:rsidRPr="00081B73">
              <w:rPr>
                <w:rFonts w:ascii="Times New Roman" w:hAnsi="Times New Roman"/>
                <w:sz w:val="20"/>
                <w:szCs w:val="20"/>
                <w:lang w:val="bs-Latn-BA"/>
              </w:rPr>
              <w:t>286,0</w:t>
            </w:r>
          </w:p>
        </w:tc>
        <w:tc>
          <w:tcPr>
            <w:tcW w:w="1215" w:type="dxa"/>
            <w:shd w:val="clear" w:color="auto" w:fill="FFFFCC"/>
            <w:vAlign w:val="center"/>
          </w:tcPr>
          <w:p w:rsidR="00677033" w:rsidRPr="00081B73" w:rsidRDefault="00677033" w:rsidP="00677033">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1.419</w:t>
            </w:r>
          </w:p>
        </w:tc>
      </w:tr>
      <w:tr w:rsidR="00677033" w:rsidRPr="00081B73" w:rsidTr="00677033">
        <w:trPr>
          <w:trHeight w:val="222"/>
          <w:tblCellSpacing w:w="15" w:type="dxa"/>
        </w:trPr>
        <w:tc>
          <w:tcPr>
            <w:tcW w:w="2274" w:type="dxa"/>
            <w:shd w:val="clear" w:color="auto" w:fill="FFFFFF"/>
            <w:vAlign w:val="center"/>
          </w:tcPr>
          <w:p w:rsidR="00677033" w:rsidRPr="00081B73" w:rsidRDefault="00677033" w:rsidP="00677033">
            <w:pPr>
              <w:spacing w:line="276" w:lineRule="auto"/>
              <w:ind w:right="691"/>
              <w:rPr>
                <w:rFonts w:ascii="Times New Roman" w:hAnsi="Times New Roman"/>
                <w:sz w:val="20"/>
                <w:szCs w:val="20"/>
                <w:lang w:val="bs-Latn-BA"/>
              </w:rPr>
            </w:pPr>
            <w:r w:rsidRPr="00081B73">
              <w:rPr>
                <w:rFonts w:ascii="Times New Roman" w:hAnsi="Times New Roman"/>
                <w:sz w:val="20"/>
                <w:szCs w:val="20"/>
                <w:lang w:val="bs-Latn-BA"/>
              </w:rPr>
              <w:t>UKUPNO:</w:t>
            </w:r>
          </w:p>
        </w:tc>
        <w:tc>
          <w:tcPr>
            <w:tcW w:w="1050" w:type="dxa"/>
            <w:shd w:val="clear" w:color="auto" w:fill="FFFFFF"/>
            <w:vAlign w:val="center"/>
          </w:tcPr>
          <w:p w:rsidR="00677033" w:rsidRPr="00081B73" w:rsidRDefault="00677033" w:rsidP="00677033">
            <w:pPr>
              <w:spacing w:line="276" w:lineRule="auto"/>
              <w:ind w:right="45"/>
              <w:jc w:val="right"/>
              <w:rPr>
                <w:rFonts w:ascii="Times New Roman" w:hAnsi="Times New Roman"/>
                <w:sz w:val="20"/>
                <w:szCs w:val="20"/>
                <w:lang w:val="bs-Latn-BA"/>
              </w:rPr>
            </w:pPr>
            <w:r w:rsidRPr="00081B73">
              <w:rPr>
                <w:rFonts w:ascii="Times New Roman" w:hAnsi="Times New Roman"/>
                <w:sz w:val="20"/>
                <w:szCs w:val="20"/>
                <w:lang w:val="bs-Latn-BA"/>
              </w:rPr>
              <w:t>4.401</w:t>
            </w:r>
          </w:p>
        </w:tc>
        <w:tc>
          <w:tcPr>
            <w:tcW w:w="1215" w:type="dxa"/>
            <w:shd w:val="clear" w:color="auto" w:fill="FFFFFF"/>
            <w:vAlign w:val="center"/>
          </w:tcPr>
          <w:p w:rsidR="00677033" w:rsidRPr="00081B73" w:rsidRDefault="00677033" w:rsidP="00677033">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223.471</w:t>
            </w:r>
          </w:p>
        </w:tc>
      </w:tr>
      <w:tr w:rsidR="00677033" w:rsidRPr="00081B73" w:rsidTr="00677033">
        <w:trPr>
          <w:trHeight w:val="222"/>
          <w:tblCellSpacing w:w="15" w:type="dxa"/>
        </w:trPr>
        <w:tc>
          <w:tcPr>
            <w:tcW w:w="2274" w:type="dxa"/>
            <w:shd w:val="clear" w:color="auto" w:fill="FFFFFF"/>
            <w:vAlign w:val="center"/>
          </w:tcPr>
          <w:p w:rsidR="00677033" w:rsidRPr="00081B73" w:rsidRDefault="00677033" w:rsidP="00677033">
            <w:pPr>
              <w:spacing w:line="276" w:lineRule="auto"/>
              <w:ind w:right="691"/>
              <w:rPr>
                <w:rFonts w:ascii="Times New Roman" w:hAnsi="Times New Roman"/>
                <w:color w:val="006699"/>
                <w:sz w:val="20"/>
                <w:szCs w:val="20"/>
                <w:lang w:val="bs-Latn-BA"/>
              </w:rPr>
            </w:pPr>
            <w:r w:rsidRPr="00081B73">
              <w:rPr>
                <w:rFonts w:ascii="Times New Roman" w:hAnsi="Times New Roman"/>
                <w:sz w:val="20"/>
                <w:szCs w:val="20"/>
                <w:lang w:val="bs-Latn-BA"/>
              </w:rPr>
              <w:t>Broj stanovnika/km</w:t>
            </w:r>
            <w:r w:rsidRPr="00081B73">
              <w:rPr>
                <w:rFonts w:ascii="Times New Roman" w:hAnsi="Times New Roman"/>
                <w:b/>
                <w:bCs/>
                <w:sz w:val="20"/>
                <w:szCs w:val="20"/>
                <w:vertAlign w:val="superscript"/>
                <w:lang w:val="bs-Latn-BA"/>
              </w:rPr>
              <w:t>2</w:t>
            </w:r>
          </w:p>
        </w:tc>
        <w:tc>
          <w:tcPr>
            <w:tcW w:w="1050" w:type="dxa"/>
            <w:shd w:val="clear" w:color="auto" w:fill="FFFFFF"/>
            <w:vAlign w:val="center"/>
          </w:tcPr>
          <w:p w:rsidR="00677033" w:rsidRPr="00081B73" w:rsidRDefault="00677033" w:rsidP="00677033">
            <w:pPr>
              <w:spacing w:line="276" w:lineRule="auto"/>
              <w:ind w:right="45"/>
              <w:jc w:val="right"/>
              <w:rPr>
                <w:rFonts w:ascii="Times New Roman" w:hAnsi="Times New Roman"/>
                <w:color w:val="006699"/>
                <w:sz w:val="20"/>
                <w:szCs w:val="20"/>
                <w:lang w:val="bs-Latn-BA"/>
              </w:rPr>
            </w:pPr>
            <w:r w:rsidRPr="00081B73">
              <w:rPr>
                <w:rFonts w:ascii="Times New Roman" w:hAnsi="Times New Roman"/>
                <w:color w:val="006699"/>
                <w:sz w:val="20"/>
                <w:szCs w:val="20"/>
                <w:lang w:val="bs-Latn-BA"/>
              </w:rPr>
              <w:t>50,9</w:t>
            </w:r>
          </w:p>
        </w:tc>
        <w:tc>
          <w:tcPr>
            <w:tcW w:w="1215" w:type="dxa"/>
            <w:shd w:val="clear" w:color="auto" w:fill="FFFFFF"/>
            <w:vAlign w:val="center"/>
          </w:tcPr>
          <w:p w:rsidR="00677033" w:rsidRPr="00081B73" w:rsidRDefault="00677033" w:rsidP="00677033">
            <w:pPr>
              <w:spacing w:line="276" w:lineRule="auto"/>
              <w:jc w:val="right"/>
              <w:rPr>
                <w:rFonts w:ascii="Times New Roman" w:hAnsi="Times New Roman"/>
                <w:sz w:val="20"/>
                <w:szCs w:val="20"/>
                <w:lang w:val="bs-Latn-BA"/>
              </w:rPr>
            </w:pPr>
          </w:p>
        </w:tc>
      </w:tr>
    </w:tbl>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ab/>
      </w:r>
      <w:r w:rsidRPr="00081B73">
        <w:rPr>
          <w:rFonts w:ascii="Times New Roman" w:hAnsi="Times New Roman"/>
          <w:sz w:val="20"/>
          <w:szCs w:val="20"/>
          <w:lang w:val="bs-Latn-BA"/>
        </w:rPr>
        <w:tab/>
      </w:r>
      <w:r w:rsidRPr="00081B73">
        <w:rPr>
          <w:rFonts w:ascii="Times New Roman" w:hAnsi="Times New Roman"/>
          <w:sz w:val="20"/>
          <w:szCs w:val="20"/>
          <w:lang w:val="bs-Latn-BA"/>
        </w:rPr>
        <w:tab/>
      </w:r>
      <w:r w:rsidRPr="00081B73">
        <w:rPr>
          <w:rFonts w:ascii="Times New Roman" w:hAnsi="Times New Roman"/>
          <w:sz w:val="20"/>
          <w:szCs w:val="20"/>
          <w:lang w:val="bs-Latn-BA"/>
        </w:rPr>
        <w:tab/>
      </w:r>
      <w:r w:rsidRPr="00081B73">
        <w:rPr>
          <w:rFonts w:ascii="Times New Roman" w:hAnsi="Times New Roman"/>
          <w:sz w:val="20"/>
          <w:szCs w:val="20"/>
          <w:lang w:val="bs-Latn-BA"/>
        </w:rPr>
        <w:tab/>
      </w:r>
    </w:p>
    <w:p w:rsidR="00A131AD" w:rsidRPr="00081B73" w:rsidRDefault="00A131AD" w:rsidP="000C0138">
      <w:pPr>
        <w:spacing w:line="276" w:lineRule="auto"/>
        <w:ind w:left="2880" w:firstLine="720"/>
        <w:rPr>
          <w:rFonts w:ascii="Times New Roman" w:hAnsi="Times New Roman"/>
          <w:sz w:val="20"/>
          <w:szCs w:val="20"/>
          <w:lang w:val="bs-Latn-BA"/>
        </w:rPr>
      </w:pPr>
      <w:r w:rsidRPr="00081B73">
        <w:rPr>
          <w:rFonts w:ascii="Times New Roman" w:hAnsi="Times New Roman"/>
          <w:sz w:val="20"/>
          <w:szCs w:val="20"/>
          <w:lang w:val="bs-Latn-BA"/>
        </w:rPr>
        <w:t xml:space="preserve">* </w:t>
      </w:r>
    </w:p>
    <w:p w:rsidR="00A131AD" w:rsidRPr="00081B73" w:rsidRDefault="00A131AD" w:rsidP="000C0138">
      <w:pPr>
        <w:spacing w:line="276" w:lineRule="auto"/>
        <w:ind w:left="2880" w:firstLine="720"/>
        <w:rPr>
          <w:rFonts w:ascii="Times New Roman" w:hAnsi="Times New Roman"/>
          <w:sz w:val="20"/>
          <w:szCs w:val="20"/>
          <w:lang w:val="bs-Latn-BA"/>
        </w:rPr>
      </w:pPr>
    </w:p>
    <w:p w:rsidR="00A131AD" w:rsidRPr="00081B73" w:rsidRDefault="00A131AD" w:rsidP="000C0138">
      <w:pPr>
        <w:spacing w:line="276" w:lineRule="auto"/>
        <w:ind w:left="2880" w:firstLine="720"/>
        <w:rPr>
          <w:rFonts w:ascii="Times New Roman" w:hAnsi="Times New Roman"/>
          <w:sz w:val="20"/>
          <w:szCs w:val="20"/>
          <w:lang w:val="bs-Latn-BA"/>
        </w:rPr>
      </w:pPr>
    </w:p>
    <w:p w:rsidR="00A131AD" w:rsidRPr="00081B73" w:rsidRDefault="00A131AD" w:rsidP="000C0138">
      <w:pPr>
        <w:spacing w:line="276" w:lineRule="auto"/>
        <w:ind w:left="2880" w:firstLine="720"/>
        <w:rPr>
          <w:rFonts w:ascii="Times New Roman" w:hAnsi="Times New Roman"/>
          <w:sz w:val="20"/>
          <w:szCs w:val="20"/>
          <w:lang w:val="bs-Latn-BA"/>
        </w:rPr>
      </w:pPr>
    </w:p>
    <w:p w:rsidR="00A131AD" w:rsidRPr="00081B73" w:rsidRDefault="00A131AD" w:rsidP="000C0138">
      <w:pPr>
        <w:spacing w:line="276" w:lineRule="auto"/>
        <w:ind w:left="2880" w:firstLine="720"/>
        <w:rPr>
          <w:rFonts w:ascii="Times New Roman" w:hAnsi="Times New Roman"/>
          <w:sz w:val="20"/>
          <w:szCs w:val="20"/>
          <w:lang w:val="bs-Latn-BA"/>
        </w:rPr>
      </w:pPr>
    </w:p>
    <w:p w:rsidR="00A131AD" w:rsidRPr="00081B73" w:rsidRDefault="00A131AD" w:rsidP="000C0138">
      <w:pPr>
        <w:spacing w:line="276" w:lineRule="auto"/>
        <w:ind w:left="2880" w:firstLine="720"/>
        <w:rPr>
          <w:rFonts w:ascii="Times New Roman" w:hAnsi="Times New Roman"/>
          <w:sz w:val="20"/>
          <w:szCs w:val="20"/>
          <w:lang w:val="bs-Latn-BA"/>
        </w:rPr>
      </w:pPr>
    </w:p>
    <w:p w:rsidR="00A131AD" w:rsidRPr="00081B73" w:rsidRDefault="00A131AD" w:rsidP="000C0138">
      <w:pPr>
        <w:spacing w:line="276" w:lineRule="auto"/>
        <w:ind w:left="2880" w:firstLine="720"/>
        <w:rPr>
          <w:rFonts w:ascii="Times New Roman" w:hAnsi="Times New Roman"/>
          <w:sz w:val="20"/>
          <w:szCs w:val="20"/>
          <w:lang w:val="bs-Latn-BA"/>
        </w:rPr>
      </w:pPr>
    </w:p>
    <w:p w:rsidR="00A131AD" w:rsidRPr="00081B73" w:rsidRDefault="00A131AD" w:rsidP="000C0138">
      <w:pPr>
        <w:spacing w:line="276" w:lineRule="auto"/>
        <w:ind w:left="2880" w:firstLine="720"/>
        <w:rPr>
          <w:rFonts w:ascii="Times New Roman" w:hAnsi="Times New Roman"/>
          <w:sz w:val="20"/>
          <w:szCs w:val="20"/>
          <w:lang w:val="bs-Latn-BA"/>
        </w:rPr>
      </w:pPr>
    </w:p>
    <w:p w:rsidR="00A131AD" w:rsidRPr="00081B73" w:rsidRDefault="00A131AD" w:rsidP="000C0138">
      <w:pPr>
        <w:spacing w:line="276" w:lineRule="auto"/>
        <w:ind w:left="2880" w:firstLine="720"/>
        <w:rPr>
          <w:rFonts w:ascii="Times New Roman" w:hAnsi="Times New Roman"/>
          <w:sz w:val="20"/>
          <w:szCs w:val="20"/>
          <w:lang w:val="bs-Latn-BA"/>
        </w:rPr>
      </w:pPr>
    </w:p>
    <w:p w:rsidR="00A131AD" w:rsidRPr="00081B73" w:rsidRDefault="00A131AD" w:rsidP="000C0138">
      <w:pPr>
        <w:spacing w:line="276" w:lineRule="auto"/>
        <w:ind w:left="2880" w:firstLine="720"/>
        <w:rPr>
          <w:rFonts w:ascii="Times New Roman" w:hAnsi="Times New Roman"/>
          <w:sz w:val="20"/>
          <w:szCs w:val="20"/>
          <w:lang w:val="bs-Latn-BA"/>
        </w:rPr>
      </w:pPr>
    </w:p>
    <w:p w:rsidR="00A131AD" w:rsidRPr="00081B73" w:rsidRDefault="00A131AD" w:rsidP="000C0138">
      <w:pPr>
        <w:spacing w:line="276" w:lineRule="auto"/>
        <w:ind w:left="2880" w:firstLine="720"/>
        <w:rPr>
          <w:rFonts w:ascii="Times New Roman" w:hAnsi="Times New Roman"/>
          <w:sz w:val="20"/>
          <w:szCs w:val="20"/>
          <w:lang w:val="bs-Latn-BA"/>
        </w:rPr>
      </w:pPr>
    </w:p>
    <w:p w:rsidR="00A131AD" w:rsidRPr="00081B73" w:rsidRDefault="00A131AD" w:rsidP="00677033">
      <w:pPr>
        <w:spacing w:line="276" w:lineRule="auto"/>
        <w:rPr>
          <w:rFonts w:ascii="Times New Roman" w:hAnsi="Times New Roman"/>
          <w:sz w:val="20"/>
          <w:szCs w:val="20"/>
          <w:lang w:val="bs-Latn-BA"/>
        </w:rPr>
      </w:pPr>
      <w:r w:rsidRPr="00081B73">
        <w:rPr>
          <w:rFonts w:ascii="Times New Roman" w:hAnsi="Times New Roman"/>
          <w:sz w:val="20"/>
          <w:szCs w:val="20"/>
          <w:lang w:val="bs-Latn-BA"/>
        </w:rPr>
        <w:t>*procjena broja stanovnika na dan 30.06.2015. godine</w:t>
      </w:r>
    </w:p>
    <w:p w:rsidR="00677033" w:rsidRPr="00081B73" w:rsidRDefault="00677033" w:rsidP="000C0138">
      <w:pPr>
        <w:spacing w:line="276" w:lineRule="auto"/>
        <w:rPr>
          <w:rFonts w:ascii="Times New Roman" w:hAnsi="Times New Roman"/>
          <w:sz w:val="20"/>
          <w:szCs w:val="20"/>
          <w:lang w:val="bs-Latn-BA"/>
        </w:rPr>
      </w:pPr>
    </w:p>
    <w:p w:rsidR="00677033" w:rsidRPr="00081B73" w:rsidRDefault="00677033" w:rsidP="000C0138">
      <w:pPr>
        <w:spacing w:line="276" w:lineRule="auto"/>
        <w:rPr>
          <w:rFonts w:ascii="Times New Roman" w:hAnsi="Times New Roman"/>
          <w:sz w:val="20"/>
          <w:szCs w:val="20"/>
          <w:lang w:val="bs-Latn-BA"/>
        </w:rPr>
      </w:pPr>
    </w:p>
    <w:p w:rsidR="00677033" w:rsidRPr="00081B73" w:rsidRDefault="00677033" w:rsidP="000C0138">
      <w:pPr>
        <w:spacing w:line="276" w:lineRule="auto"/>
        <w:rPr>
          <w:rFonts w:ascii="Times New Roman" w:hAnsi="Times New Roman"/>
          <w:sz w:val="20"/>
          <w:szCs w:val="20"/>
          <w:lang w:val="bs-Latn-BA"/>
        </w:rPr>
      </w:pPr>
    </w:p>
    <w:p w:rsidR="00677033" w:rsidRPr="00081B73" w:rsidRDefault="00677033" w:rsidP="000C0138">
      <w:pPr>
        <w:spacing w:line="276" w:lineRule="auto"/>
        <w:rPr>
          <w:rFonts w:ascii="Times New Roman" w:hAnsi="Times New Roman"/>
          <w:sz w:val="20"/>
          <w:szCs w:val="20"/>
          <w:lang w:val="bs-Latn-BA"/>
        </w:rPr>
      </w:pPr>
    </w:p>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Tabl</w:t>
      </w:r>
      <w:r w:rsidR="00624C80">
        <w:rPr>
          <w:rFonts w:ascii="Times New Roman" w:hAnsi="Times New Roman"/>
          <w:sz w:val="20"/>
          <w:szCs w:val="20"/>
          <w:lang w:val="bs-Latn-BA"/>
        </w:rPr>
        <w:t>ic</w:t>
      </w:r>
      <w:r w:rsidRPr="00081B73">
        <w:rPr>
          <w:rFonts w:ascii="Times New Roman" w:hAnsi="Times New Roman"/>
          <w:sz w:val="20"/>
          <w:szCs w:val="20"/>
          <w:lang w:val="bs-Latn-BA"/>
        </w:rPr>
        <w:t>a 2: Preliminarni pokazatelji vitalne statistike za 2010 i  2015. godinu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648"/>
        <w:gridCol w:w="2718"/>
        <w:gridCol w:w="2490"/>
      </w:tblGrid>
      <w:tr w:rsidR="00A131AD" w:rsidRPr="00081B73" w:rsidTr="001911A6">
        <w:tc>
          <w:tcPr>
            <w:tcW w:w="3648" w:type="dxa"/>
            <w:shd w:val="clear" w:color="auto" w:fill="FFFF00"/>
          </w:tcPr>
          <w:p w:rsidR="00A131AD" w:rsidRPr="00081B73" w:rsidRDefault="00A131AD" w:rsidP="000C0138">
            <w:pPr>
              <w:spacing w:line="276" w:lineRule="auto"/>
              <w:jc w:val="center"/>
              <w:rPr>
                <w:rFonts w:ascii="Times New Roman" w:hAnsi="Times New Roman"/>
                <w:sz w:val="20"/>
                <w:szCs w:val="20"/>
                <w:lang w:val="bs-Latn-BA"/>
              </w:rPr>
            </w:pPr>
          </w:p>
        </w:tc>
        <w:tc>
          <w:tcPr>
            <w:tcW w:w="2718"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2010.</w:t>
            </w:r>
          </w:p>
        </w:tc>
        <w:tc>
          <w:tcPr>
            <w:tcW w:w="2490"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2015.</w:t>
            </w:r>
          </w:p>
        </w:tc>
      </w:tr>
      <w:tr w:rsidR="00A131AD" w:rsidRPr="00081B73" w:rsidTr="001911A6">
        <w:tc>
          <w:tcPr>
            <w:tcW w:w="364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Natalitet</w:t>
            </w:r>
          </w:p>
        </w:tc>
        <w:tc>
          <w:tcPr>
            <w:tcW w:w="2718" w:type="dxa"/>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8,4</w:t>
            </w:r>
          </w:p>
        </w:tc>
        <w:tc>
          <w:tcPr>
            <w:tcW w:w="2490" w:type="dxa"/>
          </w:tcPr>
          <w:p w:rsidR="00A131AD" w:rsidRPr="00081B73" w:rsidRDefault="00A131AD" w:rsidP="000C0138">
            <w:pPr>
              <w:spacing w:line="276" w:lineRule="auto"/>
              <w:ind w:right="453"/>
              <w:jc w:val="center"/>
              <w:rPr>
                <w:rFonts w:ascii="Times New Roman" w:hAnsi="Times New Roman"/>
                <w:sz w:val="20"/>
                <w:szCs w:val="20"/>
                <w:lang w:val="bs-Latn-BA"/>
              </w:rPr>
            </w:pPr>
            <w:r w:rsidRPr="00081B73">
              <w:rPr>
                <w:rFonts w:ascii="Times New Roman" w:hAnsi="Times New Roman"/>
                <w:sz w:val="20"/>
                <w:szCs w:val="20"/>
                <w:lang w:val="bs-Latn-BA"/>
              </w:rPr>
              <w:t>7,9</w:t>
            </w:r>
          </w:p>
        </w:tc>
      </w:tr>
      <w:tr w:rsidR="00A131AD" w:rsidRPr="00081B73" w:rsidTr="001911A6">
        <w:tc>
          <w:tcPr>
            <w:tcW w:w="364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Mortalitet</w:t>
            </w:r>
          </w:p>
        </w:tc>
        <w:tc>
          <w:tcPr>
            <w:tcW w:w="2718" w:type="dxa"/>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9,7</w:t>
            </w:r>
          </w:p>
        </w:tc>
        <w:tc>
          <w:tcPr>
            <w:tcW w:w="2490" w:type="dxa"/>
          </w:tcPr>
          <w:p w:rsidR="00A131AD" w:rsidRPr="00081B73" w:rsidRDefault="00A131AD" w:rsidP="000C0138">
            <w:pPr>
              <w:spacing w:line="276" w:lineRule="auto"/>
              <w:ind w:right="453"/>
              <w:jc w:val="center"/>
              <w:rPr>
                <w:rFonts w:ascii="Times New Roman" w:hAnsi="Times New Roman"/>
                <w:sz w:val="20"/>
                <w:szCs w:val="20"/>
                <w:lang w:val="bs-Latn-BA"/>
              </w:rPr>
            </w:pPr>
            <w:r w:rsidRPr="00081B73">
              <w:rPr>
                <w:rFonts w:ascii="Times New Roman" w:hAnsi="Times New Roman"/>
                <w:sz w:val="20"/>
                <w:szCs w:val="20"/>
                <w:lang w:val="bs-Latn-BA"/>
              </w:rPr>
              <w:t>10,6</w:t>
            </w:r>
          </w:p>
        </w:tc>
      </w:tr>
      <w:tr w:rsidR="00A131AD" w:rsidRPr="00081B73" w:rsidTr="001911A6">
        <w:tc>
          <w:tcPr>
            <w:tcW w:w="364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Smrtnost dojenčadi</w:t>
            </w:r>
          </w:p>
        </w:tc>
        <w:tc>
          <w:tcPr>
            <w:tcW w:w="2718" w:type="dxa"/>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10,0</w:t>
            </w:r>
          </w:p>
        </w:tc>
        <w:tc>
          <w:tcPr>
            <w:tcW w:w="2490" w:type="dxa"/>
          </w:tcPr>
          <w:p w:rsidR="00A131AD" w:rsidRPr="00081B73" w:rsidRDefault="00A131AD" w:rsidP="000C0138">
            <w:pPr>
              <w:spacing w:line="276" w:lineRule="auto"/>
              <w:ind w:right="453"/>
              <w:jc w:val="center"/>
              <w:rPr>
                <w:rFonts w:ascii="Times New Roman" w:hAnsi="Times New Roman"/>
                <w:sz w:val="20"/>
                <w:szCs w:val="20"/>
                <w:lang w:val="bs-Latn-BA"/>
              </w:rPr>
            </w:pPr>
            <w:r w:rsidRPr="00081B73">
              <w:rPr>
                <w:rFonts w:ascii="Times New Roman" w:hAnsi="Times New Roman"/>
                <w:sz w:val="20"/>
                <w:szCs w:val="20"/>
                <w:lang w:val="bs-Latn-BA"/>
              </w:rPr>
              <w:t>14,1</w:t>
            </w:r>
          </w:p>
        </w:tc>
      </w:tr>
      <w:tr w:rsidR="00A131AD" w:rsidRPr="00081B73" w:rsidTr="001911A6">
        <w:tc>
          <w:tcPr>
            <w:tcW w:w="3648" w:type="dxa"/>
          </w:tcPr>
          <w:p w:rsidR="00A131AD" w:rsidRPr="00081B73" w:rsidRDefault="00A131AD" w:rsidP="00624C80">
            <w:pPr>
              <w:spacing w:line="276" w:lineRule="auto"/>
              <w:rPr>
                <w:rFonts w:ascii="Times New Roman" w:hAnsi="Times New Roman"/>
                <w:sz w:val="20"/>
                <w:szCs w:val="20"/>
                <w:lang w:val="bs-Latn-BA"/>
              </w:rPr>
            </w:pPr>
            <w:r w:rsidRPr="00081B73">
              <w:rPr>
                <w:rFonts w:ascii="Times New Roman" w:hAnsi="Times New Roman"/>
                <w:sz w:val="20"/>
                <w:szCs w:val="20"/>
                <w:lang w:val="bs-Latn-BA"/>
              </w:rPr>
              <w:t>Prirodni prira</w:t>
            </w:r>
            <w:r w:rsidR="00624C80">
              <w:rPr>
                <w:rFonts w:ascii="Times New Roman" w:hAnsi="Times New Roman"/>
                <w:sz w:val="20"/>
                <w:szCs w:val="20"/>
                <w:lang w:val="bs-Latn-BA"/>
              </w:rPr>
              <w:t>st</w:t>
            </w:r>
          </w:p>
        </w:tc>
        <w:tc>
          <w:tcPr>
            <w:tcW w:w="2718" w:type="dxa"/>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-1,3</w:t>
            </w:r>
          </w:p>
        </w:tc>
        <w:tc>
          <w:tcPr>
            <w:tcW w:w="2490" w:type="dxa"/>
          </w:tcPr>
          <w:p w:rsidR="00A131AD" w:rsidRPr="00081B73" w:rsidRDefault="00A131AD" w:rsidP="000C0138">
            <w:pPr>
              <w:spacing w:line="276" w:lineRule="auto"/>
              <w:ind w:right="453"/>
              <w:jc w:val="center"/>
              <w:rPr>
                <w:rFonts w:ascii="Times New Roman" w:hAnsi="Times New Roman"/>
                <w:sz w:val="20"/>
                <w:szCs w:val="20"/>
                <w:lang w:val="bs-Latn-BA"/>
              </w:rPr>
            </w:pPr>
            <w:r w:rsidRPr="00081B73">
              <w:rPr>
                <w:rFonts w:ascii="Times New Roman" w:hAnsi="Times New Roman"/>
                <w:sz w:val="20"/>
                <w:szCs w:val="20"/>
                <w:lang w:val="bs-Latn-BA"/>
              </w:rPr>
              <w:t>-2,7</w:t>
            </w:r>
          </w:p>
        </w:tc>
      </w:tr>
    </w:tbl>
    <w:p w:rsidR="00A131AD" w:rsidRPr="00081B73" w:rsidRDefault="00A131AD" w:rsidP="000C0138">
      <w:pPr>
        <w:spacing w:line="276" w:lineRule="auto"/>
        <w:rPr>
          <w:rFonts w:ascii="Times New Roman" w:hAnsi="Times New Roman"/>
          <w:sz w:val="20"/>
          <w:szCs w:val="20"/>
          <w:lang w:val="bs-Latn-BA"/>
        </w:rPr>
      </w:pPr>
    </w:p>
    <w:p w:rsidR="00A131AD" w:rsidRPr="00081B73" w:rsidRDefault="00A131AD" w:rsidP="00677033">
      <w:pPr>
        <w:pStyle w:val="refererere"/>
        <w:rPr>
          <w:lang w:val="bs-Latn-BA"/>
        </w:rPr>
      </w:pPr>
      <w:r w:rsidRPr="00081B73">
        <w:rPr>
          <w:lang w:val="bs-Latn-BA"/>
        </w:rPr>
        <w:t>Tabl</w:t>
      </w:r>
      <w:r w:rsidR="00624C80">
        <w:rPr>
          <w:lang w:val="bs-Latn-BA"/>
        </w:rPr>
        <w:t>ic</w:t>
      </w:r>
      <w:r w:rsidRPr="00081B73">
        <w:rPr>
          <w:lang w:val="bs-Latn-BA"/>
        </w:rPr>
        <w:t>a 3: Vodeći uzroci smrti za 2010</w:t>
      </w:r>
      <w:r w:rsidR="00624C80">
        <w:rPr>
          <w:lang w:val="bs-Latn-BA"/>
        </w:rPr>
        <w:t>.</w:t>
      </w:r>
      <w:r w:rsidRPr="00081B73">
        <w:rPr>
          <w:lang w:val="bs-Latn-BA"/>
        </w:rPr>
        <w:t xml:space="preserve"> i 2015. godinu **</w:t>
      </w: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88"/>
        <w:gridCol w:w="2626"/>
        <w:gridCol w:w="850"/>
        <w:gridCol w:w="851"/>
        <w:gridCol w:w="709"/>
        <w:gridCol w:w="2239"/>
        <w:gridCol w:w="709"/>
        <w:gridCol w:w="816"/>
      </w:tblGrid>
      <w:tr w:rsidR="00A131AD" w:rsidRPr="00081B73" w:rsidTr="00677033">
        <w:trPr>
          <w:trHeight w:val="405"/>
        </w:trPr>
        <w:tc>
          <w:tcPr>
            <w:tcW w:w="4815" w:type="dxa"/>
            <w:gridSpan w:val="4"/>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2010.</w:t>
            </w:r>
          </w:p>
        </w:tc>
        <w:tc>
          <w:tcPr>
            <w:tcW w:w="4473" w:type="dxa"/>
            <w:gridSpan w:val="4"/>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2015.</w:t>
            </w:r>
          </w:p>
        </w:tc>
      </w:tr>
      <w:tr w:rsidR="00A131AD" w:rsidRPr="00081B73" w:rsidTr="00677033">
        <w:trPr>
          <w:trHeight w:val="345"/>
        </w:trPr>
        <w:tc>
          <w:tcPr>
            <w:tcW w:w="488" w:type="dxa"/>
            <w:shd w:val="clear" w:color="auto" w:fill="FFFF00"/>
            <w:vAlign w:val="center"/>
          </w:tcPr>
          <w:p w:rsidR="00A131AD" w:rsidRPr="00081B73" w:rsidRDefault="00A131AD" w:rsidP="000C0138">
            <w:pPr>
              <w:spacing w:line="276" w:lineRule="auto"/>
              <w:ind w:right="-108"/>
              <w:jc w:val="center"/>
              <w:rPr>
                <w:rFonts w:ascii="Times New Roman" w:hAnsi="Times New Roman"/>
                <w:bCs/>
                <w:sz w:val="20"/>
                <w:szCs w:val="20"/>
                <w:lang w:val="bs-Latn-BA"/>
              </w:rPr>
            </w:pPr>
            <w:r w:rsidRPr="00081B73">
              <w:rPr>
                <w:rFonts w:ascii="Times New Roman" w:hAnsi="Times New Roman"/>
                <w:bCs/>
                <w:sz w:val="20"/>
                <w:szCs w:val="20"/>
                <w:lang w:val="bs-Latn-BA"/>
              </w:rPr>
              <w:t>Rang</w:t>
            </w:r>
          </w:p>
        </w:tc>
        <w:tc>
          <w:tcPr>
            <w:tcW w:w="2626"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Oboljenje</w:t>
            </w:r>
          </w:p>
        </w:tc>
        <w:tc>
          <w:tcPr>
            <w:tcW w:w="850"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Broj umrlih</w:t>
            </w:r>
          </w:p>
        </w:tc>
        <w:tc>
          <w:tcPr>
            <w:tcW w:w="851"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Indeks strukture (%)</w:t>
            </w:r>
          </w:p>
        </w:tc>
        <w:tc>
          <w:tcPr>
            <w:tcW w:w="709" w:type="dxa"/>
            <w:shd w:val="clear" w:color="auto" w:fill="FFFF00"/>
            <w:vAlign w:val="center"/>
          </w:tcPr>
          <w:p w:rsidR="00A131AD" w:rsidRPr="00081B73" w:rsidRDefault="00A131AD" w:rsidP="000C0138">
            <w:pPr>
              <w:spacing w:line="276" w:lineRule="auto"/>
              <w:ind w:right="-108"/>
              <w:rPr>
                <w:rFonts w:ascii="Times New Roman" w:hAnsi="Times New Roman"/>
                <w:bCs/>
                <w:sz w:val="20"/>
                <w:szCs w:val="20"/>
                <w:lang w:val="bs-Latn-BA"/>
              </w:rPr>
            </w:pPr>
            <w:r w:rsidRPr="00081B73">
              <w:rPr>
                <w:rFonts w:ascii="Times New Roman" w:hAnsi="Times New Roman"/>
                <w:bCs/>
                <w:sz w:val="20"/>
                <w:szCs w:val="20"/>
                <w:lang w:val="bs-Latn-BA"/>
              </w:rPr>
              <w:t>Rang</w:t>
            </w:r>
          </w:p>
        </w:tc>
        <w:tc>
          <w:tcPr>
            <w:tcW w:w="2239"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Oboljenje</w:t>
            </w:r>
          </w:p>
        </w:tc>
        <w:tc>
          <w:tcPr>
            <w:tcW w:w="709"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Broj umrlih</w:t>
            </w:r>
          </w:p>
        </w:tc>
        <w:tc>
          <w:tcPr>
            <w:tcW w:w="816"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Indeks strukture (%)</w:t>
            </w:r>
          </w:p>
        </w:tc>
      </w:tr>
      <w:tr w:rsidR="00A131AD" w:rsidRPr="00081B73" w:rsidTr="00677033">
        <w:tc>
          <w:tcPr>
            <w:tcW w:w="488"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1</w:t>
            </w:r>
          </w:p>
        </w:tc>
        <w:tc>
          <w:tcPr>
            <w:tcW w:w="2626" w:type="dxa"/>
          </w:tcPr>
          <w:p w:rsidR="00A131AD" w:rsidRPr="00081B73" w:rsidRDefault="00A131AD" w:rsidP="000C0138">
            <w:pPr>
              <w:spacing w:line="276" w:lineRule="auto"/>
              <w:jc w:val="left"/>
              <w:rPr>
                <w:rFonts w:ascii="Times New Roman" w:hAnsi="Times New Roman"/>
                <w:sz w:val="20"/>
                <w:szCs w:val="20"/>
                <w:lang w:val="bs-Latn-BA"/>
              </w:rPr>
            </w:pPr>
            <w:r w:rsidRPr="00081B73">
              <w:rPr>
                <w:rFonts w:ascii="Times New Roman" w:hAnsi="Times New Roman"/>
                <w:sz w:val="20"/>
                <w:szCs w:val="20"/>
              </w:rPr>
              <w:t>Srčani zastoj   (I46)</w:t>
            </w:r>
          </w:p>
        </w:tc>
        <w:tc>
          <w:tcPr>
            <w:tcW w:w="85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387</w:t>
            </w:r>
          </w:p>
        </w:tc>
        <w:tc>
          <w:tcPr>
            <w:tcW w:w="851"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17,7</w:t>
            </w:r>
          </w:p>
        </w:tc>
        <w:tc>
          <w:tcPr>
            <w:tcW w:w="709"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1</w:t>
            </w:r>
          </w:p>
        </w:tc>
        <w:tc>
          <w:tcPr>
            <w:tcW w:w="2239"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Srčani zastoj (I46)</w:t>
            </w:r>
          </w:p>
        </w:tc>
        <w:tc>
          <w:tcPr>
            <w:tcW w:w="709"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627</w:t>
            </w:r>
          </w:p>
        </w:tc>
        <w:tc>
          <w:tcPr>
            <w:tcW w:w="816"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26,5</w:t>
            </w:r>
          </w:p>
        </w:tc>
      </w:tr>
      <w:tr w:rsidR="00A131AD" w:rsidRPr="00081B73" w:rsidTr="00677033">
        <w:tc>
          <w:tcPr>
            <w:tcW w:w="488"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2</w:t>
            </w:r>
          </w:p>
        </w:tc>
        <w:tc>
          <w:tcPr>
            <w:tcW w:w="2626"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Drugi bol. Određeni i neoz. Uzroci mortaliteta (R99)</w:t>
            </w:r>
          </w:p>
        </w:tc>
        <w:tc>
          <w:tcPr>
            <w:tcW w:w="85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212</w:t>
            </w:r>
          </w:p>
        </w:tc>
        <w:tc>
          <w:tcPr>
            <w:tcW w:w="851"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9,7</w:t>
            </w:r>
          </w:p>
        </w:tc>
        <w:tc>
          <w:tcPr>
            <w:tcW w:w="709"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2</w:t>
            </w:r>
          </w:p>
        </w:tc>
        <w:tc>
          <w:tcPr>
            <w:tcW w:w="2239"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Moždani udar (I63)</w:t>
            </w:r>
          </w:p>
        </w:tc>
        <w:tc>
          <w:tcPr>
            <w:tcW w:w="709"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160</w:t>
            </w:r>
          </w:p>
        </w:tc>
        <w:tc>
          <w:tcPr>
            <w:tcW w:w="816"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6,8</w:t>
            </w:r>
          </w:p>
        </w:tc>
      </w:tr>
      <w:tr w:rsidR="00A131AD" w:rsidRPr="00081B73" w:rsidTr="00677033">
        <w:tc>
          <w:tcPr>
            <w:tcW w:w="488"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3</w:t>
            </w:r>
          </w:p>
        </w:tc>
        <w:tc>
          <w:tcPr>
            <w:tcW w:w="2626"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Druga plućna ob. srca (I27)</w:t>
            </w:r>
          </w:p>
        </w:tc>
        <w:tc>
          <w:tcPr>
            <w:tcW w:w="85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207</w:t>
            </w:r>
          </w:p>
        </w:tc>
        <w:tc>
          <w:tcPr>
            <w:tcW w:w="851"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9,5</w:t>
            </w:r>
          </w:p>
        </w:tc>
        <w:tc>
          <w:tcPr>
            <w:tcW w:w="709"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3</w:t>
            </w:r>
          </w:p>
        </w:tc>
        <w:tc>
          <w:tcPr>
            <w:tcW w:w="2239"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Akutni infrakt miokarda (I21)</w:t>
            </w:r>
          </w:p>
        </w:tc>
        <w:tc>
          <w:tcPr>
            <w:tcW w:w="709"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143</w:t>
            </w:r>
          </w:p>
        </w:tc>
        <w:tc>
          <w:tcPr>
            <w:tcW w:w="816"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6,0</w:t>
            </w:r>
          </w:p>
        </w:tc>
      </w:tr>
      <w:tr w:rsidR="00A131AD" w:rsidRPr="00081B73" w:rsidTr="00677033">
        <w:tc>
          <w:tcPr>
            <w:tcW w:w="488"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4</w:t>
            </w:r>
          </w:p>
        </w:tc>
        <w:tc>
          <w:tcPr>
            <w:tcW w:w="2626"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Moždani udar (I63)</w:t>
            </w:r>
          </w:p>
        </w:tc>
        <w:tc>
          <w:tcPr>
            <w:tcW w:w="85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206</w:t>
            </w:r>
          </w:p>
        </w:tc>
        <w:tc>
          <w:tcPr>
            <w:tcW w:w="851"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9,4</w:t>
            </w:r>
          </w:p>
        </w:tc>
        <w:tc>
          <w:tcPr>
            <w:tcW w:w="709"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4</w:t>
            </w:r>
          </w:p>
        </w:tc>
        <w:tc>
          <w:tcPr>
            <w:tcW w:w="2239"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Maligne neoplazme bronha i pluća (C34)</w:t>
            </w:r>
          </w:p>
        </w:tc>
        <w:tc>
          <w:tcPr>
            <w:tcW w:w="709"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117</w:t>
            </w:r>
          </w:p>
        </w:tc>
        <w:tc>
          <w:tcPr>
            <w:tcW w:w="816"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4,9</w:t>
            </w:r>
          </w:p>
        </w:tc>
      </w:tr>
      <w:tr w:rsidR="00A131AD" w:rsidRPr="00081B73" w:rsidTr="00677033">
        <w:tc>
          <w:tcPr>
            <w:tcW w:w="488"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5</w:t>
            </w:r>
          </w:p>
        </w:tc>
        <w:tc>
          <w:tcPr>
            <w:tcW w:w="2626"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Akutni infarkt miokarda (I21)</w:t>
            </w:r>
          </w:p>
        </w:tc>
        <w:tc>
          <w:tcPr>
            <w:tcW w:w="85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131</w:t>
            </w:r>
          </w:p>
        </w:tc>
        <w:tc>
          <w:tcPr>
            <w:tcW w:w="851"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6,0</w:t>
            </w:r>
          </w:p>
        </w:tc>
        <w:tc>
          <w:tcPr>
            <w:tcW w:w="709"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5</w:t>
            </w:r>
          </w:p>
        </w:tc>
        <w:tc>
          <w:tcPr>
            <w:tcW w:w="2239"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Kardiomiopatija (I42)</w:t>
            </w:r>
          </w:p>
        </w:tc>
        <w:tc>
          <w:tcPr>
            <w:tcW w:w="709"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86</w:t>
            </w:r>
          </w:p>
        </w:tc>
        <w:tc>
          <w:tcPr>
            <w:tcW w:w="816"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3,6</w:t>
            </w:r>
          </w:p>
        </w:tc>
      </w:tr>
      <w:tr w:rsidR="00A131AD" w:rsidRPr="00081B73" w:rsidTr="00677033">
        <w:tc>
          <w:tcPr>
            <w:tcW w:w="488" w:type="dxa"/>
          </w:tcPr>
          <w:p w:rsidR="00A131AD" w:rsidRPr="00081B73" w:rsidRDefault="00A131AD" w:rsidP="000C0138">
            <w:pPr>
              <w:spacing w:line="276" w:lineRule="auto"/>
              <w:ind w:right="-108"/>
              <w:jc w:val="center"/>
              <w:rPr>
                <w:rFonts w:ascii="Times New Roman" w:hAnsi="Times New Roman"/>
                <w:sz w:val="20"/>
                <w:szCs w:val="20"/>
                <w:lang w:val="bs-Latn-BA"/>
              </w:rPr>
            </w:pPr>
          </w:p>
        </w:tc>
        <w:tc>
          <w:tcPr>
            <w:tcW w:w="2626"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Ostali uzroci smrti</w:t>
            </w:r>
          </w:p>
        </w:tc>
        <w:tc>
          <w:tcPr>
            <w:tcW w:w="85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1047</w:t>
            </w:r>
          </w:p>
        </w:tc>
        <w:tc>
          <w:tcPr>
            <w:tcW w:w="851"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47,8</w:t>
            </w:r>
          </w:p>
        </w:tc>
        <w:tc>
          <w:tcPr>
            <w:tcW w:w="709" w:type="dxa"/>
          </w:tcPr>
          <w:p w:rsidR="00A131AD" w:rsidRPr="00081B73" w:rsidRDefault="00A131AD" w:rsidP="000C0138">
            <w:pPr>
              <w:spacing w:line="276" w:lineRule="auto"/>
              <w:ind w:right="-108"/>
              <w:jc w:val="center"/>
              <w:rPr>
                <w:rFonts w:ascii="Times New Roman" w:hAnsi="Times New Roman"/>
                <w:sz w:val="20"/>
                <w:szCs w:val="20"/>
                <w:lang w:val="bs-Latn-BA"/>
              </w:rPr>
            </w:pPr>
          </w:p>
        </w:tc>
        <w:tc>
          <w:tcPr>
            <w:tcW w:w="2239"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Ostali uzroci smrti</w:t>
            </w:r>
          </w:p>
        </w:tc>
        <w:tc>
          <w:tcPr>
            <w:tcW w:w="709"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1235</w:t>
            </w:r>
          </w:p>
        </w:tc>
        <w:tc>
          <w:tcPr>
            <w:tcW w:w="816"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52,2</w:t>
            </w:r>
          </w:p>
        </w:tc>
      </w:tr>
      <w:tr w:rsidR="00A131AD" w:rsidRPr="00081B73" w:rsidTr="00677033">
        <w:tc>
          <w:tcPr>
            <w:tcW w:w="488" w:type="dxa"/>
          </w:tcPr>
          <w:p w:rsidR="00A131AD" w:rsidRPr="00081B73" w:rsidRDefault="00A131AD" w:rsidP="000C0138">
            <w:pPr>
              <w:spacing w:line="276" w:lineRule="auto"/>
              <w:ind w:right="-108"/>
              <w:jc w:val="center"/>
              <w:rPr>
                <w:rFonts w:ascii="Times New Roman" w:hAnsi="Times New Roman"/>
                <w:sz w:val="20"/>
                <w:szCs w:val="20"/>
                <w:lang w:val="bs-Latn-BA"/>
              </w:rPr>
            </w:pPr>
          </w:p>
        </w:tc>
        <w:tc>
          <w:tcPr>
            <w:tcW w:w="2626"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Ukupno umrlih</w:t>
            </w:r>
          </w:p>
        </w:tc>
        <w:tc>
          <w:tcPr>
            <w:tcW w:w="85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2190</w:t>
            </w:r>
          </w:p>
        </w:tc>
        <w:tc>
          <w:tcPr>
            <w:tcW w:w="851"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100%</w:t>
            </w:r>
          </w:p>
        </w:tc>
        <w:tc>
          <w:tcPr>
            <w:tcW w:w="709" w:type="dxa"/>
          </w:tcPr>
          <w:p w:rsidR="00A131AD" w:rsidRPr="00081B73" w:rsidRDefault="00A131AD" w:rsidP="000C0138">
            <w:pPr>
              <w:spacing w:line="276" w:lineRule="auto"/>
              <w:ind w:right="-108"/>
              <w:jc w:val="center"/>
              <w:rPr>
                <w:rFonts w:ascii="Times New Roman" w:hAnsi="Times New Roman"/>
                <w:sz w:val="20"/>
                <w:szCs w:val="20"/>
                <w:lang w:val="bs-Latn-BA"/>
              </w:rPr>
            </w:pPr>
          </w:p>
        </w:tc>
        <w:tc>
          <w:tcPr>
            <w:tcW w:w="2239"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Ukupno umrlih</w:t>
            </w:r>
          </w:p>
        </w:tc>
        <w:tc>
          <w:tcPr>
            <w:tcW w:w="709"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2368</w:t>
            </w:r>
          </w:p>
        </w:tc>
        <w:tc>
          <w:tcPr>
            <w:tcW w:w="816"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100%</w:t>
            </w:r>
          </w:p>
        </w:tc>
      </w:tr>
    </w:tbl>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 Poda</w:t>
      </w:r>
      <w:r w:rsidR="00606974">
        <w:rPr>
          <w:rFonts w:ascii="Times New Roman" w:hAnsi="Times New Roman"/>
          <w:sz w:val="20"/>
          <w:szCs w:val="20"/>
          <w:lang w:val="bs-Latn-BA"/>
        </w:rPr>
        <w:t>t</w:t>
      </w:r>
      <w:r w:rsidRPr="00081B73">
        <w:rPr>
          <w:rFonts w:ascii="Times New Roman" w:hAnsi="Times New Roman"/>
          <w:sz w:val="20"/>
          <w:szCs w:val="20"/>
          <w:lang w:val="bs-Latn-BA"/>
        </w:rPr>
        <w:t>ci Federalnog zavoda za statistiku-obrada uzroka smrti FBiH 2015.</w:t>
      </w:r>
    </w:p>
    <w:p w:rsidR="00081B73" w:rsidRDefault="00081B73">
      <w:pPr>
        <w:spacing w:after="160" w:line="259" w:lineRule="auto"/>
        <w:jc w:val="left"/>
        <w:rPr>
          <w:rFonts w:ascii="Times New Roman" w:hAnsi="Times New Roman"/>
          <w:sz w:val="20"/>
          <w:szCs w:val="20"/>
          <w:lang w:val="bs-Latn-BA"/>
        </w:rPr>
      </w:pPr>
      <w:r>
        <w:rPr>
          <w:lang w:val="bs-Latn-BA"/>
        </w:rPr>
        <w:br w:type="page"/>
      </w:r>
    </w:p>
    <w:p w:rsidR="00A131AD" w:rsidRPr="00081B73" w:rsidRDefault="00A131AD" w:rsidP="00677033">
      <w:pPr>
        <w:pStyle w:val="refererere"/>
        <w:rPr>
          <w:lang w:val="bs-Latn-BA"/>
        </w:rPr>
      </w:pPr>
      <w:r w:rsidRPr="00081B73">
        <w:rPr>
          <w:lang w:val="bs-Latn-BA"/>
        </w:rPr>
        <w:lastRenderedPageBreak/>
        <w:t>Tabl</w:t>
      </w:r>
      <w:r w:rsidR="00606974">
        <w:rPr>
          <w:lang w:val="bs-Latn-BA"/>
        </w:rPr>
        <w:t>ic</w:t>
      </w:r>
      <w:r w:rsidRPr="00081B73">
        <w:rPr>
          <w:lang w:val="bs-Latn-BA"/>
        </w:rPr>
        <w:t>a 4: Vodeća zarazna oboljenja za 2010 i  2015. godinu</w:t>
      </w:r>
    </w:p>
    <w:tbl>
      <w:tblPr>
        <w:tblW w:w="92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8"/>
        <w:gridCol w:w="1937"/>
        <w:gridCol w:w="1123"/>
        <w:gridCol w:w="1015"/>
        <w:gridCol w:w="540"/>
        <w:gridCol w:w="2037"/>
        <w:gridCol w:w="1023"/>
        <w:gridCol w:w="1129"/>
      </w:tblGrid>
      <w:tr w:rsidR="00A131AD" w:rsidRPr="00081B73" w:rsidTr="001911A6">
        <w:trPr>
          <w:trHeight w:val="476"/>
          <w:jc w:val="center"/>
        </w:trPr>
        <w:tc>
          <w:tcPr>
            <w:tcW w:w="4543" w:type="dxa"/>
            <w:gridSpan w:val="4"/>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2010.</w:t>
            </w:r>
          </w:p>
        </w:tc>
        <w:tc>
          <w:tcPr>
            <w:tcW w:w="4729" w:type="dxa"/>
            <w:gridSpan w:val="4"/>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2015.</w:t>
            </w:r>
          </w:p>
        </w:tc>
      </w:tr>
      <w:tr w:rsidR="00A131AD" w:rsidRPr="00081B73" w:rsidTr="00677033">
        <w:trPr>
          <w:cantSplit/>
          <w:trHeight w:val="516"/>
          <w:jc w:val="center"/>
        </w:trPr>
        <w:tc>
          <w:tcPr>
            <w:tcW w:w="468" w:type="dxa"/>
            <w:shd w:val="clear" w:color="auto" w:fill="FFFF00"/>
            <w:textDirection w:val="btLr"/>
          </w:tcPr>
          <w:p w:rsidR="00A131AD" w:rsidRPr="00081B73" w:rsidRDefault="00A131AD" w:rsidP="000C0138">
            <w:pPr>
              <w:autoSpaceDE w:val="0"/>
              <w:autoSpaceDN w:val="0"/>
              <w:adjustRightInd w:val="0"/>
              <w:spacing w:line="276" w:lineRule="auto"/>
              <w:ind w:left="113" w:right="113"/>
              <w:rPr>
                <w:rFonts w:ascii="Times New Roman" w:hAnsi="Times New Roman"/>
                <w:color w:val="000000"/>
                <w:sz w:val="20"/>
                <w:szCs w:val="20"/>
                <w:lang w:val="bs-Latn-BA"/>
              </w:rPr>
            </w:pPr>
            <w:r w:rsidRPr="00081B73">
              <w:rPr>
                <w:rFonts w:ascii="Times New Roman" w:hAnsi="Times New Roman"/>
                <w:color w:val="000000"/>
                <w:sz w:val="20"/>
                <w:szCs w:val="20"/>
                <w:lang w:val="bs-Latn-BA"/>
              </w:rPr>
              <w:t>Rang</w:t>
            </w:r>
          </w:p>
        </w:tc>
        <w:tc>
          <w:tcPr>
            <w:tcW w:w="1937"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Bolest / stanje</w:t>
            </w:r>
          </w:p>
        </w:tc>
        <w:tc>
          <w:tcPr>
            <w:tcW w:w="1123"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sz w:val="20"/>
                <w:szCs w:val="20"/>
                <w:lang w:val="bs-Latn-BA"/>
              </w:rPr>
              <w:t>Broj registriranih</w:t>
            </w:r>
          </w:p>
        </w:tc>
        <w:tc>
          <w:tcPr>
            <w:tcW w:w="1015"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Mb/</w:t>
            </w:r>
          </w:p>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100000</w:t>
            </w:r>
          </w:p>
        </w:tc>
        <w:tc>
          <w:tcPr>
            <w:tcW w:w="540" w:type="dxa"/>
            <w:shd w:val="clear" w:color="auto" w:fill="FFFF00"/>
            <w:textDirection w:val="btLr"/>
          </w:tcPr>
          <w:p w:rsidR="00A131AD" w:rsidRPr="00081B73" w:rsidRDefault="00A131AD" w:rsidP="000C0138">
            <w:pPr>
              <w:autoSpaceDE w:val="0"/>
              <w:autoSpaceDN w:val="0"/>
              <w:adjustRightInd w:val="0"/>
              <w:spacing w:line="276" w:lineRule="auto"/>
              <w:ind w:left="113" w:right="113"/>
              <w:rPr>
                <w:rFonts w:ascii="Times New Roman" w:hAnsi="Times New Roman"/>
                <w:color w:val="000000"/>
                <w:sz w:val="20"/>
                <w:szCs w:val="20"/>
                <w:lang w:val="bs-Latn-BA"/>
              </w:rPr>
            </w:pPr>
            <w:r w:rsidRPr="00081B73">
              <w:rPr>
                <w:rFonts w:ascii="Times New Roman" w:hAnsi="Times New Roman"/>
                <w:color w:val="000000"/>
                <w:sz w:val="20"/>
                <w:szCs w:val="20"/>
                <w:lang w:val="bs-Latn-BA"/>
              </w:rPr>
              <w:t>Rang</w:t>
            </w:r>
          </w:p>
        </w:tc>
        <w:tc>
          <w:tcPr>
            <w:tcW w:w="2037"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Bolest / stanje</w:t>
            </w:r>
          </w:p>
        </w:tc>
        <w:tc>
          <w:tcPr>
            <w:tcW w:w="1023"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sz w:val="20"/>
                <w:szCs w:val="20"/>
                <w:lang w:val="bs-Latn-BA"/>
              </w:rPr>
              <w:t>Broj registriranih</w:t>
            </w:r>
          </w:p>
        </w:tc>
        <w:tc>
          <w:tcPr>
            <w:tcW w:w="1129"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Mb/</w:t>
            </w:r>
          </w:p>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100000</w:t>
            </w:r>
          </w:p>
        </w:tc>
      </w:tr>
      <w:tr w:rsidR="00A131AD" w:rsidRPr="00081B73" w:rsidTr="00677033">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1</w:t>
            </w:r>
          </w:p>
        </w:tc>
        <w:tc>
          <w:tcPr>
            <w:tcW w:w="1937"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Varicellae</w:t>
            </w:r>
          </w:p>
        </w:tc>
        <w:tc>
          <w:tcPr>
            <w:tcW w:w="1123"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374</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166,02</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w:t>
            </w:r>
          </w:p>
        </w:tc>
        <w:tc>
          <w:tcPr>
            <w:tcW w:w="2037"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Ili/gripa</w:t>
            </w:r>
          </w:p>
        </w:tc>
        <w:tc>
          <w:tcPr>
            <w:tcW w:w="1023"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1288</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576,36</w:t>
            </w:r>
          </w:p>
        </w:tc>
      </w:tr>
      <w:tr w:rsidR="00A131AD" w:rsidRPr="00081B73" w:rsidTr="00677033">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2</w:t>
            </w:r>
          </w:p>
        </w:tc>
        <w:tc>
          <w:tcPr>
            <w:tcW w:w="1937"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Enterocol.ac.</w:t>
            </w:r>
          </w:p>
        </w:tc>
        <w:tc>
          <w:tcPr>
            <w:tcW w:w="1123"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308</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136,73</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2</w:t>
            </w:r>
          </w:p>
        </w:tc>
        <w:tc>
          <w:tcPr>
            <w:tcW w:w="2037"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Varicellae</w:t>
            </w:r>
          </w:p>
        </w:tc>
        <w:tc>
          <w:tcPr>
            <w:tcW w:w="1023"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639</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285,94</w:t>
            </w:r>
          </w:p>
        </w:tc>
      </w:tr>
      <w:tr w:rsidR="00A131AD" w:rsidRPr="00081B73" w:rsidTr="00677033">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3</w:t>
            </w:r>
          </w:p>
        </w:tc>
        <w:tc>
          <w:tcPr>
            <w:tcW w:w="1937"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Scabies</w:t>
            </w:r>
          </w:p>
        </w:tc>
        <w:tc>
          <w:tcPr>
            <w:tcW w:w="1123"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124</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55,05</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3</w:t>
            </w:r>
          </w:p>
        </w:tc>
        <w:tc>
          <w:tcPr>
            <w:tcW w:w="2037"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sz w:val="20"/>
                <w:szCs w:val="20"/>
              </w:rPr>
              <w:t>Scabies</w:t>
            </w:r>
          </w:p>
        </w:tc>
        <w:tc>
          <w:tcPr>
            <w:tcW w:w="1023"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194</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86,81</w:t>
            </w:r>
          </w:p>
        </w:tc>
      </w:tr>
      <w:tr w:rsidR="00A131AD" w:rsidRPr="00081B73" w:rsidTr="00677033">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4</w:t>
            </w:r>
          </w:p>
        </w:tc>
        <w:tc>
          <w:tcPr>
            <w:tcW w:w="1937"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Rubeola</w:t>
            </w:r>
          </w:p>
        </w:tc>
        <w:tc>
          <w:tcPr>
            <w:tcW w:w="1123" w:type="dxa"/>
            <w:vAlign w:val="bottom"/>
          </w:tcPr>
          <w:p w:rsidR="00A131AD" w:rsidRPr="00081B73" w:rsidRDefault="00A131AD" w:rsidP="000C0138">
            <w:pPr>
              <w:widowControl w:val="0"/>
              <w:autoSpaceDE w:val="0"/>
              <w:autoSpaceDN w:val="0"/>
              <w:adjustRightInd w:val="0"/>
              <w:spacing w:line="276" w:lineRule="auto"/>
              <w:jc w:val="right"/>
              <w:rPr>
                <w:rFonts w:ascii="Times New Roman" w:hAnsi="Times New Roman"/>
                <w:sz w:val="20"/>
                <w:szCs w:val="20"/>
              </w:rPr>
            </w:pPr>
            <w:r w:rsidRPr="00081B73">
              <w:rPr>
                <w:rFonts w:ascii="Times New Roman" w:hAnsi="Times New Roman"/>
                <w:sz w:val="20"/>
                <w:szCs w:val="20"/>
              </w:rPr>
              <w:t>94</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41,73</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4</w:t>
            </w:r>
          </w:p>
        </w:tc>
        <w:tc>
          <w:tcPr>
            <w:tcW w:w="2037"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sz w:val="20"/>
                <w:szCs w:val="20"/>
              </w:rPr>
              <w:t>Enterocol.ac.</w:t>
            </w:r>
          </w:p>
        </w:tc>
        <w:tc>
          <w:tcPr>
            <w:tcW w:w="1023"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98</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43,85</w:t>
            </w:r>
          </w:p>
        </w:tc>
      </w:tr>
      <w:tr w:rsidR="00A131AD" w:rsidRPr="00081B73" w:rsidTr="00677033">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5</w:t>
            </w:r>
          </w:p>
        </w:tc>
        <w:tc>
          <w:tcPr>
            <w:tcW w:w="1937"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w w:val="99"/>
                <w:sz w:val="20"/>
                <w:szCs w:val="20"/>
              </w:rPr>
              <w:t>Herpes zoster</w:t>
            </w:r>
          </w:p>
        </w:tc>
        <w:tc>
          <w:tcPr>
            <w:tcW w:w="1123"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56</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24,86</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5</w:t>
            </w:r>
          </w:p>
        </w:tc>
        <w:tc>
          <w:tcPr>
            <w:tcW w:w="2037"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w w:val="99"/>
                <w:sz w:val="20"/>
                <w:szCs w:val="20"/>
              </w:rPr>
              <w:t>Herpes zoster</w:t>
            </w:r>
          </w:p>
        </w:tc>
        <w:tc>
          <w:tcPr>
            <w:tcW w:w="1023"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73</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32,67</w:t>
            </w:r>
          </w:p>
        </w:tc>
      </w:tr>
      <w:tr w:rsidR="00A131AD" w:rsidRPr="00081B73" w:rsidTr="00677033">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p>
        </w:tc>
        <w:tc>
          <w:tcPr>
            <w:tcW w:w="1937"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Ukupno 5 vodećih</w:t>
            </w:r>
          </w:p>
        </w:tc>
        <w:tc>
          <w:tcPr>
            <w:tcW w:w="1123"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956</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424,38</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p>
        </w:tc>
        <w:tc>
          <w:tcPr>
            <w:tcW w:w="2037"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Ukupno 5 vodećih</w:t>
            </w:r>
          </w:p>
        </w:tc>
        <w:tc>
          <w:tcPr>
            <w:tcW w:w="1023"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2292</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1025,6</w:t>
            </w:r>
          </w:p>
        </w:tc>
      </w:tr>
      <w:tr w:rsidR="00A131AD" w:rsidRPr="00081B73" w:rsidTr="00677033">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p>
        </w:tc>
        <w:tc>
          <w:tcPr>
            <w:tcW w:w="1937"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Sveukupno</w:t>
            </w:r>
          </w:p>
        </w:tc>
        <w:tc>
          <w:tcPr>
            <w:tcW w:w="1123"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1252</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555,78</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p>
        </w:tc>
        <w:tc>
          <w:tcPr>
            <w:tcW w:w="2037"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Ukupno prijavljeno</w:t>
            </w:r>
          </w:p>
        </w:tc>
        <w:tc>
          <w:tcPr>
            <w:tcW w:w="1023"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2561</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1146,01</w:t>
            </w:r>
          </w:p>
        </w:tc>
      </w:tr>
    </w:tbl>
    <w:p w:rsidR="00A131AD" w:rsidRPr="00081B73" w:rsidRDefault="00A131AD" w:rsidP="000C0138">
      <w:pPr>
        <w:spacing w:line="276" w:lineRule="auto"/>
        <w:rPr>
          <w:rFonts w:ascii="Times New Roman" w:hAnsi="Times New Roman"/>
          <w:sz w:val="20"/>
          <w:szCs w:val="20"/>
          <w:lang w:val="bs-Latn-BA"/>
        </w:rPr>
      </w:pPr>
    </w:p>
    <w:p w:rsidR="00A131AD" w:rsidRPr="00081B73" w:rsidRDefault="00A131AD" w:rsidP="00677033">
      <w:pPr>
        <w:pStyle w:val="refererere"/>
        <w:rPr>
          <w:lang w:val="bs-Latn-BA"/>
        </w:rPr>
      </w:pPr>
      <w:r w:rsidRPr="00081B73">
        <w:rPr>
          <w:lang w:val="bs-Latn-BA"/>
        </w:rPr>
        <w:t>Tabl</w:t>
      </w:r>
      <w:r w:rsidR="00606974">
        <w:rPr>
          <w:lang w:val="bs-Latn-BA"/>
        </w:rPr>
        <w:t>ic</w:t>
      </w:r>
      <w:r w:rsidRPr="00081B73">
        <w:rPr>
          <w:lang w:val="bs-Latn-BA"/>
        </w:rPr>
        <w:t>a 5: Prevalenc</w:t>
      </w:r>
      <w:r w:rsidR="00606974">
        <w:rPr>
          <w:lang w:val="bs-Latn-BA"/>
        </w:rPr>
        <w:t>ij</w:t>
      </w:r>
      <w:r w:rsidRPr="00081B73">
        <w:rPr>
          <w:lang w:val="bs-Latn-BA"/>
        </w:rPr>
        <w:t>a nezaraznih bolesti za 2010 i  2015. godinu</w:t>
      </w:r>
    </w:p>
    <w:tbl>
      <w:tblPr>
        <w:tblW w:w="93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08"/>
        <w:gridCol w:w="2569"/>
        <w:gridCol w:w="2160"/>
      </w:tblGrid>
      <w:tr w:rsidR="00A131AD" w:rsidRPr="00081B73" w:rsidTr="001911A6">
        <w:trPr>
          <w:cantSplit/>
          <w:trHeight w:val="405"/>
        </w:trPr>
        <w:tc>
          <w:tcPr>
            <w:tcW w:w="4608" w:type="dxa"/>
            <w:vMerge w:val="restart"/>
            <w:shd w:val="clear" w:color="auto" w:fill="FFFF00"/>
            <w:vAlign w:val="center"/>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Bolest</w:t>
            </w:r>
          </w:p>
        </w:tc>
        <w:tc>
          <w:tcPr>
            <w:tcW w:w="2569"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2010.</w:t>
            </w:r>
          </w:p>
        </w:tc>
        <w:tc>
          <w:tcPr>
            <w:tcW w:w="2160"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2015.</w:t>
            </w:r>
          </w:p>
        </w:tc>
      </w:tr>
      <w:tr w:rsidR="00A131AD" w:rsidRPr="00081B73" w:rsidTr="001911A6">
        <w:trPr>
          <w:cantSplit/>
          <w:trHeight w:val="345"/>
        </w:trPr>
        <w:tc>
          <w:tcPr>
            <w:tcW w:w="4608" w:type="dxa"/>
            <w:vMerge/>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p>
        </w:tc>
        <w:tc>
          <w:tcPr>
            <w:tcW w:w="2569"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Morbiditet</w:t>
            </w:r>
            <w:r w:rsidRPr="00081B73">
              <w:rPr>
                <w:rFonts w:ascii="Times New Roman" w:hAnsi="Times New Roman"/>
                <w:bCs/>
                <w:sz w:val="20"/>
                <w:szCs w:val="20"/>
                <w:lang w:val="bs-Latn-BA"/>
              </w:rPr>
              <w:br/>
              <w:t>/10.000</w:t>
            </w:r>
          </w:p>
        </w:tc>
        <w:tc>
          <w:tcPr>
            <w:tcW w:w="2160"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Morbiditet</w:t>
            </w:r>
            <w:r w:rsidRPr="00081B73">
              <w:rPr>
                <w:rFonts w:ascii="Times New Roman" w:hAnsi="Times New Roman"/>
                <w:bCs/>
                <w:sz w:val="20"/>
                <w:szCs w:val="20"/>
                <w:lang w:val="bs-Latn-BA"/>
              </w:rPr>
              <w:br/>
              <w:t>/10.000</w:t>
            </w:r>
          </w:p>
        </w:tc>
      </w:tr>
      <w:tr w:rsidR="00A131AD" w:rsidRPr="00081B73" w:rsidTr="001911A6">
        <w:tc>
          <w:tcPr>
            <w:tcW w:w="460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Kardiovaskularne (I00-I99)</w:t>
            </w:r>
          </w:p>
        </w:tc>
        <w:tc>
          <w:tcPr>
            <w:tcW w:w="2569"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945,9</w:t>
            </w:r>
          </w:p>
        </w:tc>
        <w:tc>
          <w:tcPr>
            <w:tcW w:w="216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2288,9</w:t>
            </w:r>
          </w:p>
        </w:tc>
      </w:tr>
      <w:tr w:rsidR="00A131AD" w:rsidRPr="00081B73" w:rsidTr="001911A6">
        <w:tc>
          <w:tcPr>
            <w:tcW w:w="460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Maligne neoplazme (C00-C97)</w:t>
            </w:r>
          </w:p>
        </w:tc>
        <w:tc>
          <w:tcPr>
            <w:tcW w:w="2569"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117,5</w:t>
            </w:r>
          </w:p>
        </w:tc>
        <w:tc>
          <w:tcPr>
            <w:tcW w:w="216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166,5</w:t>
            </w:r>
          </w:p>
        </w:tc>
      </w:tr>
      <w:tr w:rsidR="00A131AD" w:rsidRPr="00081B73" w:rsidTr="001911A6">
        <w:tc>
          <w:tcPr>
            <w:tcW w:w="460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Diabetes mellitus (E10-E14)</w:t>
            </w:r>
          </w:p>
        </w:tc>
        <w:tc>
          <w:tcPr>
            <w:tcW w:w="2569"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227,2</w:t>
            </w:r>
          </w:p>
        </w:tc>
        <w:tc>
          <w:tcPr>
            <w:tcW w:w="216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451,2</w:t>
            </w:r>
          </w:p>
        </w:tc>
      </w:tr>
      <w:tr w:rsidR="00A131AD" w:rsidRPr="00081B73" w:rsidTr="001911A6">
        <w:tc>
          <w:tcPr>
            <w:tcW w:w="4608" w:type="dxa"/>
          </w:tcPr>
          <w:p w:rsidR="00A131AD" w:rsidRPr="00081B73" w:rsidRDefault="00606974" w:rsidP="000C0138">
            <w:pPr>
              <w:spacing w:line="276" w:lineRule="auto"/>
              <w:rPr>
                <w:rFonts w:ascii="Times New Roman" w:hAnsi="Times New Roman"/>
                <w:sz w:val="20"/>
                <w:szCs w:val="20"/>
                <w:lang w:val="bs-Latn-BA"/>
              </w:rPr>
            </w:pPr>
            <w:r>
              <w:rPr>
                <w:rFonts w:ascii="Times New Roman" w:hAnsi="Times New Roman"/>
                <w:sz w:val="20"/>
                <w:szCs w:val="20"/>
                <w:lang w:val="bs-Latn-BA"/>
              </w:rPr>
              <w:t>K</w:t>
            </w:r>
            <w:r w:rsidR="00A131AD" w:rsidRPr="00081B73">
              <w:rPr>
                <w:rFonts w:ascii="Times New Roman" w:hAnsi="Times New Roman"/>
                <w:sz w:val="20"/>
                <w:szCs w:val="20"/>
                <w:lang w:val="bs-Latn-BA"/>
              </w:rPr>
              <w:t>ronične plućne opstruktivne (J40-J46)</w:t>
            </w:r>
          </w:p>
        </w:tc>
        <w:tc>
          <w:tcPr>
            <w:tcW w:w="2569"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170,9</w:t>
            </w:r>
          </w:p>
        </w:tc>
        <w:tc>
          <w:tcPr>
            <w:tcW w:w="2160" w:type="dxa"/>
          </w:tcPr>
          <w:p w:rsidR="00A131AD" w:rsidRPr="00081B73" w:rsidRDefault="00A131AD" w:rsidP="000C0138">
            <w:pPr>
              <w:tabs>
                <w:tab w:val="left" w:pos="390"/>
              </w:tabs>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285,6</w:t>
            </w:r>
          </w:p>
        </w:tc>
      </w:tr>
      <w:tr w:rsidR="00A131AD" w:rsidRPr="00081B73" w:rsidTr="001911A6">
        <w:tc>
          <w:tcPr>
            <w:tcW w:w="460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Mentalne (F00-F99)</w:t>
            </w:r>
          </w:p>
        </w:tc>
        <w:tc>
          <w:tcPr>
            <w:tcW w:w="2569"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296,4</w:t>
            </w:r>
          </w:p>
        </w:tc>
        <w:tc>
          <w:tcPr>
            <w:tcW w:w="216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481,1</w:t>
            </w:r>
          </w:p>
        </w:tc>
      </w:tr>
      <w:tr w:rsidR="00A131AD" w:rsidRPr="00081B73" w:rsidTr="001911A6">
        <w:tc>
          <w:tcPr>
            <w:tcW w:w="460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Koštano-mišićne (M00-M99)</w:t>
            </w:r>
          </w:p>
        </w:tc>
        <w:tc>
          <w:tcPr>
            <w:tcW w:w="2569"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502,2</w:t>
            </w:r>
          </w:p>
        </w:tc>
        <w:tc>
          <w:tcPr>
            <w:tcW w:w="216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946,6</w:t>
            </w:r>
          </w:p>
        </w:tc>
      </w:tr>
    </w:tbl>
    <w:p w:rsidR="00A131AD" w:rsidRPr="00081B73" w:rsidRDefault="00A131AD" w:rsidP="000C0138">
      <w:pPr>
        <w:spacing w:line="276" w:lineRule="auto"/>
        <w:rPr>
          <w:rFonts w:ascii="Times New Roman" w:hAnsi="Times New Roman"/>
          <w:sz w:val="20"/>
          <w:szCs w:val="20"/>
          <w:lang w:val="bs-Latn-BA"/>
        </w:rPr>
      </w:pPr>
    </w:p>
    <w:p w:rsidR="00A131AD" w:rsidRPr="00081B73" w:rsidRDefault="00A131AD" w:rsidP="00677033">
      <w:pPr>
        <w:pStyle w:val="refererere"/>
        <w:rPr>
          <w:lang w:val="bs-Latn-BA"/>
        </w:rPr>
      </w:pPr>
      <w:r w:rsidRPr="00081B73">
        <w:rPr>
          <w:lang w:val="bs-Latn-BA"/>
        </w:rPr>
        <w:t>Tabl</w:t>
      </w:r>
      <w:r w:rsidR="00606974">
        <w:rPr>
          <w:lang w:val="bs-Latn-BA"/>
        </w:rPr>
        <w:t>ic</w:t>
      </w:r>
      <w:r w:rsidRPr="00081B73">
        <w:rPr>
          <w:lang w:val="bs-Latn-BA"/>
        </w:rPr>
        <w:t>a 6: Okolinski zdravstveni indikatori</w:t>
      </w:r>
    </w:p>
    <w:tbl>
      <w:tblPr>
        <w:tblW w:w="93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94"/>
        <w:gridCol w:w="1909"/>
        <w:gridCol w:w="1597"/>
        <w:gridCol w:w="1392"/>
        <w:gridCol w:w="1392"/>
        <w:gridCol w:w="1548"/>
      </w:tblGrid>
      <w:tr w:rsidR="00A131AD" w:rsidRPr="00081B73" w:rsidTr="001911A6">
        <w:trPr>
          <w:cantSplit/>
        </w:trPr>
        <w:tc>
          <w:tcPr>
            <w:tcW w:w="1368" w:type="dxa"/>
            <w:vMerge w:val="restart"/>
            <w:shd w:val="clear" w:color="auto" w:fill="FFFF00"/>
            <w:vAlign w:val="center"/>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 xml:space="preserve">Hercegovačko-neretvanski kanton </w:t>
            </w:r>
          </w:p>
        </w:tc>
        <w:tc>
          <w:tcPr>
            <w:tcW w:w="1969" w:type="dxa"/>
            <w:shd w:val="clear" w:color="auto" w:fill="FFFF00"/>
            <w:vAlign w:val="center"/>
          </w:tcPr>
          <w:p w:rsidR="00A131AD" w:rsidRPr="00081B73" w:rsidRDefault="00A131AD" w:rsidP="00606974">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 xml:space="preserve">% stanovništva priključen na </w:t>
            </w:r>
            <w:r w:rsidR="00606974">
              <w:rPr>
                <w:rFonts w:ascii="Times New Roman" w:hAnsi="Times New Roman"/>
                <w:sz w:val="20"/>
                <w:szCs w:val="20"/>
                <w:lang w:val="bs-Latn-BA"/>
              </w:rPr>
              <w:t>središnji</w:t>
            </w:r>
            <w:r w:rsidRPr="00081B73">
              <w:rPr>
                <w:rFonts w:ascii="Times New Roman" w:hAnsi="Times New Roman"/>
                <w:sz w:val="20"/>
                <w:szCs w:val="20"/>
                <w:lang w:val="bs-Latn-BA"/>
              </w:rPr>
              <w:t xml:space="preserve"> s</w:t>
            </w:r>
            <w:r w:rsidR="00606974">
              <w:rPr>
                <w:rFonts w:ascii="Times New Roman" w:hAnsi="Times New Roman"/>
                <w:sz w:val="20"/>
                <w:szCs w:val="20"/>
                <w:lang w:val="bs-Latn-BA"/>
              </w:rPr>
              <w:t>ustav</w:t>
            </w:r>
            <w:r w:rsidRPr="00081B73">
              <w:rPr>
                <w:rFonts w:ascii="Times New Roman" w:hAnsi="Times New Roman"/>
                <w:sz w:val="20"/>
                <w:szCs w:val="20"/>
                <w:lang w:val="bs-Latn-BA"/>
              </w:rPr>
              <w:t xml:space="preserve"> vodo</w:t>
            </w:r>
            <w:r w:rsidR="00606974">
              <w:rPr>
                <w:rFonts w:ascii="Times New Roman" w:hAnsi="Times New Roman"/>
                <w:sz w:val="20"/>
                <w:szCs w:val="20"/>
                <w:lang w:val="bs-Latn-BA"/>
              </w:rPr>
              <w:t>opskrbe</w:t>
            </w:r>
          </w:p>
        </w:tc>
        <w:tc>
          <w:tcPr>
            <w:tcW w:w="1622" w:type="dxa"/>
            <w:shd w:val="clear" w:color="auto" w:fill="FFFF00"/>
            <w:vAlign w:val="center"/>
          </w:tcPr>
          <w:p w:rsidR="00A131AD" w:rsidRPr="00081B73" w:rsidRDefault="00A131AD" w:rsidP="00606974">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 stanovništva priključen na kanalizaci</w:t>
            </w:r>
            <w:r w:rsidR="00606974">
              <w:rPr>
                <w:rFonts w:ascii="Times New Roman" w:hAnsi="Times New Roman"/>
                <w:sz w:val="20"/>
                <w:szCs w:val="20"/>
                <w:lang w:val="bs-Latn-BA"/>
              </w:rPr>
              <w:t>jski</w:t>
            </w:r>
            <w:r w:rsidRPr="00081B73">
              <w:rPr>
                <w:rFonts w:ascii="Times New Roman" w:hAnsi="Times New Roman"/>
                <w:sz w:val="20"/>
                <w:szCs w:val="20"/>
                <w:lang w:val="bs-Latn-BA"/>
              </w:rPr>
              <w:t xml:space="preserve"> s</w:t>
            </w:r>
            <w:r w:rsidR="00606974">
              <w:rPr>
                <w:rFonts w:ascii="Times New Roman" w:hAnsi="Times New Roman"/>
                <w:sz w:val="20"/>
                <w:szCs w:val="20"/>
                <w:lang w:val="bs-Latn-BA"/>
              </w:rPr>
              <w:t>ustav</w:t>
            </w:r>
          </w:p>
        </w:tc>
        <w:tc>
          <w:tcPr>
            <w:tcW w:w="1401" w:type="dxa"/>
            <w:shd w:val="clear" w:color="auto" w:fill="FFFF00"/>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Mjerenje koncentracije SO</w:t>
            </w:r>
            <w:r w:rsidRPr="00081B73">
              <w:rPr>
                <w:rFonts w:ascii="Times New Roman" w:hAnsi="Times New Roman"/>
                <w:sz w:val="20"/>
                <w:szCs w:val="20"/>
                <w:vertAlign w:val="subscript"/>
                <w:lang w:val="bs-Latn-BA"/>
              </w:rPr>
              <w:t>2</w:t>
            </w:r>
            <w:r w:rsidRPr="00081B73">
              <w:rPr>
                <w:rFonts w:ascii="Times New Roman" w:hAnsi="Times New Roman"/>
                <w:sz w:val="20"/>
                <w:szCs w:val="20"/>
                <w:lang w:val="bs-Latn-BA"/>
              </w:rPr>
              <w:t xml:space="preserve"> u zraku</w:t>
            </w:r>
          </w:p>
        </w:tc>
        <w:tc>
          <w:tcPr>
            <w:tcW w:w="1401" w:type="dxa"/>
            <w:shd w:val="clear" w:color="auto" w:fill="FFFF00"/>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Mjerenje koncentracije NO</w:t>
            </w:r>
            <w:r w:rsidRPr="00081B73">
              <w:rPr>
                <w:rFonts w:ascii="Times New Roman" w:hAnsi="Times New Roman"/>
                <w:sz w:val="20"/>
                <w:szCs w:val="20"/>
                <w:vertAlign w:val="subscript"/>
                <w:lang w:val="bs-Latn-BA"/>
              </w:rPr>
              <w:t>2</w:t>
            </w:r>
            <w:r w:rsidRPr="00081B73">
              <w:rPr>
                <w:rFonts w:ascii="Times New Roman" w:hAnsi="Times New Roman"/>
                <w:sz w:val="20"/>
                <w:szCs w:val="20"/>
                <w:lang w:val="bs-Latn-BA"/>
              </w:rPr>
              <w:t xml:space="preserve"> u zraku</w:t>
            </w:r>
          </w:p>
        </w:tc>
        <w:tc>
          <w:tcPr>
            <w:tcW w:w="1571" w:type="dxa"/>
            <w:shd w:val="clear" w:color="auto" w:fill="FFFF00"/>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Mjerenje koncentracije dima u zraku</w:t>
            </w:r>
          </w:p>
        </w:tc>
      </w:tr>
      <w:tr w:rsidR="00A131AD" w:rsidRPr="00081B73" w:rsidTr="001911A6">
        <w:trPr>
          <w:cantSplit/>
          <w:trHeight w:val="431"/>
        </w:trPr>
        <w:tc>
          <w:tcPr>
            <w:tcW w:w="1368" w:type="dxa"/>
            <w:vMerge/>
            <w:vAlign w:val="center"/>
          </w:tcPr>
          <w:p w:rsidR="00A131AD" w:rsidRPr="00081B73" w:rsidRDefault="00A131AD" w:rsidP="000C0138">
            <w:pPr>
              <w:spacing w:line="276" w:lineRule="auto"/>
              <w:jc w:val="center"/>
              <w:rPr>
                <w:rFonts w:ascii="Times New Roman" w:hAnsi="Times New Roman"/>
                <w:sz w:val="20"/>
                <w:szCs w:val="20"/>
                <w:lang w:val="bs-Latn-BA"/>
              </w:rPr>
            </w:pPr>
          </w:p>
        </w:tc>
        <w:tc>
          <w:tcPr>
            <w:tcW w:w="1969" w:type="dxa"/>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w:t>
            </w:r>
          </w:p>
        </w:tc>
        <w:tc>
          <w:tcPr>
            <w:tcW w:w="1622" w:type="dxa"/>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w:t>
            </w:r>
          </w:p>
        </w:tc>
        <w:tc>
          <w:tcPr>
            <w:tcW w:w="1401" w:type="dxa"/>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ne mjeri se</w:t>
            </w:r>
          </w:p>
        </w:tc>
        <w:tc>
          <w:tcPr>
            <w:tcW w:w="1401" w:type="dxa"/>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ne mjeri se</w:t>
            </w:r>
          </w:p>
        </w:tc>
        <w:tc>
          <w:tcPr>
            <w:tcW w:w="1571" w:type="dxa"/>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 xml:space="preserve"> ne mjeri se</w:t>
            </w:r>
          </w:p>
        </w:tc>
      </w:tr>
    </w:tbl>
    <w:p w:rsidR="00A131AD" w:rsidRPr="00081B73" w:rsidRDefault="00A131AD" w:rsidP="000C0138">
      <w:pPr>
        <w:spacing w:line="276" w:lineRule="auto"/>
        <w:rPr>
          <w:rFonts w:ascii="Times New Roman" w:hAnsi="Times New Roman"/>
          <w:sz w:val="20"/>
          <w:szCs w:val="20"/>
          <w:lang w:val="bs-Latn-BA"/>
        </w:rPr>
      </w:pPr>
    </w:p>
    <w:p w:rsidR="00A131AD" w:rsidRPr="00081B73" w:rsidRDefault="00FE3B0D" w:rsidP="000C0138">
      <w:pPr>
        <w:pStyle w:val="Footer"/>
        <w:spacing w:line="276" w:lineRule="auto"/>
        <w:rPr>
          <w:rFonts w:ascii="Times New Roman" w:hAnsi="Times New Roman"/>
          <w:sz w:val="20"/>
          <w:szCs w:val="20"/>
          <w:lang w:val="bs-Latn-BA"/>
        </w:rPr>
      </w:pPr>
      <w:r>
        <w:rPr>
          <w:rFonts w:ascii="Times New Roman" w:hAnsi="Times New Roman"/>
          <w:sz w:val="20"/>
          <w:szCs w:val="20"/>
          <w:lang w:val="bs-Latn-BA"/>
        </w:rPr>
        <w:t>Tab</w:t>
      </w:r>
      <w:r w:rsidR="00A131AD" w:rsidRPr="00081B73">
        <w:rPr>
          <w:rFonts w:ascii="Times New Roman" w:hAnsi="Times New Roman"/>
          <w:sz w:val="20"/>
          <w:szCs w:val="20"/>
          <w:lang w:val="bs-Latn-BA"/>
        </w:rPr>
        <w:t>l</w:t>
      </w:r>
      <w:r>
        <w:rPr>
          <w:rFonts w:ascii="Times New Roman" w:hAnsi="Times New Roman"/>
          <w:sz w:val="20"/>
          <w:szCs w:val="20"/>
          <w:lang w:val="bs-Latn-BA"/>
        </w:rPr>
        <w:t>ic</w:t>
      </w:r>
      <w:r w:rsidR="00A131AD" w:rsidRPr="00081B73">
        <w:rPr>
          <w:rFonts w:ascii="Times New Roman" w:hAnsi="Times New Roman"/>
          <w:sz w:val="20"/>
          <w:szCs w:val="20"/>
          <w:lang w:val="bs-Latn-BA"/>
        </w:rPr>
        <w:t>a 7: Zdravstvena zaštita za 2010 i  2015. godinu</w:t>
      </w: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01"/>
        <w:gridCol w:w="8"/>
        <w:gridCol w:w="3807"/>
        <w:gridCol w:w="2279"/>
        <w:gridCol w:w="2293"/>
      </w:tblGrid>
      <w:tr w:rsidR="00A131AD" w:rsidRPr="00081B73" w:rsidTr="001911A6">
        <w:trPr>
          <w:trHeight w:val="509"/>
        </w:trPr>
        <w:tc>
          <w:tcPr>
            <w:tcW w:w="4716" w:type="dxa"/>
            <w:gridSpan w:val="3"/>
            <w:shd w:val="clear" w:color="auto" w:fill="FFFF00"/>
            <w:vAlign w:val="center"/>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sz w:val="20"/>
                <w:szCs w:val="20"/>
                <w:lang w:val="bs-Latn-BA"/>
              </w:rPr>
              <w:t>Broj</w:t>
            </w:r>
          </w:p>
        </w:tc>
        <w:tc>
          <w:tcPr>
            <w:tcW w:w="2279"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2010.</w:t>
            </w:r>
          </w:p>
        </w:tc>
        <w:tc>
          <w:tcPr>
            <w:tcW w:w="2293"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2015.</w:t>
            </w:r>
          </w:p>
        </w:tc>
      </w:tr>
      <w:tr w:rsidR="00A131AD" w:rsidRPr="00081B73" w:rsidTr="001911A6">
        <w:trPr>
          <w:cantSplit/>
        </w:trPr>
        <w:tc>
          <w:tcPr>
            <w:tcW w:w="909" w:type="dxa"/>
            <w:gridSpan w:val="2"/>
            <w:vMerge w:val="restart"/>
            <w:tcBorders>
              <w:top w:val="single" w:sz="4" w:space="0" w:color="auto"/>
              <w:left w:val="single" w:sz="4" w:space="0" w:color="auto"/>
              <w:bottom w:val="nil"/>
              <w:right w:val="single" w:sz="4" w:space="0" w:color="auto"/>
            </w:tcBorders>
            <w:vAlign w:val="bottom"/>
          </w:tcPr>
          <w:p w:rsidR="00A131AD" w:rsidRPr="00081B73" w:rsidRDefault="00A131AD" w:rsidP="000C0138">
            <w:pPr>
              <w:pStyle w:val="NormalWeb"/>
              <w:spacing w:before="0" w:beforeAutospacing="0" w:after="0" w:afterAutospacing="0" w:line="276" w:lineRule="auto"/>
              <w:rPr>
                <w:sz w:val="20"/>
                <w:szCs w:val="20"/>
                <w:lang w:val="bs-Latn-BA"/>
              </w:rPr>
            </w:pPr>
            <w:r w:rsidRPr="00081B73">
              <w:rPr>
                <w:sz w:val="20"/>
                <w:szCs w:val="20"/>
                <w:lang w:val="bs-Latn-BA"/>
              </w:rPr>
              <w:t>PZZ</w:t>
            </w:r>
          </w:p>
        </w:tc>
        <w:tc>
          <w:tcPr>
            <w:tcW w:w="3807" w:type="dxa"/>
            <w:tcBorders>
              <w:left w:val="single" w:sz="4" w:space="0" w:color="auto"/>
            </w:tcBorders>
          </w:tcPr>
          <w:p w:rsidR="00A131AD" w:rsidRPr="00081B73" w:rsidRDefault="00A131AD" w:rsidP="000C0138">
            <w:pPr>
              <w:pStyle w:val="NormalWeb"/>
              <w:spacing w:before="0" w:beforeAutospacing="0" w:after="0" w:afterAutospacing="0" w:line="276" w:lineRule="auto"/>
              <w:rPr>
                <w:sz w:val="20"/>
                <w:szCs w:val="20"/>
                <w:lang w:val="bs-Latn-BA"/>
              </w:rPr>
            </w:pPr>
            <w:r w:rsidRPr="00081B73">
              <w:rPr>
                <w:sz w:val="20"/>
                <w:szCs w:val="20"/>
                <w:lang w:val="bs-Latn-BA"/>
              </w:rPr>
              <w:t>ordinacije PZZ</w:t>
            </w:r>
          </w:p>
        </w:tc>
        <w:tc>
          <w:tcPr>
            <w:tcW w:w="2279" w:type="dxa"/>
            <w:vAlign w:val="center"/>
          </w:tcPr>
          <w:p w:rsidR="00A131AD" w:rsidRPr="00081B73" w:rsidRDefault="00A131AD" w:rsidP="000C0138">
            <w:pPr>
              <w:pStyle w:val="NormalWeb"/>
              <w:spacing w:line="276" w:lineRule="auto"/>
              <w:jc w:val="right"/>
              <w:rPr>
                <w:sz w:val="20"/>
                <w:szCs w:val="20"/>
                <w:lang w:val="bs-Latn-BA"/>
              </w:rPr>
            </w:pPr>
            <w:r w:rsidRPr="00081B73">
              <w:rPr>
                <w:sz w:val="20"/>
                <w:szCs w:val="20"/>
                <w:lang w:val="bs-Latn-BA"/>
              </w:rPr>
              <w:t>149</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154</w:t>
            </w:r>
          </w:p>
        </w:tc>
      </w:tr>
      <w:tr w:rsidR="00A131AD" w:rsidRPr="00081B73" w:rsidTr="001911A6">
        <w:trPr>
          <w:cantSplit/>
        </w:trPr>
        <w:tc>
          <w:tcPr>
            <w:tcW w:w="909" w:type="dxa"/>
            <w:gridSpan w:val="2"/>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07" w:type="dxa"/>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stomatološke ordinacije/stolice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43</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47</w:t>
            </w:r>
          </w:p>
        </w:tc>
      </w:tr>
      <w:tr w:rsidR="00A131AD" w:rsidRPr="00081B73" w:rsidTr="001911A6">
        <w:trPr>
          <w:cantSplit/>
        </w:trPr>
        <w:tc>
          <w:tcPr>
            <w:tcW w:w="909" w:type="dxa"/>
            <w:gridSpan w:val="2"/>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07" w:type="dxa"/>
            <w:tcBorders>
              <w:left w:val="single" w:sz="4" w:space="0" w:color="auto"/>
            </w:tcBorders>
          </w:tcPr>
          <w:p w:rsidR="00A131AD" w:rsidRPr="00081B73" w:rsidRDefault="00606974" w:rsidP="000C0138">
            <w:pPr>
              <w:spacing w:line="276" w:lineRule="auto"/>
              <w:rPr>
                <w:rFonts w:ascii="Times New Roman" w:hAnsi="Times New Roman"/>
                <w:sz w:val="20"/>
                <w:szCs w:val="20"/>
                <w:lang w:val="bs-Latn-BA"/>
              </w:rPr>
            </w:pPr>
            <w:r>
              <w:rPr>
                <w:rFonts w:ascii="Times New Roman" w:hAnsi="Times New Roman"/>
                <w:sz w:val="20"/>
                <w:szCs w:val="20"/>
                <w:lang w:val="bs-Latn-BA"/>
              </w:rPr>
              <w:t>ljekarne</w:t>
            </w:r>
            <w:r w:rsidR="00A131AD" w:rsidRPr="00081B73">
              <w:rPr>
                <w:rFonts w:ascii="Times New Roman" w:hAnsi="Times New Roman"/>
                <w:sz w:val="20"/>
                <w:szCs w:val="20"/>
                <w:lang w:val="bs-Latn-BA"/>
              </w:rPr>
              <w:t xml:space="preserve"> u javnom sektoru</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w:t>
            </w:r>
          </w:p>
        </w:tc>
      </w:tr>
      <w:tr w:rsidR="00A131AD" w:rsidRPr="00081B73" w:rsidTr="001911A6">
        <w:trPr>
          <w:cantSplit/>
        </w:trPr>
        <w:tc>
          <w:tcPr>
            <w:tcW w:w="901" w:type="dxa"/>
            <w:vMerge w:val="restart"/>
            <w:tcBorders>
              <w:top w:val="nil"/>
              <w:left w:val="single" w:sz="4" w:space="0" w:color="auto"/>
              <w:bottom w:val="nil"/>
              <w:right w:val="single" w:sz="4" w:space="0" w:color="auto"/>
            </w:tcBorders>
            <w:vAlign w:val="center"/>
          </w:tcPr>
          <w:p w:rsidR="00A131AD" w:rsidRPr="00081B73" w:rsidRDefault="00A131AD" w:rsidP="000C0138">
            <w:pPr>
              <w:spacing w:line="276" w:lineRule="auto"/>
              <w:jc w:val="left"/>
              <w:rPr>
                <w:rFonts w:ascii="Times New Roman" w:hAnsi="Times New Roman"/>
                <w:sz w:val="20"/>
                <w:szCs w:val="20"/>
                <w:lang w:val="bs-Latn-BA"/>
              </w:rPr>
            </w:pPr>
          </w:p>
        </w:tc>
        <w:tc>
          <w:tcPr>
            <w:tcW w:w="381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dr medicine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144</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170</w:t>
            </w:r>
          </w:p>
        </w:tc>
      </w:tr>
      <w:tr w:rsidR="00A131AD" w:rsidRPr="00081B73" w:rsidTr="001911A6">
        <w:trPr>
          <w:cantSplit/>
        </w:trPr>
        <w:tc>
          <w:tcPr>
            <w:tcW w:w="901" w:type="dxa"/>
            <w:vMerge/>
            <w:tcBorders>
              <w:top w:val="nil"/>
              <w:left w:val="single" w:sz="4" w:space="0" w:color="auto"/>
              <w:bottom w:val="nil"/>
              <w:right w:val="single" w:sz="4" w:space="0" w:color="auto"/>
            </w:tcBorders>
            <w:vAlign w:val="center"/>
          </w:tcPr>
          <w:p w:rsidR="00A131AD" w:rsidRPr="00081B73" w:rsidRDefault="00A131AD" w:rsidP="000C0138">
            <w:pPr>
              <w:spacing w:line="276" w:lineRule="auto"/>
              <w:jc w:val="left"/>
              <w:rPr>
                <w:rFonts w:ascii="Times New Roman" w:hAnsi="Times New Roman"/>
                <w:sz w:val="20"/>
                <w:szCs w:val="20"/>
                <w:lang w:val="bs-Latn-BA"/>
              </w:rPr>
            </w:pPr>
          </w:p>
        </w:tc>
        <w:tc>
          <w:tcPr>
            <w:tcW w:w="381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zdravstveni tehničari/sestre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346</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347</w:t>
            </w:r>
          </w:p>
        </w:tc>
      </w:tr>
      <w:tr w:rsidR="00A131AD" w:rsidRPr="00081B73" w:rsidTr="001911A6">
        <w:trPr>
          <w:cantSplit/>
        </w:trPr>
        <w:tc>
          <w:tcPr>
            <w:tcW w:w="901" w:type="dxa"/>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1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dr stomatologije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57</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54</w:t>
            </w:r>
          </w:p>
        </w:tc>
      </w:tr>
      <w:tr w:rsidR="00A131AD" w:rsidRPr="00081B73" w:rsidTr="001911A6">
        <w:trPr>
          <w:cantSplit/>
        </w:trPr>
        <w:tc>
          <w:tcPr>
            <w:tcW w:w="901" w:type="dxa"/>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1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stomatološki tehničari/sestre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46</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66</w:t>
            </w:r>
          </w:p>
        </w:tc>
      </w:tr>
      <w:tr w:rsidR="00A131AD" w:rsidRPr="00081B73" w:rsidTr="001911A6">
        <w:trPr>
          <w:cantSplit/>
        </w:trPr>
        <w:tc>
          <w:tcPr>
            <w:tcW w:w="901" w:type="dxa"/>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1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magistri farmacije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5</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19</w:t>
            </w:r>
          </w:p>
        </w:tc>
      </w:tr>
      <w:tr w:rsidR="00A131AD" w:rsidRPr="00081B73" w:rsidTr="001911A6">
        <w:trPr>
          <w:cantSplit/>
        </w:trPr>
        <w:tc>
          <w:tcPr>
            <w:tcW w:w="901" w:type="dxa"/>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1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farmaceutski tehničari</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79</w:t>
            </w:r>
          </w:p>
        </w:tc>
      </w:tr>
      <w:tr w:rsidR="00A131AD" w:rsidRPr="00081B73" w:rsidTr="001911A6">
        <w:trPr>
          <w:trHeight w:val="311"/>
        </w:trPr>
        <w:tc>
          <w:tcPr>
            <w:tcW w:w="901" w:type="dxa"/>
            <w:vAlign w:val="center"/>
          </w:tcPr>
          <w:p w:rsidR="00A131AD" w:rsidRPr="00081B73" w:rsidRDefault="00A131AD" w:rsidP="000C0138">
            <w:pPr>
              <w:spacing w:line="276" w:lineRule="auto"/>
              <w:jc w:val="left"/>
              <w:rPr>
                <w:rFonts w:ascii="Times New Roman" w:hAnsi="Times New Roman"/>
                <w:sz w:val="20"/>
                <w:szCs w:val="20"/>
                <w:lang w:val="bs-Latn-BA"/>
              </w:rPr>
            </w:pPr>
            <w:r w:rsidRPr="00081B73">
              <w:rPr>
                <w:rFonts w:ascii="Times New Roman" w:hAnsi="Times New Roman"/>
                <w:sz w:val="20"/>
                <w:szCs w:val="20"/>
                <w:lang w:val="bs-Latn-BA"/>
              </w:rPr>
              <w:t>Bolnice</w:t>
            </w:r>
          </w:p>
        </w:tc>
        <w:tc>
          <w:tcPr>
            <w:tcW w:w="3815" w:type="dxa"/>
            <w:gridSpan w:val="2"/>
            <w:vAlign w:val="center"/>
          </w:tcPr>
          <w:p w:rsidR="00A131AD" w:rsidRPr="00081B73" w:rsidRDefault="00A131AD" w:rsidP="000C0138">
            <w:pPr>
              <w:spacing w:line="276" w:lineRule="auto"/>
              <w:jc w:val="left"/>
              <w:rPr>
                <w:rFonts w:ascii="Times New Roman" w:hAnsi="Times New Roman"/>
                <w:sz w:val="20"/>
                <w:szCs w:val="20"/>
                <w:lang w:val="bs-Latn-BA"/>
              </w:rPr>
            </w:pPr>
            <w:r w:rsidRPr="00081B73">
              <w:rPr>
                <w:rFonts w:ascii="Times New Roman" w:hAnsi="Times New Roman"/>
                <w:sz w:val="20"/>
                <w:szCs w:val="20"/>
                <w:lang w:val="bs-Latn-BA"/>
              </w:rPr>
              <w:t>bolničke postelje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978</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1048</w:t>
            </w:r>
          </w:p>
        </w:tc>
      </w:tr>
    </w:tbl>
    <w:p w:rsidR="00A131AD" w:rsidRPr="00081B73" w:rsidRDefault="00A131AD" w:rsidP="000C0138">
      <w:pPr>
        <w:spacing w:line="276" w:lineRule="auto"/>
        <w:jc w:val="left"/>
        <w:rPr>
          <w:rFonts w:ascii="Times New Roman" w:hAnsi="Times New Roman"/>
          <w:bCs/>
          <w:sz w:val="20"/>
          <w:szCs w:val="20"/>
          <w:lang w:val="bs-Latn-BA"/>
        </w:rPr>
      </w:pPr>
      <w:r w:rsidRPr="00081B73">
        <w:rPr>
          <w:rFonts w:ascii="Times New Roman" w:hAnsi="Times New Roman"/>
          <w:bCs/>
          <w:sz w:val="20"/>
          <w:szCs w:val="20"/>
          <w:lang w:val="bs-Latn-BA"/>
        </w:rPr>
        <w:t>*nepotpuni poda</w:t>
      </w:r>
      <w:r w:rsidR="00606974">
        <w:rPr>
          <w:rFonts w:ascii="Times New Roman" w:hAnsi="Times New Roman"/>
          <w:bCs/>
          <w:sz w:val="20"/>
          <w:szCs w:val="20"/>
          <w:lang w:val="bs-Latn-BA"/>
        </w:rPr>
        <w:t>t</w:t>
      </w:r>
      <w:r w:rsidRPr="00081B73">
        <w:rPr>
          <w:rFonts w:ascii="Times New Roman" w:hAnsi="Times New Roman"/>
          <w:bCs/>
          <w:sz w:val="20"/>
          <w:szCs w:val="20"/>
          <w:lang w:val="bs-Latn-BA"/>
        </w:rPr>
        <w:t>ci za 2014. godinu</w:t>
      </w:r>
    </w:p>
    <w:p w:rsidR="00081B73" w:rsidRDefault="00081B73">
      <w:pPr>
        <w:spacing w:after="160" w:line="259" w:lineRule="auto"/>
        <w:jc w:val="left"/>
        <w:rPr>
          <w:rFonts w:ascii="Times New Roman" w:hAnsi="Times New Roman"/>
          <w:b/>
          <w:bCs/>
          <w:sz w:val="20"/>
          <w:szCs w:val="20"/>
          <w:lang w:val="bs-Latn-BA"/>
        </w:rPr>
      </w:pPr>
      <w:r>
        <w:rPr>
          <w:rFonts w:ascii="Times New Roman" w:hAnsi="Times New Roman"/>
          <w:b/>
          <w:bCs/>
          <w:sz w:val="20"/>
          <w:szCs w:val="20"/>
          <w:lang w:val="bs-Latn-BA"/>
        </w:rPr>
        <w:br w:type="page"/>
      </w:r>
    </w:p>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lastRenderedPageBreak/>
        <w:t>Zapadnohercegovački kanton</w:t>
      </w:r>
    </w:p>
    <w:p w:rsidR="00A131AD" w:rsidRPr="00081B73" w:rsidRDefault="00A131AD" w:rsidP="000C0138">
      <w:pPr>
        <w:spacing w:line="276" w:lineRule="auto"/>
        <w:rPr>
          <w:rFonts w:ascii="Times New Roman" w:hAnsi="Times New Roman"/>
          <w:sz w:val="20"/>
          <w:szCs w:val="20"/>
          <w:lang w:val="bs-Latn-BA"/>
        </w:rPr>
      </w:pPr>
    </w:p>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noProof/>
          <w:sz w:val="20"/>
          <w:szCs w:val="20"/>
          <w:lang w:val="bs-Latn-BA" w:eastAsia="bs-Latn-BA"/>
        </w:rPr>
        <w:drawing>
          <wp:anchor distT="0" distB="0" distL="114300" distR="114300" simplePos="0" relativeHeight="251668480" behindDoc="0" locked="0" layoutInCell="1" allowOverlap="1" wp14:anchorId="575DCF45" wp14:editId="44E55DD6">
            <wp:simplePos x="0" y="0"/>
            <wp:positionH relativeFrom="column">
              <wp:posOffset>-88900</wp:posOffset>
            </wp:positionH>
            <wp:positionV relativeFrom="paragraph">
              <wp:posOffset>138430</wp:posOffset>
            </wp:positionV>
            <wp:extent cx="2374900" cy="2296160"/>
            <wp:effectExtent l="0" t="0" r="6350" b="8890"/>
            <wp:wrapSquare wrapText="bothSides"/>
            <wp:docPr id="120" name="Picture 120" descr="canton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anton8"/>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374900" cy="22961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1B73">
        <w:rPr>
          <w:rFonts w:ascii="Times New Roman" w:hAnsi="Times New Roman"/>
          <w:sz w:val="20"/>
          <w:szCs w:val="20"/>
          <w:lang w:val="bs-Latn-BA"/>
        </w:rPr>
        <w:t>Tabl</w:t>
      </w:r>
      <w:r w:rsidR="00606974">
        <w:rPr>
          <w:rFonts w:ascii="Times New Roman" w:hAnsi="Times New Roman"/>
          <w:sz w:val="20"/>
          <w:szCs w:val="20"/>
          <w:lang w:val="bs-Latn-BA"/>
        </w:rPr>
        <w:t>ic</w:t>
      </w:r>
      <w:r w:rsidRPr="00081B73">
        <w:rPr>
          <w:rFonts w:ascii="Times New Roman" w:hAnsi="Times New Roman"/>
          <w:sz w:val="20"/>
          <w:szCs w:val="20"/>
          <w:lang w:val="bs-Latn-BA"/>
        </w:rPr>
        <w:t>a 1: Stanovništvo po općinama*</w:t>
      </w:r>
    </w:p>
    <w:p w:rsidR="00A131AD" w:rsidRPr="00081B73" w:rsidRDefault="00A131AD" w:rsidP="000C0138">
      <w:pPr>
        <w:spacing w:line="276" w:lineRule="auto"/>
        <w:rPr>
          <w:rFonts w:ascii="Times New Roman" w:hAnsi="Times New Roman"/>
          <w:sz w:val="20"/>
          <w:szCs w:val="20"/>
          <w:lang w:val="bs-Latn-BA"/>
        </w:rPr>
      </w:pPr>
    </w:p>
    <w:tbl>
      <w:tblPr>
        <w:tblW w:w="4759" w:type="dxa"/>
        <w:tblCellSpacing w:w="15" w:type="dxa"/>
        <w:tblCellMar>
          <w:top w:w="15" w:type="dxa"/>
          <w:left w:w="15" w:type="dxa"/>
          <w:bottom w:w="15" w:type="dxa"/>
          <w:right w:w="15" w:type="dxa"/>
        </w:tblCellMar>
        <w:tblLook w:val="0000" w:firstRow="0" w:lastRow="0" w:firstColumn="0" w:lastColumn="0" w:noHBand="0" w:noVBand="0"/>
      </w:tblPr>
      <w:tblGrid>
        <w:gridCol w:w="2420"/>
        <w:gridCol w:w="1237"/>
        <w:gridCol w:w="1102"/>
      </w:tblGrid>
      <w:tr w:rsidR="00A131AD" w:rsidRPr="00081B73" w:rsidTr="001911A6">
        <w:trPr>
          <w:trHeight w:val="510"/>
          <w:tblCellSpacing w:w="15" w:type="dxa"/>
        </w:trPr>
        <w:tc>
          <w:tcPr>
            <w:tcW w:w="2375" w:type="dxa"/>
            <w:tcBorders>
              <w:right w:val="single" w:sz="4" w:space="0" w:color="000000"/>
            </w:tcBorders>
            <w:shd w:val="clear" w:color="auto" w:fill="C0C0C0"/>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b/>
                <w:bCs/>
                <w:color w:val="800000"/>
                <w:sz w:val="20"/>
                <w:szCs w:val="20"/>
                <w:lang w:val="bs-Latn-BA"/>
              </w:rPr>
              <w:t>Općina</w:t>
            </w:r>
          </w:p>
        </w:tc>
        <w:tc>
          <w:tcPr>
            <w:tcW w:w="1207" w:type="dxa"/>
            <w:tcBorders>
              <w:left w:val="nil"/>
            </w:tcBorders>
            <w:shd w:val="clear" w:color="auto" w:fill="C0C0C0"/>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b/>
                <w:bCs/>
                <w:color w:val="800000"/>
                <w:sz w:val="20"/>
                <w:szCs w:val="20"/>
                <w:lang w:val="bs-Latn-BA"/>
              </w:rPr>
              <w:t>Površina, km</w:t>
            </w:r>
            <w:r w:rsidRPr="00081B73">
              <w:rPr>
                <w:rFonts w:ascii="Times New Roman" w:hAnsi="Times New Roman"/>
                <w:b/>
                <w:bCs/>
                <w:color w:val="800000"/>
                <w:sz w:val="20"/>
                <w:szCs w:val="20"/>
                <w:vertAlign w:val="superscript"/>
                <w:lang w:val="bs-Latn-BA"/>
              </w:rPr>
              <w:t>2</w:t>
            </w:r>
          </w:p>
        </w:tc>
        <w:tc>
          <w:tcPr>
            <w:tcW w:w="1057" w:type="dxa"/>
            <w:tcBorders>
              <w:left w:val="nil"/>
            </w:tcBorders>
            <w:shd w:val="clear" w:color="auto" w:fill="C0C0C0"/>
            <w:vAlign w:val="center"/>
          </w:tcPr>
          <w:p w:rsidR="00A131AD" w:rsidRPr="00081B73" w:rsidRDefault="00A131AD" w:rsidP="000C0138">
            <w:pPr>
              <w:pStyle w:val="NormalWeb"/>
              <w:spacing w:line="276" w:lineRule="auto"/>
              <w:jc w:val="center"/>
              <w:rPr>
                <w:sz w:val="20"/>
                <w:szCs w:val="20"/>
                <w:lang w:val="bs-Latn-BA"/>
              </w:rPr>
            </w:pPr>
            <w:r w:rsidRPr="00081B73">
              <w:rPr>
                <w:color w:val="800000"/>
                <w:sz w:val="20"/>
                <w:szCs w:val="20"/>
                <w:lang w:val="bs-Latn-BA"/>
              </w:rPr>
              <w:t>Procjena broja stanovnika</w:t>
            </w:r>
          </w:p>
        </w:tc>
      </w:tr>
      <w:tr w:rsidR="00A131AD" w:rsidRPr="00081B73" w:rsidTr="001911A6">
        <w:trPr>
          <w:cantSplit/>
          <w:trHeight w:val="222"/>
          <w:tblCellSpacing w:w="15" w:type="dxa"/>
        </w:trPr>
        <w:tc>
          <w:tcPr>
            <w:tcW w:w="2375" w:type="dxa"/>
            <w:shd w:val="clear" w:color="auto" w:fill="FFFFCC"/>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Grude</w:t>
            </w:r>
          </w:p>
        </w:tc>
        <w:tc>
          <w:tcPr>
            <w:tcW w:w="1207"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220,8</w:t>
            </w:r>
          </w:p>
        </w:tc>
        <w:tc>
          <w:tcPr>
            <w:tcW w:w="1057"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15.456</w:t>
            </w:r>
          </w:p>
        </w:tc>
      </w:tr>
      <w:tr w:rsidR="00A131AD" w:rsidRPr="00081B73" w:rsidTr="001911A6">
        <w:trPr>
          <w:trHeight w:val="222"/>
          <w:tblCellSpacing w:w="15" w:type="dxa"/>
        </w:trPr>
        <w:tc>
          <w:tcPr>
            <w:tcW w:w="2375" w:type="dxa"/>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Ljubuški</w:t>
            </w:r>
          </w:p>
        </w:tc>
        <w:tc>
          <w:tcPr>
            <w:tcW w:w="1207"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292,7</w:t>
            </w:r>
          </w:p>
        </w:tc>
        <w:tc>
          <w:tcPr>
            <w:tcW w:w="1057"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23.320</w:t>
            </w:r>
          </w:p>
        </w:tc>
      </w:tr>
      <w:tr w:rsidR="00A131AD" w:rsidRPr="00081B73" w:rsidTr="001911A6">
        <w:trPr>
          <w:trHeight w:val="222"/>
          <w:tblCellSpacing w:w="15" w:type="dxa"/>
        </w:trPr>
        <w:tc>
          <w:tcPr>
            <w:tcW w:w="2375" w:type="dxa"/>
            <w:shd w:val="clear" w:color="auto" w:fill="FFFFCC"/>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Posušje</w:t>
            </w:r>
          </w:p>
        </w:tc>
        <w:tc>
          <w:tcPr>
            <w:tcW w:w="1207"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461,1</w:t>
            </w:r>
          </w:p>
        </w:tc>
        <w:tc>
          <w:tcPr>
            <w:tcW w:w="1057"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16.036</w:t>
            </w:r>
          </w:p>
        </w:tc>
      </w:tr>
      <w:tr w:rsidR="00A131AD" w:rsidRPr="00081B73" w:rsidTr="001911A6">
        <w:trPr>
          <w:cantSplit/>
          <w:trHeight w:val="222"/>
          <w:tblCellSpacing w:w="15" w:type="dxa"/>
        </w:trPr>
        <w:tc>
          <w:tcPr>
            <w:tcW w:w="2375" w:type="dxa"/>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Široki Brijeg</w:t>
            </w:r>
          </w:p>
        </w:tc>
        <w:tc>
          <w:tcPr>
            <w:tcW w:w="1207"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387,6</w:t>
            </w:r>
          </w:p>
        </w:tc>
        <w:tc>
          <w:tcPr>
            <w:tcW w:w="1057"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26.497</w:t>
            </w:r>
          </w:p>
        </w:tc>
      </w:tr>
      <w:tr w:rsidR="00A131AD" w:rsidRPr="00081B73" w:rsidTr="001911A6">
        <w:trPr>
          <w:cantSplit/>
          <w:trHeight w:val="222"/>
          <w:tblCellSpacing w:w="15" w:type="dxa"/>
        </w:trPr>
        <w:tc>
          <w:tcPr>
            <w:tcW w:w="2375" w:type="dxa"/>
            <w:shd w:val="clear" w:color="auto" w:fill="FFFFCC"/>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UKUPNO:</w:t>
            </w:r>
          </w:p>
        </w:tc>
        <w:tc>
          <w:tcPr>
            <w:tcW w:w="1207"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1.362,2</w:t>
            </w:r>
          </w:p>
        </w:tc>
        <w:tc>
          <w:tcPr>
            <w:tcW w:w="1057"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81.309</w:t>
            </w:r>
          </w:p>
        </w:tc>
      </w:tr>
      <w:tr w:rsidR="00A131AD" w:rsidRPr="00081B73" w:rsidTr="001911A6">
        <w:trPr>
          <w:cantSplit/>
          <w:trHeight w:val="222"/>
          <w:tblCellSpacing w:w="15" w:type="dxa"/>
        </w:trPr>
        <w:tc>
          <w:tcPr>
            <w:tcW w:w="2375" w:type="dxa"/>
            <w:shd w:val="clear" w:color="auto" w:fill="FFFFCC"/>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Broj stanovnika/km</w:t>
            </w:r>
            <w:r w:rsidRPr="00081B73">
              <w:rPr>
                <w:rFonts w:ascii="Times New Roman" w:hAnsi="Times New Roman"/>
                <w:b/>
                <w:bCs/>
                <w:sz w:val="20"/>
                <w:szCs w:val="20"/>
                <w:vertAlign w:val="superscript"/>
                <w:lang w:val="bs-Latn-BA"/>
              </w:rPr>
              <w:t>2</w:t>
            </w:r>
          </w:p>
        </w:tc>
        <w:tc>
          <w:tcPr>
            <w:tcW w:w="1207"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59,8</w:t>
            </w:r>
          </w:p>
        </w:tc>
        <w:tc>
          <w:tcPr>
            <w:tcW w:w="1057"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p>
        </w:tc>
      </w:tr>
    </w:tbl>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 procjena broja stanovnika na dan 30.06.2015. godine</w:t>
      </w:r>
    </w:p>
    <w:p w:rsidR="00A131AD" w:rsidRPr="00081B73" w:rsidRDefault="00A131AD" w:rsidP="000C0138">
      <w:pPr>
        <w:spacing w:line="276" w:lineRule="auto"/>
        <w:rPr>
          <w:rFonts w:ascii="Times New Roman" w:hAnsi="Times New Roman"/>
          <w:sz w:val="20"/>
          <w:szCs w:val="20"/>
          <w:lang w:val="bs-Latn-BA"/>
        </w:rPr>
      </w:pPr>
    </w:p>
    <w:p w:rsidR="00A131AD" w:rsidRPr="00081B73" w:rsidRDefault="00A131AD" w:rsidP="00677033">
      <w:pPr>
        <w:pStyle w:val="refererere"/>
        <w:rPr>
          <w:lang w:val="bs-Latn-BA"/>
        </w:rPr>
      </w:pPr>
      <w:r w:rsidRPr="00081B73">
        <w:rPr>
          <w:lang w:val="bs-Latn-BA"/>
        </w:rPr>
        <w:t>Tabl</w:t>
      </w:r>
      <w:r w:rsidR="00606974">
        <w:rPr>
          <w:lang w:val="bs-Latn-BA"/>
        </w:rPr>
        <w:t>ic</w:t>
      </w:r>
      <w:r w:rsidRPr="00081B73">
        <w:rPr>
          <w:lang w:val="bs-Latn-BA"/>
        </w:rPr>
        <w:t>a 2: Pokazatelji vitalne statistike za 2010</w:t>
      </w:r>
      <w:r w:rsidR="00606974">
        <w:rPr>
          <w:lang w:val="bs-Latn-BA"/>
        </w:rPr>
        <w:t>.</w:t>
      </w:r>
      <w:r w:rsidRPr="00081B73">
        <w:rPr>
          <w:lang w:val="bs-Latn-BA"/>
        </w:rPr>
        <w:t xml:space="preserve"> i  2015. godinu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653"/>
        <w:gridCol w:w="2710"/>
        <w:gridCol w:w="2493"/>
      </w:tblGrid>
      <w:tr w:rsidR="00A131AD" w:rsidRPr="00081B73" w:rsidTr="001911A6">
        <w:tc>
          <w:tcPr>
            <w:tcW w:w="3653" w:type="dxa"/>
            <w:shd w:val="clear" w:color="auto" w:fill="FFFF00"/>
          </w:tcPr>
          <w:p w:rsidR="00A131AD" w:rsidRPr="00081B73" w:rsidRDefault="00A131AD" w:rsidP="000C0138">
            <w:pPr>
              <w:spacing w:line="276" w:lineRule="auto"/>
              <w:jc w:val="center"/>
              <w:rPr>
                <w:rFonts w:ascii="Times New Roman" w:hAnsi="Times New Roman"/>
                <w:sz w:val="20"/>
                <w:szCs w:val="20"/>
                <w:lang w:val="bs-Latn-BA"/>
              </w:rPr>
            </w:pPr>
          </w:p>
        </w:tc>
        <w:tc>
          <w:tcPr>
            <w:tcW w:w="2710"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2010.</w:t>
            </w:r>
          </w:p>
        </w:tc>
        <w:tc>
          <w:tcPr>
            <w:tcW w:w="2493"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2015.</w:t>
            </w:r>
          </w:p>
        </w:tc>
      </w:tr>
      <w:tr w:rsidR="00A131AD" w:rsidRPr="00081B73" w:rsidTr="001911A6">
        <w:tc>
          <w:tcPr>
            <w:tcW w:w="3653"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Natalitet</w:t>
            </w:r>
          </w:p>
        </w:tc>
        <w:tc>
          <w:tcPr>
            <w:tcW w:w="2710" w:type="dxa"/>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8,6</w:t>
            </w:r>
          </w:p>
        </w:tc>
        <w:tc>
          <w:tcPr>
            <w:tcW w:w="2493" w:type="dxa"/>
          </w:tcPr>
          <w:p w:rsidR="00A131AD" w:rsidRPr="00081B73" w:rsidRDefault="00A131AD" w:rsidP="000C0138">
            <w:pPr>
              <w:spacing w:line="276" w:lineRule="auto"/>
              <w:ind w:right="453"/>
              <w:jc w:val="center"/>
              <w:rPr>
                <w:rFonts w:ascii="Times New Roman" w:hAnsi="Times New Roman"/>
                <w:sz w:val="20"/>
                <w:szCs w:val="20"/>
                <w:lang w:val="bs-Latn-BA"/>
              </w:rPr>
            </w:pPr>
            <w:r w:rsidRPr="00081B73">
              <w:rPr>
                <w:rFonts w:ascii="Times New Roman" w:hAnsi="Times New Roman"/>
                <w:sz w:val="20"/>
                <w:szCs w:val="20"/>
                <w:lang w:val="bs-Latn-BA"/>
              </w:rPr>
              <w:t>9,1</w:t>
            </w:r>
          </w:p>
        </w:tc>
      </w:tr>
      <w:tr w:rsidR="00A131AD" w:rsidRPr="00081B73" w:rsidTr="001911A6">
        <w:tc>
          <w:tcPr>
            <w:tcW w:w="3653"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Mortalitet</w:t>
            </w:r>
          </w:p>
        </w:tc>
        <w:tc>
          <w:tcPr>
            <w:tcW w:w="2710" w:type="dxa"/>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9,4</w:t>
            </w:r>
          </w:p>
        </w:tc>
        <w:tc>
          <w:tcPr>
            <w:tcW w:w="2493" w:type="dxa"/>
          </w:tcPr>
          <w:p w:rsidR="00A131AD" w:rsidRPr="00081B73" w:rsidRDefault="00A131AD" w:rsidP="000C0138">
            <w:pPr>
              <w:spacing w:line="276" w:lineRule="auto"/>
              <w:ind w:right="453"/>
              <w:jc w:val="center"/>
              <w:rPr>
                <w:rFonts w:ascii="Times New Roman" w:hAnsi="Times New Roman"/>
                <w:sz w:val="20"/>
                <w:szCs w:val="20"/>
                <w:lang w:val="bs-Latn-BA"/>
              </w:rPr>
            </w:pPr>
            <w:r w:rsidRPr="00081B73">
              <w:rPr>
                <w:rFonts w:ascii="Times New Roman" w:hAnsi="Times New Roman"/>
                <w:sz w:val="20"/>
                <w:szCs w:val="20"/>
                <w:lang w:val="bs-Latn-BA"/>
              </w:rPr>
              <w:t>11,0</w:t>
            </w:r>
          </w:p>
        </w:tc>
      </w:tr>
      <w:tr w:rsidR="00A131AD" w:rsidRPr="00081B73" w:rsidTr="001911A6">
        <w:tc>
          <w:tcPr>
            <w:tcW w:w="3653"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Smrtnost dojenčadi</w:t>
            </w:r>
          </w:p>
        </w:tc>
        <w:tc>
          <w:tcPr>
            <w:tcW w:w="2710" w:type="dxa"/>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0</w:t>
            </w:r>
          </w:p>
        </w:tc>
        <w:tc>
          <w:tcPr>
            <w:tcW w:w="2493" w:type="dxa"/>
          </w:tcPr>
          <w:p w:rsidR="00A131AD" w:rsidRPr="00081B73" w:rsidRDefault="00A131AD" w:rsidP="000C0138">
            <w:pPr>
              <w:spacing w:line="276" w:lineRule="auto"/>
              <w:ind w:right="453"/>
              <w:jc w:val="center"/>
              <w:rPr>
                <w:rFonts w:ascii="Times New Roman" w:hAnsi="Times New Roman"/>
                <w:sz w:val="20"/>
                <w:szCs w:val="20"/>
                <w:lang w:val="bs-Latn-BA"/>
              </w:rPr>
            </w:pPr>
            <w:r w:rsidRPr="00081B73">
              <w:rPr>
                <w:rFonts w:ascii="Times New Roman" w:hAnsi="Times New Roman"/>
                <w:sz w:val="20"/>
                <w:szCs w:val="20"/>
                <w:lang w:val="bs-Latn-BA"/>
              </w:rPr>
              <w:t>1,4</w:t>
            </w:r>
          </w:p>
        </w:tc>
      </w:tr>
      <w:tr w:rsidR="00A131AD" w:rsidRPr="00081B73" w:rsidTr="001911A6">
        <w:tc>
          <w:tcPr>
            <w:tcW w:w="3653" w:type="dxa"/>
          </w:tcPr>
          <w:p w:rsidR="00A131AD" w:rsidRPr="00081B73" w:rsidRDefault="00A131AD" w:rsidP="00606974">
            <w:pPr>
              <w:spacing w:line="276" w:lineRule="auto"/>
              <w:rPr>
                <w:rFonts w:ascii="Times New Roman" w:hAnsi="Times New Roman"/>
                <w:sz w:val="20"/>
                <w:szCs w:val="20"/>
                <w:lang w:val="bs-Latn-BA"/>
              </w:rPr>
            </w:pPr>
            <w:r w:rsidRPr="00081B73">
              <w:rPr>
                <w:rFonts w:ascii="Times New Roman" w:hAnsi="Times New Roman"/>
                <w:sz w:val="20"/>
                <w:szCs w:val="20"/>
                <w:lang w:val="bs-Latn-BA"/>
              </w:rPr>
              <w:t>Prirodni prira</w:t>
            </w:r>
            <w:r w:rsidR="00606974">
              <w:rPr>
                <w:rFonts w:ascii="Times New Roman" w:hAnsi="Times New Roman"/>
                <w:sz w:val="20"/>
                <w:szCs w:val="20"/>
                <w:lang w:val="bs-Latn-BA"/>
              </w:rPr>
              <w:t>st</w:t>
            </w:r>
          </w:p>
        </w:tc>
        <w:tc>
          <w:tcPr>
            <w:tcW w:w="2710" w:type="dxa"/>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-0,8</w:t>
            </w:r>
          </w:p>
        </w:tc>
        <w:tc>
          <w:tcPr>
            <w:tcW w:w="2493" w:type="dxa"/>
          </w:tcPr>
          <w:p w:rsidR="00A131AD" w:rsidRPr="00081B73" w:rsidRDefault="00A131AD" w:rsidP="000C0138">
            <w:pPr>
              <w:spacing w:line="276" w:lineRule="auto"/>
              <w:ind w:right="453"/>
              <w:jc w:val="center"/>
              <w:rPr>
                <w:rFonts w:ascii="Times New Roman" w:hAnsi="Times New Roman"/>
                <w:sz w:val="20"/>
                <w:szCs w:val="20"/>
                <w:lang w:val="bs-Latn-BA"/>
              </w:rPr>
            </w:pPr>
            <w:r w:rsidRPr="00081B73">
              <w:rPr>
                <w:rFonts w:ascii="Times New Roman" w:hAnsi="Times New Roman"/>
                <w:sz w:val="20"/>
                <w:szCs w:val="20"/>
                <w:lang w:val="bs-Latn-BA"/>
              </w:rPr>
              <w:t>-2,0</w:t>
            </w:r>
          </w:p>
        </w:tc>
      </w:tr>
    </w:tbl>
    <w:p w:rsidR="00A131AD" w:rsidRPr="00081B73" w:rsidRDefault="00A131AD" w:rsidP="000C0138">
      <w:pPr>
        <w:spacing w:line="276" w:lineRule="auto"/>
        <w:rPr>
          <w:rFonts w:ascii="Times New Roman" w:hAnsi="Times New Roman"/>
          <w:sz w:val="20"/>
          <w:szCs w:val="20"/>
          <w:lang w:val="bs-Latn-BA"/>
        </w:rPr>
      </w:pPr>
    </w:p>
    <w:p w:rsidR="00A131AD" w:rsidRPr="00081B73" w:rsidRDefault="00A131AD" w:rsidP="00677033">
      <w:pPr>
        <w:pStyle w:val="refererere"/>
        <w:rPr>
          <w:lang w:val="bs-Latn-BA"/>
        </w:rPr>
      </w:pPr>
      <w:r w:rsidRPr="00081B73">
        <w:rPr>
          <w:lang w:val="bs-Latn-BA"/>
        </w:rPr>
        <w:t>Tabl</w:t>
      </w:r>
      <w:r w:rsidR="00606974">
        <w:rPr>
          <w:lang w:val="bs-Latn-BA"/>
        </w:rPr>
        <w:t>ic</w:t>
      </w:r>
      <w:r w:rsidRPr="00081B73">
        <w:rPr>
          <w:lang w:val="bs-Latn-BA"/>
        </w:rPr>
        <w:t>a 3: Vodeći uzroci smrti  za 2010</w:t>
      </w:r>
      <w:r w:rsidR="00606974">
        <w:rPr>
          <w:lang w:val="bs-Latn-BA"/>
        </w:rPr>
        <w:t>.</w:t>
      </w:r>
      <w:r w:rsidRPr="00081B73">
        <w:rPr>
          <w:lang w:val="bs-Latn-BA"/>
        </w:rPr>
        <w:t xml:space="preserve"> i 2015. godinu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89"/>
        <w:gridCol w:w="2313"/>
        <w:gridCol w:w="726"/>
        <w:gridCol w:w="833"/>
        <w:gridCol w:w="607"/>
        <w:gridCol w:w="2370"/>
        <w:gridCol w:w="708"/>
        <w:gridCol w:w="810"/>
      </w:tblGrid>
      <w:tr w:rsidR="00A131AD" w:rsidRPr="00081B73" w:rsidTr="001911A6">
        <w:trPr>
          <w:trHeight w:val="405"/>
        </w:trPr>
        <w:tc>
          <w:tcPr>
            <w:tcW w:w="4361" w:type="dxa"/>
            <w:gridSpan w:val="4"/>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2010.</w:t>
            </w:r>
          </w:p>
        </w:tc>
        <w:tc>
          <w:tcPr>
            <w:tcW w:w="4495" w:type="dxa"/>
            <w:gridSpan w:val="4"/>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2015.</w:t>
            </w:r>
          </w:p>
        </w:tc>
      </w:tr>
      <w:tr w:rsidR="00A131AD" w:rsidRPr="00081B73" w:rsidTr="001911A6">
        <w:trPr>
          <w:trHeight w:val="345"/>
        </w:trPr>
        <w:tc>
          <w:tcPr>
            <w:tcW w:w="489" w:type="dxa"/>
            <w:shd w:val="clear" w:color="auto" w:fill="FFFF00"/>
            <w:vAlign w:val="center"/>
          </w:tcPr>
          <w:p w:rsidR="00A131AD" w:rsidRPr="00081B73" w:rsidRDefault="00A131AD" w:rsidP="000C0138">
            <w:pPr>
              <w:spacing w:line="276" w:lineRule="auto"/>
              <w:ind w:right="-108"/>
              <w:jc w:val="center"/>
              <w:rPr>
                <w:rFonts w:ascii="Times New Roman" w:hAnsi="Times New Roman"/>
                <w:bCs/>
                <w:sz w:val="20"/>
                <w:szCs w:val="20"/>
                <w:lang w:val="bs-Latn-BA"/>
              </w:rPr>
            </w:pPr>
            <w:r w:rsidRPr="00081B73">
              <w:rPr>
                <w:rFonts w:ascii="Times New Roman" w:hAnsi="Times New Roman"/>
                <w:bCs/>
                <w:sz w:val="20"/>
                <w:szCs w:val="20"/>
                <w:lang w:val="bs-Latn-BA"/>
              </w:rPr>
              <w:t>Rang</w:t>
            </w:r>
          </w:p>
        </w:tc>
        <w:tc>
          <w:tcPr>
            <w:tcW w:w="2313"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Oboljenje</w:t>
            </w:r>
          </w:p>
        </w:tc>
        <w:tc>
          <w:tcPr>
            <w:tcW w:w="726"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Broj umrlih</w:t>
            </w:r>
          </w:p>
        </w:tc>
        <w:tc>
          <w:tcPr>
            <w:tcW w:w="833"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Indeks strukture (%)</w:t>
            </w:r>
          </w:p>
        </w:tc>
        <w:tc>
          <w:tcPr>
            <w:tcW w:w="607" w:type="dxa"/>
            <w:shd w:val="clear" w:color="auto" w:fill="FFFF00"/>
            <w:vAlign w:val="center"/>
          </w:tcPr>
          <w:p w:rsidR="00A131AD" w:rsidRPr="00081B73" w:rsidRDefault="00A131AD" w:rsidP="000C0138">
            <w:pPr>
              <w:spacing w:line="276" w:lineRule="auto"/>
              <w:ind w:right="-108"/>
              <w:rPr>
                <w:rFonts w:ascii="Times New Roman" w:hAnsi="Times New Roman"/>
                <w:bCs/>
                <w:sz w:val="20"/>
                <w:szCs w:val="20"/>
                <w:lang w:val="bs-Latn-BA"/>
              </w:rPr>
            </w:pPr>
            <w:r w:rsidRPr="00081B73">
              <w:rPr>
                <w:rFonts w:ascii="Times New Roman" w:hAnsi="Times New Roman"/>
                <w:bCs/>
                <w:sz w:val="20"/>
                <w:szCs w:val="20"/>
                <w:lang w:val="bs-Latn-BA"/>
              </w:rPr>
              <w:t>Rang</w:t>
            </w:r>
          </w:p>
        </w:tc>
        <w:tc>
          <w:tcPr>
            <w:tcW w:w="2370"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Oboljenje</w:t>
            </w:r>
          </w:p>
        </w:tc>
        <w:tc>
          <w:tcPr>
            <w:tcW w:w="708"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Broj umrlih</w:t>
            </w:r>
          </w:p>
        </w:tc>
        <w:tc>
          <w:tcPr>
            <w:tcW w:w="810"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Indeks strukture (%)</w:t>
            </w:r>
          </w:p>
        </w:tc>
      </w:tr>
      <w:tr w:rsidR="00A131AD" w:rsidRPr="00081B73" w:rsidTr="001911A6">
        <w:tc>
          <w:tcPr>
            <w:tcW w:w="489"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1</w:t>
            </w:r>
          </w:p>
        </w:tc>
        <w:tc>
          <w:tcPr>
            <w:tcW w:w="2313"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 xml:space="preserve">Srčani zastoj </w:t>
            </w:r>
            <w:r w:rsidRPr="00081B73">
              <w:rPr>
                <w:rFonts w:ascii="Times New Roman" w:hAnsi="Times New Roman"/>
                <w:sz w:val="20"/>
                <w:szCs w:val="20"/>
              </w:rPr>
              <w:t>( I46)</w:t>
            </w:r>
          </w:p>
        </w:tc>
        <w:tc>
          <w:tcPr>
            <w:tcW w:w="726"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187</w:t>
            </w:r>
          </w:p>
        </w:tc>
        <w:tc>
          <w:tcPr>
            <w:tcW w:w="833"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24,3</w:t>
            </w:r>
          </w:p>
        </w:tc>
        <w:tc>
          <w:tcPr>
            <w:tcW w:w="607"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1</w:t>
            </w:r>
          </w:p>
        </w:tc>
        <w:tc>
          <w:tcPr>
            <w:tcW w:w="2370"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Akutni infrakt miokarda (I21)</w:t>
            </w:r>
          </w:p>
        </w:tc>
        <w:tc>
          <w:tcPr>
            <w:tcW w:w="708"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256</w:t>
            </w:r>
          </w:p>
        </w:tc>
        <w:tc>
          <w:tcPr>
            <w:tcW w:w="810"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28,6</w:t>
            </w:r>
          </w:p>
        </w:tc>
      </w:tr>
      <w:tr w:rsidR="00A131AD" w:rsidRPr="00081B73" w:rsidTr="001911A6">
        <w:tc>
          <w:tcPr>
            <w:tcW w:w="489"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2</w:t>
            </w:r>
          </w:p>
        </w:tc>
        <w:tc>
          <w:tcPr>
            <w:tcW w:w="2313"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 xml:space="preserve">Akutni infarkt miokarda </w:t>
            </w:r>
            <w:r w:rsidRPr="00081B73">
              <w:rPr>
                <w:rFonts w:ascii="Times New Roman" w:hAnsi="Times New Roman"/>
                <w:sz w:val="20"/>
                <w:szCs w:val="20"/>
              </w:rPr>
              <w:t>( I21)</w:t>
            </w:r>
          </w:p>
        </w:tc>
        <w:tc>
          <w:tcPr>
            <w:tcW w:w="726"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83</w:t>
            </w:r>
          </w:p>
        </w:tc>
        <w:tc>
          <w:tcPr>
            <w:tcW w:w="833" w:type="dxa"/>
          </w:tcPr>
          <w:p w:rsidR="00A131AD" w:rsidRPr="00081B73" w:rsidRDefault="00A131AD" w:rsidP="000C0138">
            <w:pPr>
              <w:tabs>
                <w:tab w:val="left" w:pos="315"/>
              </w:tabs>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10,8</w:t>
            </w:r>
          </w:p>
        </w:tc>
        <w:tc>
          <w:tcPr>
            <w:tcW w:w="607"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2</w:t>
            </w:r>
          </w:p>
        </w:tc>
        <w:tc>
          <w:tcPr>
            <w:tcW w:w="2370"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Srčani zastoj (I46)</w:t>
            </w:r>
          </w:p>
        </w:tc>
        <w:tc>
          <w:tcPr>
            <w:tcW w:w="708"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77</w:t>
            </w:r>
          </w:p>
        </w:tc>
        <w:tc>
          <w:tcPr>
            <w:tcW w:w="810"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8,6</w:t>
            </w:r>
          </w:p>
        </w:tc>
      </w:tr>
      <w:tr w:rsidR="00A131AD" w:rsidRPr="00081B73" w:rsidTr="001911A6">
        <w:tc>
          <w:tcPr>
            <w:tcW w:w="489"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3</w:t>
            </w:r>
          </w:p>
        </w:tc>
        <w:tc>
          <w:tcPr>
            <w:tcW w:w="2313"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rPr>
              <w:t>Moždani udar ( I63)</w:t>
            </w:r>
          </w:p>
        </w:tc>
        <w:tc>
          <w:tcPr>
            <w:tcW w:w="726"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55</w:t>
            </w:r>
          </w:p>
        </w:tc>
        <w:tc>
          <w:tcPr>
            <w:tcW w:w="833"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7,1</w:t>
            </w:r>
          </w:p>
        </w:tc>
        <w:tc>
          <w:tcPr>
            <w:tcW w:w="607"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3</w:t>
            </w:r>
          </w:p>
        </w:tc>
        <w:tc>
          <w:tcPr>
            <w:tcW w:w="2370"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en-US"/>
              </w:rPr>
              <w:t>Maligne neoplazme bronha i pluća (C34)</w:t>
            </w:r>
          </w:p>
        </w:tc>
        <w:tc>
          <w:tcPr>
            <w:tcW w:w="708"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46</w:t>
            </w:r>
          </w:p>
        </w:tc>
        <w:tc>
          <w:tcPr>
            <w:tcW w:w="810"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5,1</w:t>
            </w:r>
          </w:p>
        </w:tc>
      </w:tr>
      <w:tr w:rsidR="00A131AD" w:rsidRPr="00081B73" w:rsidTr="001911A6">
        <w:tc>
          <w:tcPr>
            <w:tcW w:w="489"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4</w:t>
            </w:r>
          </w:p>
        </w:tc>
        <w:tc>
          <w:tcPr>
            <w:tcW w:w="2313"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Srčana slabost (I50)</w:t>
            </w:r>
          </w:p>
        </w:tc>
        <w:tc>
          <w:tcPr>
            <w:tcW w:w="726"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45</w:t>
            </w:r>
          </w:p>
        </w:tc>
        <w:tc>
          <w:tcPr>
            <w:tcW w:w="833"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5,8</w:t>
            </w:r>
          </w:p>
        </w:tc>
        <w:tc>
          <w:tcPr>
            <w:tcW w:w="607"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4</w:t>
            </w:r>
          </w:p>
        </w:tc>
        <w:tc>
          <w:tcPr>
            <w:tcW w:w="2370"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Moždani udar (I63)</w:t>
            </w:r>
          </w:p>
        </w:tc>
        <w:tc>
          <w:tcPr>
            <w:tcW w:w="708"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37</w:t>
            </w:r>
          </w:p>
        </w:tc>
        <w:tc>
          <w:tcPr>
            <w:tcW w:w="810"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4,1</w:t>
            </w:r>
          </w:p>
        </w:tc>
      </w:tr>
      <w:tr w:rsidR="00A131AD" w:rsidRPr="00081B73" w:rsidTr="001911A6">
        <w:tc>
          <w:tcPr>
            <w:tcW w:w="489"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5</w:t>
            </w:r>
          </w:p>
        </w:tc>
        <w:tc>
          <w:tcPr>
            <w:tcW w:w="2313"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Druga plućna oboljenja srca (I27)</w:t>
            </w:r>
          </w:p>
        </w:tc>
        <w:tc>
          <w:tcPr>
            <w:tcW w:w="726"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36</w:t>
            </w:r>
          </w:p>
        </w:tc>
        <w:tc>
          <w:tcPr>
            <w:tcW w:w="833"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4,7</w:t>
            </w:r>
          </w:p>
        </w:tc>
        <w:tc>
          <w:tcPr>
            <w:tcW w:w="607"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5</w:t>
            </w:r>
          </w:p>
        </w:tc>
        <w:tc>
          <w:tcPr>
            <w:tcW w:w="2370" w:type="dxa"/>
            <w:vAlign w:val="bottom"/>
          </w:tcPr>
          <w:p w:rsidR="00A131AD" w:rsidRPr="00081B73" w:rsidRDefault="00A131AD" w:rsidP="000C0138">
            <w:pPr>
              <w:spacing w:line="276" w:lineRule="auto"/>
              <w:jc w:val="left"/>
              <w:rPr>
                <w:rFonts w:ascii="Times New Roman" w:hAnsi="Times New Roman"/>
                <w:sz w:val="20"/>
                <w:szCs w:val="20"/>
                <w:lang w:val="en-US"/>
              </w:rPr>
            </w:pPr>
            <w:r w:rsidRPr="00081B73">
              <w:rPr>
                <w:rFonts w:ascii="Times New Roman" w:hAnsi="Times New Roman"/>
                <w:sz w:val="20"/>
                <w:szCs w:val="20"/>
                <w:lang w:val="en-US"/>
              </w:rPr>
              <w:t>Esencijalna hipertenzija (I10)</w:t>
            </w:r>
          </w:p>
        </w:tc>
        <w:tc>
          <w:tcPr>
            <w:tcW w:w="708"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36</w:t>
            </w:r>
          </w:p>
        </w:tc>
        <w:tc>
          <w:tcPr>
            <w:tcW w:w="810"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4,0</w:t>
            </w:r>
          </w:p>
        </w:tc>
      </w:tr>
      <w:tr w:rsidR="00A131AD" w:rsidRPr="00081B73" w:rsidTr="001911A6">
        <w:tc>
          <w:tcPr>
            <w:tcW w:w="489" w:type="dxa"/>
          </w:tcPr>
          <w:p w:rsidR="00A131AD" w:rsidRPr="00081B73" w:rsidRDefault="00A131AD" w:rsidP="000C0138">
            <w:pPr>
              <w:spacing w:line="276" w:lineRule="auto"/>
              <w:ind w:right="-108"/>
              <w:jc w:val="center"/>
              <w:rPr>
                <w:rFonts w:ascii="Times New Roman" w:hAnsi="Times New Roman"/>
                <w:sz w:val="20"/>
                <w:szCs w:val="20"/>
                <w:lang w:val="bs-Latn-BA"/>
              </w:rPr>
            </w:pPr>
          </w:p>
        </w:tc>
        <w:tc>
          <w:tcPr>
            <w:tcW w:w="2313"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Ostali uzroci smrti</w:t>
            </w:r>
          </w:p>
        </w:tc>
        <w:tc>
          <w:tcPr>
            <w:tcW w:w="726"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364</w:t>
            </w:r>
          </w:p>
        </w:tc>
        <w:tc>
          <w:tcPr>
            <w:tcW w:w="833" w:type="dxa"/>
          </w:tcPr>
          <w:p w:rsidR="00A131AD" w:rsidRPr="00081B73" w:rsidRDefault="00A131AD" w:rsidP="000C0138">
            <w:pPr>
              <w:tabs>
                <w:tab w:val="left" w:pos="220"/>
              </w:tabs>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47,3</w:t>
            </w:r>
          </w:p>
        </w:tc>
        <w:tc>
          <w:tcPr>
            <w:tcW w:w="607" w:type="dxa"/>
          </w:tcPr>
          <w:p w:rsidR="00A131AD" w:rsidRPr="00081B73" w:rsidRDefault="00A131AD" w:rsidP="000C0138">
            <w:pPr>
              <w:spacing w:line="276" w:lineRule="auto"/>
              <w:ind w:right="-108"/>
              <w:jc w:val="center"/>
              <w:rPr>
                <w:rFonts w:ascii="Times New Roman" w:hAnsi="Times New Roman"/>
                <w:sz w:val="20"/>
                <w:szCs w:val="20"/>
                <w:lang w:val="bs-Latn-BA"/>
              </w:rPr>
            </w:pPr>
          </w:p>
        </w:tc>
        <w:tc>
          <w:tcPr>
            <w:tcW w:w="2370"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Ostali uzroci smrti</w:t>
            </w:r>
          </w:p>
        </w:tc>
        <w:tc>
          <w:tcPr>
            <w:tcW w:w="708"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443</w:t>
            </w:r>
          </w:p>
        </w:tc>
        <w:tc>
          <w:tcPr>
            <w:tcW w:w="810"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49,5</w:t>
            </w:r>
          </w:p>
        </w:tc>
      </w:tr>
      <w:tr w:rsidR="00A131AD" w:rsidRPr="00081B73" w:rsidTr="001911A6">
        <w:tc>
          <w:tcPr>
            <w:tcW w:w="489" w:type="dxa"/>
          </w:tcPr>
          <w:p w:rsidR="00A131AD" w:rsidRPr="00081B73" w:rsidRDefault="00A131AD" w:rsidP="000C0138">
            <w:pPr>
              <w:spacing w:line="276" w:lineRule="auto"/>
              <w:ind w:right="-108"/>
              <w:jc w:val="center"/>
              <w:rPr>
                <w:rFonts w:ascii="Times New Roman" w:hAnsi="Times New Roman"/>
                <w:sz w:val="20"/>
                <w:szCs w:val="20"/>
                <w:lang w:val="bs-Latn-BA"/>
              </w:rPr>
            </w:pPr>
          </w:p>
        </w:tc>
        <w:tc>
          <w:tcPr>
            <w:tcW w:w="2313"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Ukupno umrlih</w:t>
            </w:r>
          </w:p>
        </w:tc>
        <w:tc>
          <w:tcPr>
            <w:tcW w:w="726"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770</w:t>
            </w:r>
          </w:p>
        </w:tc>
        <w:tc>
          <w:tcPr>
            <w:tcW w:w="833"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100%</w:t>
            </w:r>
          </w:p>
        </w:tc>
        <w:tc>
          <w:tcPr>
            <w:tcW w:w="607" w:type="dxa"/>
          </w:tcPr>
          <w:p w:rsidR="00A131AD" w:rsidRPr="00081B73" w:rsidRDefault="00A131AD" w:rsidP="000C0138">
            <w:pPr>
              <w:spacing w:line="276" w:lineRule="auto"/>
              <w:ind w:right="-108"/>
              <w:jc w:val="center"/>
              <w:rPr>
                <w:rFonts w:ascii="Times New Roman" w:hAnsi="Times New Roman"/>
                <w:sz w:val="20"/>
                <w:szCs w:val="20"/>
                <w:lang w:val="bs-Latn-BA"/>
              </w:rPr>
            </w:pPr>
          </w:p>
        </w:tc>
        <w:tc>
          <w:tcPr>
            <w:tcW w:w="2370"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Ukupno umrlih</w:t>
            </w:r>
          </w:p>
        </w:tc>
        <w:tc>
          <w:tcPr>
            <w:tcW w:w="708"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895</w:t>
            </w:r>
          </w:p>
        </w:tc>
        <w:tc>
          <w:tcPr>
            <w:tcW w:w="810"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100%</w:t>
            </w:r>
          </w:p>
        </w:tc>
      </w:tr>
    </w:tbl>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 Poda</w:t>
      </w:r>
      <w:r w:rsidR="00606974">
        <w:rPr>
          <w:rFonts w:ascii="Times New Roman" w:hAnsi="Times New Roman"/>
          <w:sz w:val="20"/>
          <w:szCs w:val="20"/>
          <w:lang w:val="bs-Latn-BA"/>
        </w:rPr>
        <w:t>t</w:t>
      </w:r>
      <w:r w:rsidRPr="00081B73">
        <w:rPr>
          <w:rFonts w:ascii="Times New Roman" w:hAnsi="Times New Roman"/>
          <w:sz w:val="20"/>
          <w:szCs w:val="20"/>
          <w:lang w:val="bs-Latn-BA"/>
        </w:rPr>
        <w:t>ci Federalnog zavoda za statistiku-obrada uzroka smrti FBiH 2015. god.</w:t>
      </w:r>
    </w:p>
    <w:p w:rsidR="00677033" w:rsidRPr="00081B73" w:rsidRDefault="00677033" w:rsidP="000C0138">
      <w:pPr>
        <w:pStyle w:val="Footer"/>
        <w:spacing w:line="276" w:lineRule="auto"/>
        <w:rPr>
          <w:rFonts w:ascii="Times New Roman" w:hAnsi="Times New Roman"/>
          <w:sz w:val="20"/>
          <w:szCs w:val="20"/>
          <w:lang w:val="bs-Latn-BA"/>
        </w:rPr>
      </w:pPr>
    </w:p>
    <w:p w:rsidR="00677033" w:rsidRPr="00081B73" w:rsidRDefault="00677033" w:rsidP="000C0138">
      <w:pPr>
        <w:pStyle w:val="Footer"/>
        <w:spacing w:line="276" w:lineRule="auto"/>
        <w:rPr>
          <w:rFonts w:ascii="Times New Roman" w:hAnsi="Times New Roman"/>
          <w:sz w:val="20"/>
          <w:szCs w:val="20"/>
          <w:lang w:val="bs-Latn-BA"/>
        </w:rPr>
      </w:pPr>
    </w:p>
    <w:p w:rsidR="00677033" w:rsidRPr="00081B73" w:rsidRDefault="00677033" w:rsidP="000C0138">
      <w:pPr>
        <w:pStyle w:val="Footer"/>
        <w:spacing w:line="276" w:lineRule="auto"/>
        <w:rPr>
          <w:rFonts w:ascii="Times New Roman" w:hAnsi="Times New Roman"/>
          <w:sz w:val="20"/>
          <w:szCs w:val="20"/>
          <w:lang w:val="bs-Latn-BA"/>
        </w:rPr>
      </w:pPr>
    </w:p>
    <w:p w:rsidR="00677033" w:rsidRPr="00081B73" w:rsidRDefault="00677033" w:rsidP="000C0138">
      <w:pPr>
        <w:pStyle w:val="Footer"/>
        <w:spacing w:line="276" w:lineRule="auto"/>
        <w:rPr>
          <w:rFonts w:ascii="Times New Roman" w:hAnsi="Times New Roman"/>
          <w:sz w:val="20"/>
          <w:szCs w:val="20"/>
          <w:lang w:val="bs-Latn-BA"/>
        </w:rPr>
      </w:pPr>
    </w:p>
    <w:p w:rsidR="00677033" w:rsidRPr="00081B73" w:rsidRDefault="00677033" w:rsidP="000C0138">
      <w:pPr>
        <w:pStyle w:val="Footer"/>
        <w:spacing w:line="276" w:lineRule="auto"/>
        <w:rPr>
          <w:rFonts w:ascii="Times New Roman" w:hAnsi="Times New Roman"/>
          <w:sz w:val="20"/>
          <w:szCs w:val="20"/>
          <w:lang w:val="bs-Latn-BA"/>
        </w:rPr>
      </w:pPr>
    </w:p>
    <w:p w:rsidR="00677033" w:rsidRPr="00081B73" w:rsidRDefault="00677033" w:rsidP="000C0138">
      <w:pPr>
        <w:pStyle w:val="Footer"/>
        <w:spacing w:line="276" w:lineRule="auto"/>
        <w:rPr>
          <w:rFonts w:ascii="Times New Roman" w:hAnsi="Times New Roman"/>
          <w:sz w:val="20"/>
          <w:szCs w:val="20"/>
          <w:lang w:val="bs-Latn-BA"/>
        </w:rPr>
      </w:pPr>
    </w:p>
    <w:p w:rsidR="00081B73" w:rsidRDefault="00081B73">
      <w:pPr>
        <w:spacing w:after="160" w:line="259" w:lineRule="auto"/>
        <w:jc w:val="left"/>
        <w:rPr>
          <w:rFonts w:ascii="Times New Roman" w:hAnsi="Times New Roman"/>
          <w:sz w:val="20"/>
          <w:szCs w:val="20"/>
          <w:lang w:val="bs-Latn-BA"/>
        </w:rPr>
      </w:pPr>
      <w:r>
        <w:rPr>
          <w:lang w:val="bs-Latn-BA"/>
        </w:rPr>
        <w:br w:type="page"/>
      </w:r>
    </w:p>
    <w:p w:rsidR="00677033" w:rsidRPr="00081B73" w:rsidRDefault="00A131AD" w:rsidP="00677033">
      <w:pPr>
        <w:pStyle w:val="refererere"/>
        <w:rPr>
          <w:lang w:val="bs-Latn-BA"/>
        </w:rPr>
      </w:pPr>
      <w:r w:rsidRPr="00081B73">
        <w:rPr>
          <w:lang w:val="bs-Latn-BA"/>
        </w:rPr>
        <w:lastRenderedPageBreak/>
        <w:t>Tabl</w:t>
      </w:r>
      <w:r w:rsidR="00606974">
        <w:rPr>
          <w:lang w:val="bs-Latn-BA"/>
        </w:rPr>
        <w:t>ic</w:t>
      </w:r>
      <w:r w:rsidRPr="00081B73">
        <w:rPr>
          <w:lang w:val="bs-Latn-BA"/>
        </w:rPr>
        <w:t>a 4: Vodeća zarazna oboljenja za 2010</w:t>
      </w:r>
      <w:r w:rsidR="00606974">
        <w:rPr>
          <w:lang w:val="bs-Latn-BA"/>
        </w:rPr>
        <w:t>.</w:t>
      </w:r>
      <w:r w:rsidRPr="00081B73">
        <w:rPr>
          <w:lang w:val="bs-Latn-BA"/>
        </w:rPr>
        <w:t xml:space="preserve"> i 2015. godinu</w:t>
      </w:r>
    </w:p>
    <w:tbl>
      <w:tblPr>
        <w:tblW w:w="92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8"/>
        <w:gridCol w:w="1800"/>
        <w:gridCol w:w="1260"/>
        <w:gridCol w:w="1015"/>
        <w:gridCol w:w="540"/>
        <w:gridCol w:w="1800"/>
        <w:gridCol w:w="1260"/>
        <w:gridCol w:w="1129"/>
      </w:tblGrid>
      <w:tr w:rsidR="00A131AD" w:rsidRPr="00081B73" w:rsidTr="001911A6">
        <w:trPr>
          <w:trHeight w:val="476"/>
          <w:jc w:val="center"/>
        </w:trPr>
        <w:tc>
          <w:tcPr>
            <w:tcW w:w="4543" w:type="dxa"/>
            <w:gridSpan w:val="4"/>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2010.</w:t>
            </w:r>
          </w:p>
        </w:tc>
        <w:tc>
          <w:tcPr>
            <w:tcW w:w="4729" w:type="dxa"/>
            <w:gridSpan w:val="4"/>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2015.</w:t>
            </w:r>
          </w:p>
        </w:tc>
      </w:tr>
      <w:tr w:rsidR="00A131AD" w:rsidRPr="00081B73" w:rsidTr="001911A6">
        <w:trPr>
          <w:cantSplit/>
          <w:trHeight w:val="516"/>
          <w:jc w:val="center"/>
        </w:trPr>
        <w:tc>
          <w:tcPr>
            <w:tcW w:w="468" w:type="dxa"/>
            <w:shd w:val="clear" w:color="auto" w:fill="FFFF00"/>
            <w:textDirection w:val="btLr"/>
          </w:tcPr>
          <w:p w:rsidR="00A131AD" w:rsidRPr="00081B73" w:rsidRDefault="00A131AD" w:rsidP="000C0138">
            <w:pPr>
              <w:autoSpaceDE w:val="0"/>
              <w:autoSpaceDN w:val="0"/>
              <w:adjustRightInd w:val="0"/>
              <w:spacing w:line="276" w:lineRule="auto"/>
              <w:ind w:left="113" w:right="113"/>
              <w:rPr>
                <w:rFonts w:ascii="Times New Roman" w:hAnsi="Times New Roman"/>
                <w:color w:val="000000"/>
                <w:sz w:val="20"/>
                <w:szCs w:val="20"/>
                <w:lang w:val="bs-Latn-BA"/>
              </w:rPr>
            </w:pPr>
            <w:r w:rsidRPr="00081B73">
              <w:rPr>
                <w:rFonts w:ascii="Times New Roman" w:hAnsi="Times New Roman"/>
                <w:color w:val="000000"/>
                <w:sz w:val="20"/>
                <w:szCs w:val="20"/>
                <w:lang w:val="bs-Latn-BA"/>
              </w:rPr>
              <w:t>Rang</w:t>
            </w:r>
          </w:p>
        </w:tc>
        <w:tc>
          <w:tcPr>
            <w:tcW w:w="1800"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Bolest / stanje</w:t>
            </w:r>
          </w:p>
        </w:tc>
        <w:tc>
          <w:tcPr>
            <w:tcW w:w="1260"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sz w:val="20"/>
                <w:szCs w:val="20"/>
                <w:lang w:val="bs-Latn-BA"/>
              </w:rPr>
              <w:t>Broj registriranih</w:t>
            </w:r>
          </w:p>
        </w:tc>
        <w:tc>
          <w:tcPr>
            <w:tcW w:w="1015"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Mb/</w:t>
            </w:r>
          </w:p>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100000</w:t>
            </w:r>
          </w:p>
        </w:tc>
        <w:tc>
          <w:tcPr>
            <w:tcW w:w="540" w:type="dxa"/>
            <w:shd w:val="clear" w:color="auto" w:fill="FFFF00"/>
            <w:textDirection w:val="btLr"/>
          </w:tcPr>
          <w:p w:rsidR="00A131AD" w:rsidRPr="00081B73" w:rsidRDefault="00A131AD" w:rsidP="000C0138">
            <w:pPr>
              <w:autoSpaceDE w:val="0"/>
              <w:autoSpaceDN w:val="0"/>
              <w:adjustRightInd w:val="0"/>
              <w:spacing w:line="276" w:lineRule="auto"/>
              <w:ind w:left="113" w:right="113"/>
              <w:rPr>
                <w:rFonts w:ascii="Times New Roman" w:hAnsi="Times New Roman"/>
                <w:color w:val="000000"/>
                <w:sz w:val="20"/>
                <w:szCs w:val="20"/>
                <w:lang w:val="bs-Latn-BA"/>
              </w:rPr>
            </w:pPr>
            <w:r w:rsidRPr="00081B73">
              <w:rPr>
                <w:rFonts w:ascii="Times New Roman" w:hAnsi="Times New Roman"/>
                <w:color w:val="000000"/>
                <w:sz w:val="20"/>
                <w:szCs w:val="20"/>
                <w:lang w:val="bs-Latn-BA"/>
              </w:rPr>
              <w:t>Rang</w:t>
            </w:r>
          </w:p>
        </w:tc>
        <w:tc>
          <w:tcPr>
            <w:tcW w:w="1800"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Bolest / stanje</w:t>
            </w:r>
          </w:p>
        </w:tc>
        <w:tc>
          <w:tcPr>
            <w:tcW w:w="1260"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sz w:val="20"/>
                <w:szCs w:val="20"/>
                <w:lang w:val="bs-Latn-BA"/>
              </w:rPr>
              <w:t>Broj registriranih</w:t>
            </w:r>
          </w:p>
        </w:tc>
        <w:tc>
          <w:tcPr>
            <w:tcW w:w="1129"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Mb/</w:t>
            </w:r>
          </w:p>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100000</w:t>
            </w:r>
          </w:p>
        </w:tc>
      </w:tr>
      <w:tr w:rsidR="00A131AD" w:rsidRPr="00081B73" w:rsidTr="001911A6">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1</w:t>
            </w:r>
          </w:p>
        </w:tc>
        <w:tc>
          <w:tcPr>
            <w:tcW w:w="1800"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Varicellae</w:t>
            </w:r>
          </w:p>
        </w:tc>
        <w:tc>
          <w:tcPr>
            <w:tcW w:w="1260"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91</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111,75</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w:t>
            </w:r>
          </w:p>
        </w:tc>
        <w:tc>
          <w:tcPr>
            <w:tcW w:w="1800"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Ili/gripa</w:t>
            </w:r>
          </w:p>
        </w:tc>
        <w:tc>
          <w:tcPr>
            <w:tcW w:w="1260"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3730</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4587,44</w:t>
            </w:r>
          </w:p>
        </w:tc>
      </w:tr>
      <w:tr w:rsidR="00A131AD" w:rsidRPr="00081B73" w:rsidTr="001911A6">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2</w:t>
            </w:r>
          </w:p>
        </w:tc>
        <w:tc>
          <w:tcPr>
            <w:tcW w:w="1800"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Enterocol.ac.</w:t>
            </w:r>
          </w:p>
        </w:tc>
        <w:tc>
          <w:tcPr>
            <w:tcW w:w="1260"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19</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23,33</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2</w:t>
            </w:r>
          </w:p>
        </w:tc>
        <w:tc>
          <w:tcPr>
            <w:tcW w:w="1800"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Varicellae</w:t>
            </w:r>
          </w:p>
        </w:tc>
        <w:tc>
          <w:tcPr>
            <w:tcW w:w="1260"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77</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94,70</w:t>
            </w:r>
          </w:p>
        </w:tc>
      </w:tr>
      <w:tr w:rsidR="00A131AD" w:rsidRPr="00081B73" w:rsidTr="001911A6">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3</w:t>
            </w:r>
          </w:p>
        </w:tc>
        <w:tc>
          <w:tcPr>
            <w:tcW w:w="1800"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TBC activa resp.</w:t>
            </w:r>
          </w:p>
        </w:tc>
        <w:tc>
          <w:tcPr>
            <w:tcW w:w="1260"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13</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15,96</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3</w:t>
            </w:r>
          </w:p>
        </w:tc>
        <w:tc>
          <w:tcPr>
            <w:tcW w:w="1800"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Scabies</w:t>
            </w:r>
          </w:p>
        </w:tc>
        <w:tc>
          <w:tcPr>
            <w:tcW w:w="1260"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19</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23,37</w:t>
            </w:r>
          </w:p>
        </w:tc>
      </w:tr>
      <w:tr w:rsidR="00A131AD" w:rsidRPr="00081B73" w:rsidTr="001911A6">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4</w:t>
            </w:r>
          </w:p>
        </w:tc>
        <w:tc>
          <w:tcPr>
            <w:tcW w:w="1800"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Influenza</w:t>
            </w:r>
          </w:p>
        </w:tc>
        <w:tc>
          <w:tcPr>
            <w:tcW w:w="1260"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10</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12,28</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4</w:t>
            </w:r>
          </w:p>
        </w:tc>
        <w:tc>
          <w:tcPr>
            <w:tcW w:w="1800"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sz w:val="20"/>
                <w:szCs w:val="20"/>
              </w:rPr>
              <w:t>Enterocol.ac.</w:t>
            </w:r>
          </w:p>
        </w:tc>
        <w:tc>
          <w:tcPr>
            <w:tcW w:w="1260"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17</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20,91</w:t>
            </w:r>
          </w:p>
        </w:tc>
      </w:tr>
      <w:tr w:rsidR="00A131AD" w:rsidRPr="00081B73" w:rsidTr="001911A6">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5</w:t>
            </w:r>
          </w:p>
        </w:tc>
        <w:tc>
          <w:tcPr>
            <w:tcW w:w="1800"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Mononucleoz. inf.</w:t>
            </w:r>
          </w:p>
        </w:tc>
        <w:tc>
          <w:tcPr>
            <w:tcW w:w="1260"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10</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12,28</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5</w:t>
            </w:r>
          </w:p>
        </w:tc>
        <w:tc>
          <w:tcPr>
            <w:tcW w:w="1800"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Scarlatina</w:t>
            </w:r>
          </w:p>
        </w:tc>
        <w:tc>
          <w:tcPr>
            <w:tcW w:w="1260"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15</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18,45</w:t>
            </w:r>
          </w:p>
        </w:tc>
      </w:tr>
      <w:tr w:rsidR="00A131AD" w:rsidRPr="00081B73" w:rsidTr="001911A6">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p>
        </w:tc>
        <w:tc>
          <w:tcPr>
            <w:tcW w:w="1800"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Ukupno 5 vodećih</w:t>
            </w:r>
          </w:p>
        </w:tc>
        <w:tc>
          <w:tcPr>
            <w:tcW w:w="1260"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143</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175,60</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p>
        </w:tc>
        <w:tc>
          <w:tcPr>
            <w:tcW w:w="1800"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Ukupno 5 vodećih</w:t>
            </w:r>
          </w:p>
        </w:tc>
        <w:tc>
          <w:tcPr>
            <w:tcW w:w="1260"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3858</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4744,9</w:t>
            </w:r>
          </w:p>
        </w:tc>
      </w:tr>
      <w:tr w:rsidR="00A131AD" w:rsidRPr="00081B73" w:rsidTr="001911A6">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p>
        </w:tc>
        <w:tc>
          <w:tcPr>
            <w:tcW w:w="1800"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Sveukupno</w:t>
            </w:r>
          </w:p>
        </w:tc>
        <w:tc>
          <w:tcPr>
            <w:tcW w:w="1260"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183</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224,82</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p>
        </w:tc>
        <w:tc>
          <w:tcPr>
            <w:tcW w:w="1800"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Ukupno prijavljeno</w:t>
            </w:r>
          </w:p>
        </w:tc>
        <w:tc>
          <w:tcPr>
            <w:tcW w:w="1260"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3911</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4810,05</w:t>
            </w:r>
          </w:p>
        </w:tc>
      </w:tr>
    </w:tbl>
    <w:p w:rsidR="00677033" w:rsidRPr="00081B73" w:rsidRDefault="00677033" w:rsidP="000C0138">
      <w:pPr>
        <w:spacing w:line="276" w:lineRule="auto"/>
        <w:rPr>
          <w:rFonts w:ascii="Times New Roman" w:hAnsi="Times New Roman"/>
          <w:sz w:val="20"/>
          <w:szCs w:val="20"/>
          <w:lang w:val="bs-Latn-BA"/>
        </w:rPr>
      </w:pPr>
    </w:p>
    <w:p w:rsidR="00A131AD" w:rsidRPr="00081B73" w:rsidRDefault="00A131AD" w:rsidP="00677033">
      <w:pPr>
        <w:pStyle w:val="refererere"/>
        <w:rPr>
          <w:lang w:val="bs-Latn-BA"/>
        </w:rPr>
      </w:pPr>
      <w:r w:rsidRPr="00081B73">
        <w:rPr>
          <w:lang w:val="bs-Latn-BA"/>
        </w:rPr>
        <w:t>Tabl</w:t>
      </w:r>
      <w:r w:rsidR="00606974">
        <w:rPr>
          <w:lang w:val="bs-Latn-BA"/>
        </w:rPr>
        <w:t>ic</w:t>
      </w:r>
      <w:r w:rsidRPr="00081B73">
        <w:rPr>
          <w:lang w:val="bs-Latn-BA"/>
        </w:rPr>
        <w:t>a 5: Prevalenc</w:t>
      </w:r>
      <w:r w:rsidR="00606974">
        <w:rPr>
          <w:lang w:val="bs-Latn-BA"/>
        </w:rPr>
        <w:t>ij</w:t>
      </w:r>
      <w:r w:rsidRPr="00081B73">
        <w:rPr>
          <w:lang w:val="bs-Latn-BA"/>
        </w:rPr>
        <w:t>a nezaraznih bolesti za 2010 i  2015. godinu</w:t>
      </w:r>
      <w:r w:rsidRPr="00081B73">
        <w:rPr>
          <w:lang w:val="bs-Latn-BA"/>
        </w:rPr>
        <w:tab/>
      </w:r>
    </w:p>
    <w:tbl>
      <w:tblPr>
        <w:tblW w:w="93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08"/>
        <w:gridCol w:w="2749"/>
        <w:gridCol w:w="1980"/>
      </w:tblGrid>
      <w:tr w:rsidR="00A131AD" w:rsidRPr="00081B73" w:rsidTr="001911A6">
        <w:trPr>
          <w:cantSplit/>
          <w:trHeight w:val="405"/>
        </w:trPr>
        <w:tc>
          <w:tcPr>
            <w:tcW w:w="4608" w:type="dxa"/>
            <w:vMerge w:val="restart"/>
            <w:shd w:val="clear" w:color="auto" w:fill="FFFF00"/>
            <w:vAlign w:val="center"/>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Bolest</w:t>
            </w:r>
          </w:p>
        </w:tc>
        <w:tc>
          <w:tcPr>
            <w:tcW w:w="2749"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2010.</w:t>
            </w:r>
          </w:p>
        </w:tc>
        <w:tc>
          <w:tcPr>
            <w:tcW w:w="1980"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2015.</w:t>
            </w:r>
          </w:p>
        </w:tc>
      </w:tr>
      <w:tr w:rsidR="00A131AD" w:rsidRPr="00081B73" w:rsidTr="001911A6">
        <w:trPr>
          <w:cantSplit/>
          <w:trHeight w:val="345"/>
        </w:trPr>
        <w:tc>
          <w:tcPr>
            <w:tcW w:w="4608" w:type="dxa"/>
            <w:vMerge/>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p>
        </w:tc>
        <w:tc>
          <w:tcPr>
            <w:tcW w:w="2749"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Morbiditet</w:t>
            </w:r>
            <w:r w:rsidRPr="00081B73">
              <w:rPr>
                <w:rFonts w:ascii="Times New Roman" w:hAnsi="Times New Roman"/>
                <w:bCs/>
                <w:sz w:val="20"/>
                <w:szCs w:val="20"/>
                <w:lang w:val="bs-Latn-BA"/>
              </w:rPr>
              <w:br/>
              <w:t>/10.000</w:t>
            </w:r>
          </w:p>
        </w:tc>
        <w:tc>
          <w:tcPr>
            <w:tcW w:w="1980"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Morbiditet</w:t>
            </w:r>
            <w:r w:rsidRPr="00081B73">
              <w:rPr>
                <w:rFonts w:ascii="Times New Roman" w:hAnsi="Times New Roman"/>
                <w:bCs/>
                <w:sz w:val="20"/>
                <w:szCs w:val="20"/>
                <w:lang w:val="bs-Latn-BA"/>
              </w:rPr>
              <w:br/>
              <w:t>/10.000</w:t>
            </w:r>
          </w:p>
        </w:tc>
      </w:tr>
      <w:tr w:rsidR="00A131AD" w:rsidRPr="00081B73" w:rsidTr="001911A6">
        <w:tc>
          <w:tcPr>
            <w:tcW w:w="460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Kardiovaskularne (I00-I99)</w:t>
            </w:r>
          </w:p>
        </w:tc>
        <w:tc>
          <w:tcPr>
            <w:tcW w:w="2749"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1.170,2</w:t>
            </w:r>
          </w:p>
        </w:tc>
        <w:tc>
          <w:tcPr>
            <w:tcW w:w="198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857,0</w:t>
            </w:r>
          </w:p>
        </w:tc>
      </w:tr>
      <w:tr w:rsidR="00A131AD" w:rsidRPr="00081B73" w:rsidTr="001911A6">
        <w:tc>
          <w:tcPr>
            <w:tcW w:w="460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Maligne neoplazme (C00-C97)</w:t>
            </w:r>
          </w:p>
        </w:tc>
        <w:tc>
          <w:tcPr>
            <w:tcW w:w="2749"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12,4</w:t>
            </w:r>
          </w:p>
        </w:tc>
        <w:tc>
          <w:tcPr>
            <w:tcW w:w="198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65,4</w:t>
            </w:r>
          </w:p>
        </w:tc>
      </w:tr>
      <w:tr w:rsidR="00A131AD" w:rsidRPr="00081B73" w:rsidTr="001911A6">
        <w:tc>
          <w:tcPr>
            <w:tcW w:w="460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Diabetes mellitus (E10-E14)</w:t>
            </w:r>
          </w:p>
        </w:tc>
        <w:tc>
          <w:tcPr>
            <w:tcW w:w="2749"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101,2</w:t>
            </w:r>
          </w:p>
        </w:tc>
        <w:tc>
          <w:tcPr>
            <w:tcW w:w="198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130,0</w:t>
            </w:r>
          </w:p>
        </w:tc>
      </w:tr>
      <w:tr w:rsidR="00A131AD" w:rsidRPr="00081B73" w:rsidTr="001911A6">
        <w:tc>
          <w:tcPr>
            <w:tcW w:w="4608" w:type="dxa"/>
          </w:tcPr>
          <w:p w:rsidR="00A131AD" w:rsidRPr="00081B73" w:rsidRDefault="00606974" w:rsidP="000C0138">
            <w:pPr>
              <w:spacing w:line="276" w:lineRule="auto"/>
              <w:rPr>
                <w:rFonts w:ascii="Times New Roman" w:hAnsi="Times New Roman"/>
                <w:sz w:val="20"/>
                <w:szCs w:val="20"/>
                <w:lang w:val="bs-Latn-BA"/>
              </w:rPr>
            </w:pPr>
            <w:r>
              <w:rPr>
                <w:rFonts w:ascii="Times New Roman" w:hAnsi="Times New Roman"/>
                <w:sz w:val="20"/>
                <w:szCs w:val="20"/>
                <w:lang w:val="bs-Latn-BA"/>
              </w:rPr>
              <w:t>K</w:t>
            </w:r>
            <w:r w:rsidR="00A131AD" w:rsidRPr="00081B73">
              <w:rPr>
                <w:rFonts w:ascii="Times New Roman" w:hAnsi="Times New Roman"/>
                <w:sz w:val="20"/>
                <w:szCs w:val="20"/>
                <w:lang w:val="bs-Latn-BA"/>
              </w:rPr>
              <w:t>ronične plućne opstruktivne (J40-J46)</w:t>
            </w:r>
          </w:p>
        </w:tc>
        <w:tc>
          <w:tcPr>
            <w:tcW w:w="2749"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79,6</w:t>
            </w:r>
          </w:p>
        </w:tc>
        <w:tc>
          <w:tcPr>
            <w:tcW w:w="1980" w:type="dxa"/>
          </w:tcPr>
          <w:p w:rsidR="00A131AD" w:rsidRPr="00081B73" w:rsidRDefault="00A131AD" w:rsidP="000C0138">
            <w:pPr>
              <w:tabs>
                <w:tab w:val="left" w:pos="390"/>
              </w:tabs>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286,8</w:t>
            </w:r>
          </w:p>
        </w:tc>
      </w:tr>
      <w:tr w:rsidR="00A131AD" w:rsidRPr="00081B73" w:rsidTr="001911A6">
        <w:tc>
          <w:tcPr>
            <w:tcW w:w="460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Mentalne (F00-F99)</w:t>
            </w:r>
          </w:p>
        </w:tc>
        <w:tc>
          <w:tcPr>
            <w:tcW w:w="2749"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253,2</w:t>
            </w:r>
          </w:p>
        </w:tc>
        <w:tc>
          <w:tcPr>
            <w:tcW w:w="198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202,3</w:t>
            </w:r>
          </w:p>
        </w:tc>
      </w:tr>
      <w:tr w:rsidR="00A131AD" w:rsidRPr="00081B73" w:rsidTr="001911A6">
        <w:tc>
          <w:tcPr>
            <w:tcW w:w="460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Koštano-mišićne (M00-M99)</w:t>
            </w:r>
          </w:p>
        </w:tc>
        <w:tc>
          <w:tcPr>
            <w:tcW w:w="2749"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437,3</w:t>
            </w:r>
          </w:p>
        </w:tc>
        <w:tc>
          <w:tcPr>
            <w:tcW w:w="198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537,2</w:t>
            </w:r>
          </w:p>
        </w:tc>
      </w:tr>
    </w:tbl>
    <w:p w:rsidR="00677033" w:rsidRPr="00081B73" w:rsidRDefault="00677033" w:rsidP="00677033">
      <w:pPr>
        <w:pStyle w:val="refererere"/>
        <w:rPr>
          <w:lang w:val="bs-Latn-BA"/>
        </w:rPr>
      </w:pPr>
    </w:p>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Tabl</w:t>
      </w:r>
      <w:r w:rsidR="00606974">
        <w:rPr>
          <w:rFonts w:ascii="Times New Roman" w:hAnsi="Times New Roman"/>
          <w:sz w:val="20"/>
          <w:szCs w:val="20"/>
          <w:lang w:val="bs-Latn-BA"/>
        </w:rPr>
        <w:t>ic</w:t>
      </w:r>
      <w:r w:rsidRPr="00081B73">
        <w:rPr>
          <w:rFonts w:ascii="Times New Roman" w:hAnsi="Times New Roman"/>
          <w:sz w:val="20"/>
          <w:szCs w:val="20"/>
          <w:lang w:val="bs-Latn-BA"/>
        </w:rPr>
        <w:t>a 6: Okolinski zdravstveni indikatori</w:t>
      </w: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28"/>
        <w:gridCol w:w="1866"/>
        <w:gridCol w:w="1389"/>
        <w:gridCol w:w="1401"/>
        <w:gridCol w:w="1401"/>
        <w:gridCol w:w="1503"/>
      </w:tblGrid>
      <w:tr w:rsidR="00A131AD" w:rsidRPr="00081B73" w:rsidTr="001911A6">
        <w:trPr>
          <w:cantSplit/>
        </w:trPr>
        <w:tc>
          <w:tcPr>
            <w:tcW w:w="1728" w:type="dxa"/>
            <w:vMerge w:val="restart"/>
            <w:shd w:val="clear" w:color="auto" w:fill="FFFF00"/>
            <w:vAlign w:val="center"/>
          </w:tcPr>
          <w:p w:rsidR="00A131AD" w:rsidRPr="00081B73" w:rsidRDefault="00A131AD" w:rsidP="00606974">
            <w:pPr>
              <w:spacing w:line="276" w:lineRule="auto"/>
              <w:jc w:val="center"/>
              <w:rPr>
                <w:rFonts w:ascii="Times New Roman" w:hAnsi="Times New Roman"/>
                <w:sz w:val="20"/>
                <w:szCs w:val="20"/>
                <w:lang w:val="bs-Latn-BA"/>
              </w:rPr>
            </w:pPr>
            <w:r w:rsidRPr="00081B73">
              <w:rPr>
                <w:rFonts w:ascii="Times New Roman" w:hAnsi="Times New Roman"/>
                <w:b/>
                <w:bCs/>
                <w:sz w:val="20"/>
                <w:szCs w:val="20"/>
                <w:lang w:val="bs-Latn-BA"/>
              </w:rPr>
              <w:t>Zapadnohercegovački kanton</w:t>
            </w:r>
            <w:r w:rsidRPr="00081B73">
              <w:rPr>
                <w:rFonts w:ascii="Times New Roman" w:hAnsi="Times New Roman"/>
                <w:sz w:val="20"/>
                <w:szCs w:val="20"/>
                <w:lang w:val="bs-Latn-BA"/>
              </w:rPr>
              <w:t xml:space="preserve"> </w:t>
            </w:r>
          </w:p>
        </w:tc>
        <w:tc>
          <w:tcPr>
            <w:tcW w:w="1866" w:type="dxa"/>
            <w:shd w:val="clear" w:color="auto" w:fill="FFFF00"/>
            <w:vAlign w:val="center"/>
          </w:tcPr>
          <w:p w:rsidR="00A131AD" w:rsidRPr="00081B73" w:rsidRDefault="00A131AD" w:rsidP="00606974">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 xml:space="preserve">% stanovništva priključen na </w:t>
            </w:r>
            <w:r w:rsidR="00606974">
              <w:rPr>
                <w:rFonts w:ascii="Times New Roman" w:hAnsi="Times New Roman"/>
                <w:sz w:val="20"/>
                <w:szCs w:val="20"/>
                <w:lang w:val="bs-Latn-BA"/>
              </w:rPr>
              <w:t>središnji</w:t>
            </w:r>
            <w:r w:rsidRPr="00081B73">
              <w:rPr>
                <w:rFonts w:ascii="Times New Roman" w:hAnsi="Times New Roman"/>
                <w:sz w:val="20"/>
                <w:szCs w:val="20"/>
                <w:lang w:val="bs-Latn-BA"/>
              </w:rPr>
              <w:t xml:space="preserve"> s</w:t>
            </w:r>
            <w:r w:rsidR="00606974">
              <w:rPr>
                <w:rFonts w:ascii="Times New Roman" w:hAnsi="Times New Roman"/>
                <w:sz w:val="20"/>
                <w:szCs w:val="20"/>
                <w:lang w:val="bs-Latn-BA"/>
              </w:rPr>
              <w:t>ustav</w:t>
            </w:r>
            <w:r w:rsidRPr="00081B73">
              <w:rPr>
                <w:rFonts w:ascii="Times New Roman" w:hAnsi="Times New Roman"/>
                <w:sz w:val="20"/>
                <w:szCs w:val="20"/>
                <w:lang w:val="bs-Latn-BA"/>
              </w:rPr>
              <w:t xml:space="preserve"> vodo</w:t>
            </w:r>
            <w:r w:rsidR="00606974">
              <w:rPr>
                <w:rFonts w:ascii="Times New Roman" w:hAnsi="Times New Roman"/>
                <w:sz w:val="20"/>
                <w:szCs w:val="20"/>
                <w:lang w:val="bs-Latn-BA"/>
              </w:rPr>
              <w:t>opskrbe</w:t>
            </w:r>
          </w:p>
        </w:tc>
        <w:tc>
          <w:tcPr>
            <w:tcW w:w="1389" w:type="dxa"/>
            <w:shd w:val="clear" w:color="auto" w:fill="FFFF00"/>
            <w:vAlign w:val="center"/>
          </w:tcPr>
          <w:p w:rsidR="00A131AD" w:rsidRPr="00081B73" w:rsidRDefault="00A131AD" w:rsidP="00606974">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 stanovništva priključen na kanalizaci</w:t>
            </w:r>
            <w:r w:rsidR="00606974">
              <w:rPr>
                <w:rFonts w:ascii="Times New Roman" w:hAnsi="Times New Roman"/>
                <w:sz w:val="20"/>
                <w:szCs w:val="20"/>
                <w:lang w:val="bs-Latn-BA"/>
              </w:rPr>
              <w:t>jski</w:t>
            </w:r>
            <w:r w:rsidRPr="00081B73">
              <w:rPr>
                <w:rFonts w:ascii="Times New Roman" w:hAnsi="Times New Roman"/>
                <w:sz w:val="20"/>
                <w:szCs w:val="20"/>
                <w:lang w:val="bs-Latn-BA"/>
              </w:rPr>
              <w:t xml:space="preserve"> s</w:t>
            </w:r>
            <w:r w:rsidR="00606974">
              <w:rPr>
                <w:rFonts w:ascii="Times New Roman" w:hAnsi="Times New Roman"/>
                <w:sz w:val="20"/>
                <w:szCs w:val="20"/>
                <w:lang w:val="bs-Latn-BA"/>
              </w:rPr>
              <w:t>ustav</w:t>
            </w:r>
          </w:p>
        </w:tc>
        <w:tc>
          <w:tcPr>
            <w:tcW w:w="1401" w:type="dxa"/>
            <w:shd w:val="clear" w:color="auto" w:fill="FFFF00"/>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Mjerenje koncentracije SO</w:t>
            </w:r>
            <w:r w:rsidRPr="00081B73">
              <w:rPr>
                <w:rFonts w:ascii="Times New Roman" w:hAnsi="Times New Roman"/>
                <w:sz w:val="20"/>
                <w:szCs w:val="20"/>
                <w:vertAlign w:val="subscript"/>
                <w:lang w:val="bs-Latn-BA"/>
              </w:rPr>
              <w:t>2</w:t>
            </w:r>
            <w:r w:rsidRPr="00081B73">
              <w:rPr>
                <w:rFonts w:ascii="Times New Roman" w:hAnsi="Times New Roman"/>
                <w:sz w:val="20"/>
                <w:szCs w:val="20"/>
                <w:lang w:val="bs-Latn-BA"/>
              </w:rPr>
              <w:t xml:space="preserve"> u zraku</w:t>
            </w:r>
          </w:p>
        </w:tc>
        <w:tc>
          <w:tcPr>
            <w:tcW w:w="1401" w:type="dxa"/>
            <w:shd w:val="clear" w:color="auto" w:fill="FFFF00"/>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Mjerenje koncentracije NO</w:t>
            </w:r>
            <w:r w:rsidRPr="00081B73">
              <w:rPr>
                <w:rFonts w:ascii="Times New Roman" w:hAnsi="Times New Roman"/>
                <w:sz w:val="20"/>
                <w:szCs w:val="20"/>
                <w:vertAlign w:val="subscript"/>
                <w:lang w:val="bs-Latn-BA"/>
              </w:rPr>
              <w:t>2</w:t>
            </w:r>
            <w:r w:rsidRPr="00081B73">
              <w:rPr>
                <w:rFonts w:ascii="Times New Roman" w:hAnsi="Times New Roman"/>
                <w:sz w:val="20"/>
                <w:szCs w:val="20"/>
                <w:lang w:val="bs-Latn-BA"/>
              </w:rPr>
              <w:t xml:space="preserve"> u zraku</w:t>
            </w:r>
          </w:p>
        </w:tc>
        <w:tc>
          <w:tcPr>
            <w:tcW w:w="1503" w:type="dxa"/>
            <w:shd w:val="clear" w:color="auto" w:fill="FFFF00"/>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Mjerenje koncentracije dima u zraku</w:t>
            </w:r>
          </w:p>
        </w:tc>
      </w:tr>
      <w:tr w:rsidR="00A131AD" w:rsidRPr="00081B73" w:rsidTr="001911A6">
        <w:trPr>
          <w:cantSplit/>
          <w:trHeight w:val="431"/>
        </w:trPr>
        <w:tc>
          <w:tcPr>
            <w:tcW w:w="1728" w:type="dxa"/>
            <w:vMerge/>
            <w:vAlign w:val="center"/>
          </w:tcPr>
          <w:p w:rsidR="00A131AD" w:rsidRPr="00081B73" w:rsidRDefault="00A131AD" w:rsidP="000C0138">
            <w:pPr>
              <w:spacing w:line="276" w:lineRule="auto"/>
              <w:jc w:val="center"/>
              <w:rPr>
                <w:rFonts w:ascii="Times New Roman" w:hAnsi="Times New Roman"/>
                <w:sz w:val="20"/>
                <w:szCs w:val="20"/>
                <w:lang w:val="bs-Latn-BA"/>
              </w:rPr>
            </w:pPr>
          </w:p>
        </w:tc>
        <w:tc>
          <w:tcPr>
            <w:tcW w:w="1866" w:type="dxa"/>
            <w:vAlign w:val="center"/>
          </w:tcPr>
          <w:p w:rsidR="00A131AD" w:rsidRPr="00081B73" w:rsidRDefault="00A131AD" w:rsidP="000C0138">
            <w:pPr>
              <w:spacing w:line="276" w:lineRule="auto"/>
              <w:jc w:val="center"/>
              <w:rPr>
                <w:rFonts w:ascii="Times New Roman" w:hAnsi="Times New Roman"/>
                <w:sz w:val="20"/>
                <w:szCs w:val="20"/>
                <w:lang w:val="bs-Latn-BA"/>
              </w:rPr>
            </w:pPr>
          </w:p>
        </w:tc>
        <w:tc>
          <w:tcPr>
            <w:tcW w:w="1389" w:type="dxa"/>
            <w:vAlign w:val="center"/>
          </w:tcPr>
          <w:p w:rsidR="00A131AD" w:rsidRPr="00081B73" w:rsidRDefault="00A131AD" w:rsidP="000C0138">
            <w:pPr>
              <w:spacing w:line="276" w:lineRule="auto"/>
              <w:jc w:val="center"/>
              <w:rPr>
                <w:rFonts w:ascii="Times New Roman" w:hAnsi="Times New Roman"/>
                <w:sz w:val="20"/>
                <w:szCs w:val="20"/>
                <w:lang w:val="bs-Latn-BA"/>
              </w:rPr>
            </w:pPr>
          </w:p>
        </w:tc>
        <w:tc>
          <w:tcPr>
            <w:tcW w:w="1401" w:type="dxa"/>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ne mjeri se</w:t>
            </w:r>
          </w:p>
        </w:tc>
        <w:tc>
          <w:tcPr>
            <w:tcW w:w="1401" w:type="dxa"/>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ne mjeri se</w:t>
            </w:r>
          </w:p>
        </w:tc>
        <w:tc>
          <w:tcPr>
            <w:tcW w:w="1503" w:type="dxa"/>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ne mjeri se</w:t>
            </w:r>
          </w:p>
        </w:tc>
      </w:tr>
    </w:tbl>
    <w:p w:rsidR="00A131AD" w:rsidRPr="00081B73" w:rsidRDefault="00A131AD" w:rsidP="000C0138">
      <w:pPr>
        <w:spacing w:line="276" w:lineRule="auto"/>
        <w:rPr>
          <w:rFonts w:ascii="Times New Roman" w:hAnsi="Times New Roman"/>
          <w:sz w:val="20"/>
          <w:szCs w:val="20"/>
          <w:lang w:val="bs-Latn-BA"/>
        </w:rPr>
      </w:pPr>
    </w:p>
    <w:p w:rsidR="00A131AD" w:rsidRPr="00081B73" w:rsidRDefault="00A131AD" w:rsidP="00677033">
      <w:pPr>
        <w:pStyle w:val="refererere"/>
        <w:rPr>
          <w:lang w:val="bs-Latn-BA"/>
        </w:rPr>
      </w:pPr>
      <w:r w:rsidRPr="00081B73">
        <w:rPr>
          <w:lang w:val="bs-Latn-BA"/>
        </w:rPr>
        <w:t>Tabl</w:t>
      </w:r>
      <w:r w:rsidR="00606974">
        <w:rPr>
          <w:lang w:val="bs-Latn-BA"/>
        </w:rPr>
        <w:t>ic</w:t>
      </w:r>
      <w:r w:rsidRPr="00081B73">
        <w:rPr>
          <w:lang w:val="bs-Latn-BA"/>
        </w:rPr>
        <w:t>a 7: Zdravstvena zaštita za 2010</w:t>
      </w:r>
      <w:r w:rsidR="00606974">
        <w:rPr>
          <w:lang w:val="bs-Latn-BA"/>
        </w:rPr>
        <w:t>.</w:t>
      </w:r>
      <w:r w:rsidRPr="00081B73">
        <w:rPr>
          <w:lang w:val="bs-Latn-BA"/>
        </w:rPr>
        <w:t xml:space="preserve"> i 2015. godinu</w:t>
      </w: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01"/>
        <w:gridCol w:w="8"/>
        <w:gridCol w:w="3797"/>
        <w:gridCol w:w="2294"/>
        <w:gridCol w:w="2288"/>
      </w:tblGrid>
      <w:tr w:rsidR="00A131AD" w:rsidRPr="00081B73" w:rsidTr="001911A6">
        <w:trPr>
          <w:trHeight w:val="509"/>
        </w:trPr>
        <w:tc>
          <w:tcPr>
            <w:tcW w:w="4706" w:type="dxa"/>
            <w:gridSpan w:val="3"/>
            <w:shd w:val="clear" w:color="auto" w:fill="FFFF00"/>
            <w:vAlign w:val="center"/>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sz w:val="20"/>
                <w:szCs w:val="20"/>
                <w:lang w:val="bs-Latn-BA"/>
              </w:rPr>
              <w:t>Broj</w:t>
            </w:r>
          </w:p>
        </w:tc>
        <w:tc>
          <w:tcPr>
            <w:tcW w:w="2294"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2010.</w:t>
            </w:r>
          </w:p>
        </w:tc>
        <w:tc>
          <w:tcPr>
            <w:tcW w:w="2288"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2015.</w:t>
            </w:r>
          </w:p>
        </w:tc>
      </w:tr>
      <w:tr w:rsidR="00A131AD" w:rsidRPr="00081B73" w:rsidTr="001911A6">
        <w:trPr>
          <w:cantSplit/>
        </w:trPr>
        <w:tc>
          <w:tcPr>
            <w:tcW w:w="909" w:type="dxa"/>
            <w:gridSpan w:val="2"/>
            <w:vMerge w:val="restart"/>
            <w:tcBorders>
              <w:top w:val="single" w:sz="4" w:space="0" w:color="auto"/>
              <w:left w:val="single" w:sz="4" w:space="0" w:color="auto"/>
              <w:bottom w:val="nil"/>
              <w:right w:val="single" w:sz="4" w:space="0" w:color="auto"/>
            </w:tcBorders>
            <w:vAlign w:val="bottom"/>
          </w:tcPr>
          <w:p w:rsidR="00A131AD" w:rsidRPr="00081B73" w:rsidRDefault="00A131AD" w:rsidP="000C0138">
            <w:pPr>
              <w:pStyle w:val="NormalWeb"/>
              <w:spacing w:before="0" w:beforeAutospacing="0" w:after="0" w:afterAutospacing="0" w:line="276" w:lineRule="auto"/>
              <w:rPr>
                <w:sz w:val="20"/>
                <w:szCs w:val="20"/>
                <w:lang w:val="bs-Latn-BA"/>
              </w:rPr>
            </w:pPr>
            <w:r w:rsidRPr="00081B73">
              <w:rPr>
                <w:sz w:val="20"/>
                <w:szCs w:val="20"/>
                <w:lang w:val="bs-Latn-BA"/>
              </w:rPr>
              <w:t>PZZ</w:t>
            </w:r>
          </w:p>
        </w:tc>
        <w:tc>
          <w:tcPr>
            <w:tcW w:w="3797" w:type="dxa"/>
            <w:tcBorders>
              <w:left w:val="single" w:sz="4" w:space="0" w:color="auto"/>
            </w:tcBorders>
          </w:tcPr>
          <w:p w:rsidR="00A131AD" w:rsidRPr="00081B73" w:rsidRDefault="00A131AD" w:rsidP="000C0138">
            <w:pPr>
              <w:pStyle w:val="NormalWeb"/>
              <w:spacing w:before="0" w:beforeAutospacing="0" w:after="0" w:afterAutospacing="0" w:line="276" w:lineRule="auto"/>
              <w:rPr>
                <w:sz w:val="20"/>
                <w:szCs w:val="20"/>
                <w:lang w:val="bs-Latn-BA"/>
              </w:rPr>
            </w:pPr>
            <w:r w:rsidRPr="00081B73">
              <w:rPr>
                <w:sz w:val="20"/>
                <w:szCs w:val="20"/>
                <w:lang w:val="bs-Latn-BA"/>
              </w:rPr>
              <w:t>ordinacije PZZ</w:t>
            </w:r>
          </w:p>
        </w:tc>
        <w:tc>
          <w:tcPr>
            <w:tcW w:w="2294" w:type="dxa"/>
            <w:vAlign w:val="center"/>
          </w:tcPr>
          <w:p w:rsidR="00A131AD" w:rsidRPr="00081B73" w:rsidRDefault="00A131AD" w:rsidP="000C0138">
            <w:pPr>
              <w:pStyle w:val="NormalWeb"/>
              <w:spacing w:line="276" w:lineRule="auto"/>
              <w:jc w:val="right"/>
              <w:rPr>
                <w:sz w:val="20"/>
                <w:szCs w:val="20"/>
                <w:lang w:val="bs-Latn-BA"/>
              </w:rPr>
            </w:pPr>
            <w:r w:rsidRPr="00081B73">
              <w:rPr>
                <w:sz w:val="20"/>
                <w:szCs w:val="20"/>
                <w:lang w:val="bs-Latn-BA"/>
              </w:rPr>
              <w:t>44</w:t>
            </w:r>
          </w:p>
        </w:tc>
        <w:tc>
          <w:tcPr>
            <w:tcW w:w="2288"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49</w:t>
            </w:r>
          </w:p>
        </w:tc>
      </w:tr>
      <w:tr w:rsidR="00A131AD" w:rsidRPr="00081B73" w:rsidTr="001911A6">
        <w:trPr>
          <w:cantSplit/>
        </w:trPr>
        <w:tc>
          <w:tcPr>
            <w:tcW w:w="909" w:type="dxa"/>
            <w:gridSpan w:val="2"/>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797" w:type="dxa"/>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stomatološke ordinacije/stolice</w:t>
            </w:r>
          </w:p>
        </w:tc>
        <w:tc>
          <w:tcPr>
            <w:tcW w:w="2294"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24</w:t>
            </w:r>
          </w:p>
        </w:tc>
        <w:tc>
          <w:tcPr>
            <w:tcW w:w="2288"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21</w:t>
            </w:r>
          </w:p>
        </w:tc>
      </w:tr>
      <w:tr w:rsidR="00A131AD" w:rsidRPr="00081B73" w:rsidTr="001911A6">
        <w:trPr>
          <w:cantSplit/>
        </w:trPr>
        <w:tc>
          <w:tcPr>
            <w:tcW w:w="909" w:type="dxa"/>
            <w:gridSpan w:val="2"/>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797" w:type="dxa"/>
            <w:tcBorders>
              <w:left w:val="single" w:sz="4" w:space="0" w:color="auto"/>
            </w:tcBorders>
          </w:tcPr>
          <w:p w:rsidR="00A131AD" w:rsidRPr="00081B73" w:rsidRDefault="00606974" w:rsidP="000C0138">
            <w:pPr>
              <w:spacing w:line="276" w:lineRule="auto"/>
              <w:rPr>
                <w:rFonts w:ascii="Times New Roman" w:hAnsi="Times New Roman"/>
                <w:sz w:val="20"/>
                <w:szCs w:val="20"/>
                <w:lang w:val="bs-Latn-BA"/>
              </w:rPr>
            </w:pPr>
            <w:r>
              <w:rPr>
                <w:rFonts w:ascii="Times New Roman" w:hAnsi="Times New Roman"/>
                <w:sz w:val="20"/>
                <w:szCs w:val="20"/>
                <w:lang w:val="bs-Latn-BA"/>
              </w:rPr>
              <w:t>ljekarne</w:t>
            </w:r>
            <w:r w:rsidR="00A131AD" w:rsidRPr="00081B73">
              <w:rPr>
                <w:rFonts w:ascii="Times New Roman" w:hAnsi="Times New Roman"/>
                <w:sz w:val="20"/>
                <w:szCs w:val="20"/>
                <w:lang w:val="bs-Latn-BA"/>
              </w:rPr>
              <w:t xml:space="preserve"> u javnom sektoru</w:t>
            </w:r>
          </w:p>
        </w:tc>
        <w:tc>
          <w:tcPr>
            <w:tcW w:w="2294"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0</w:t>
            </w:r>
          </w:p>
        </w:tc>
        <w:tc>
          <w:tcPr>
            <w:tcW w:w="2288"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0</w:t>
            </w:r>
          </w:p>
        </w:tc>
      </w:tr>
      <w:tr w:rsidR="00A131AD" w:rsidRPr="00081B73" w:rsidTr="001911A6">
        <w:trPr>
          <w:cantSplit/>
        </w:trPr>
        <w:tc>
          <w:tcPr>
            <w:tcW w:w="901" w:type="dxa"/>
            <w:vMerge w:val="restart"/>
            <w:tcBorders>
              <w:top w:val="nil"/>
              <w:left w:val="single" w:sz="4" w:space="0" w:color="auto"/>
              <w:bottom w:val="nil"/>
              <w:right w:val="single" w:sz="4" w:space="0" w:color="auto"/>
            </w:tcBorders>
            <w:vAlign w:val="center"/>
          </w:tcPr>
          <w:p w:rsidR="00A131AD" w:rsidRPr="00081B73" w:rsidRDefault="00A131AD" w:rsidP="000C0138">
            <w:pPr>
              <w:spacing w:line="276" w:lineRule="auto"/>
              <w:jc w:val="left"/>
              <w:rPr>
                <w:rFonts w:ascii="Times New Roman" w:hAnsi="Times New Roman"/>
                <w:sz w:val="20"/>
                <w:szCs w:val="20"/>
                <w:lang w:val="bs-Latn-BA"/>
              </w:rPr>
            </w:pPr>
          </w:p>
        </w:tc>
        <w:tc>
          <w:tcPr>
            <w:tcW w:w="380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dr medicine</w:t>
            </w:r>
          </w:p>
        </w:tc>
        <w:tc>
          <w:tcPr>
            <w:tcW w:w="2294"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54</w:t>
            </w:r>
          </w:p>
        </w:tc>
        <w:tc>
          <w:tcPr>
            <w:tcW w:w="2288"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47</w:t>
            </w:r>
          </w:p>
        </w:tc>
      </w:tr>
      <w:tr w:rsidR="00A131AD" w:rsidRPr="00081B73" w:rsidTr="001911A6">
        <w:trPr>
          <w:cantSplit/>
        </w:trPr>
        <w:tc>
          <w:tcPr>
            <w:tcW w:w="901" w:type="dxa"/>
            <w:vMerge/>
            <w:tcBorders>
              <w:top w:val="nil"/>
              <w:left w:val="single" w:sz="4" w:space="0" w:color="auto"/>
              <w:bottom w:val="nil"/>
              <w:right w:val="single" w:sz="4" w:space="0" w:color="auto"/>
            </w:tcBorders>
            <w:vAlign w:val="center"/>
          </w:tcPr>
          <w:p w:rsidR="00A131AD" w:rsidRPr="00081B73" w:rsidRDefault="00A131AD" w:rsidP="000C0138">
            <w:pPr>
              <w:spacing w:line="276" w:lineRule="auto"/>
              <w:jc w:val="left"/>
              <w:rPr>
                <w:rFonts w:ascii="Times New Roman" w:hAnsi="Times New Roman"/>
                <w:sz w:val="20"/>
                <w:szCs w:val="20"/>
                <w:lang w:val="bs-Latn-BA"/>
              </w:rPr>
            </w:pPr>
          </w:p>
        </w:tc>
        <w:tc>
          <w:tcPr>
            <w:tcW w:w="380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zdravstveni tehničari/sestre</w:t>
            </w:r>
          </w:p>
        </w:tc>
        <w:tc>
          <w:tcPr>
            <w:tcW w:w="2294"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99</w:t>
            </w:r>
          </w:p>
        </w:tc>
        <w:tc>
          <w:tcPr>
            <w:tcW w:w="2288"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99</w:t>
            </w:r>
          </w:p>
        </w:tc>
      </w:tr>
      <w:tr w:rsidR="00A131AD" w:rsidRPr="00081B73" w:rsidTr="001911A6">
        <w:trPr>
          <w:cantSplit/>
        </w:trPr>
        <w:tc>
          <w:tcPr>
            <w:tcW w:w="901" w:type="dxa"/>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0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dr stomatologije</w:t>
            </w:r>
          </w:p>
        </w:tc>
        <w:tc>
          <w:tcPr>
            <w:tcW w:w="2294"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24</w:t>
            </w:r>
          </w:p>
        </w:tc>
        <w:tc>
          <w:tcPr>
            <w:tcW w:w="2288"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21</w:t>
            </w:r>
          </w:p>
        </w:tc>
      </w:tr>
      <w:tr w:rsidR="00A131AD" w:rsidRPr="00081B73" w:rsidTr="001911A6">
        <w:trPr>
          <w:cantSplit/>
        </w:trPr>
        <w:tc>
          <w:tcPr>
            <w:tcW w:w="901" w:type="dxa"/>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0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stomatološki tehničari/sestre</w:t>
            </w:r>
          </w:p>
        </w:tc>
        <w:tc>
          <w:tcPr>
            <w:tcW w:w="2294"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28</w:t>
            </w:r>
          </w:p>
        </w:tc>
        <w:tc>
          <w:tcPr>
            <w:tcW w:w="2288"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29</w:t>
            </w:r>
          </w:p>
        </w:tc>
      </w:tr>
      <w:tr w:rsidR="00A131AD" w:rsidRPr="00081B73" w:rsidTr="001911A6">
        <w:trPr>
          <w:cantSplit/>
        </w:trPr>
        <w:tc>
          <w:tcPr>
            <w:tcW w:w="901" w:type="dxa"/>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0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magistri farmacije</w:t>
            </w:r>
          </w:p>
        </w:tc>
        <w:tc>
          <w:tcPr>
            <w:tcW w:w="2294"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0</w:t>
            </w:r>
          </w:p>
        </w:tc>
        <w:tc>
          <w:tcPr>
            <w:tcW w:w="2288"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w:t>
            </w:r>
          </w:p>
        </w:tc>
      </w:tr>
      <w:tr w:rsidR="00A131AD" w:rsidRPr="00081B73" w:rsidTr="001911A6">
        <w:trPr>
          <w:cantSplit/>
        </w:trPr>
        <w:tc>
          <w:tcPr>
            <w:tcW w:w="901" w:type="dxa"/>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0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farmaceutski tehničari</w:t>
            </w:r>
          </w:p>
        </w:tc>
        <w:tc>
          <w:tcPr>
            <w:tcW w:w="2294"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0</w:t>
            </w:r>
          </w:p>
        </w:tc>
        <w:tc>
          <w:tcPr>
            <w:tcW w:w="2288"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0</w:t>
            </w:r>
          </w:p>
        </w:tc>
      </w:tr>
      <w:tr w:rsidR="00A131AD" w:rsidRPr="00081B73" w:rsidTr="001911A6">
        <w:trPr>
          <w:trHeight w:val="582"/>
        </w:trPr>
        <w:tc>
          <w:tcPr>
            <w:tcW w:w="901" w:type="dxa"/>
            <w:vAlign w:val="center"/>
          </w:tcPr>
          <w:p w:rsidR="00A131AD" w:rsidRPr="00081B73" w:rsidRDefault="00A131AD" w:rsidP="000C0138">
            <w:pPr>
              <w:spacing w:line="276" w:lineRule="auto"/>
              <w:jc w:val="left"/>
              <w:rPr>
                <w:rFonts w:ascii="Times New Roman" w:hAnsi="Times New Roman"/>
                <w:sz w:val="20"/>
                <w:szCs w:val="20"/>
                <w:lang w:val="bs-Latn-BA"/>
              </w:rPr>
            </w:pPr>
            <w:r w:rsidRPr="00081B73">
              <w:rPr>
                <w:rFonts w:ascii="Times New Roman" w:hAnsi="Times New Roman"/>
                <w:sz w:val="20"/>
                <w:szCs w:val="20"/>
                <w:lang w:val="bs-Latn-BA"/>
              </w:rPr>
              <w:t>Bolnice</w:t>
            </w:r>
          </w:p>
        </w:tc>
        <w:tc>
          <w:tcPr>
            <w:tcW w:w="3805" w:type="dxa"/>
            <w:gridSpan w:val="2"/>
            <w:vAlign w:val="center"/>
          </w:tcPr>
          <w:p w:rsidR="00A131AD" w:rsidRPr="00081B73" w:rsidRDefault="00A131AD" w:rsidP="000C0138">
            <w:pPr>
              <w:spacing w:line="276" w:lineRule="auto"/>
              <w:jc w:val="left"/>
              <w:rPr>
                <w:rFonts w:ascii="Times New Roman" w:hAnsi="Times New Roman"/>
                <w:sz w:val="20"/>
                <w:szCs w:val="20"/>
                <w:lang w:val="bs-Latn-BA"/>
              </w:rPr>
            </w:pPr>
            <w:r w:rsidRPr="00081B73">
              <w:rPr>
                <w:rFonts w:ascii="Times New Roman" w:hAnsi="Times New Roman"/>
                <w:sz w:val="20"/>
                <w:szCs w:val="20"/>
                <w:lang w:val="bs-Latn-BA"/>
              </w:rPr>
              <w:t>bolničke postelje</w:t>
            </w:r>
          </w:p>
        </w:tc>
        <w:tc>
          <w:tcPr>
            <w:tcW w:w="2294"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0</w:t>
            </w:r>
          </w:p>
        </w:tc>
        <w:tc>
          <w:tcPr>
            <w:tcW w:w="2288"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0</w:t>
            </w:r>
          </w:p>
        </w:tc>
      </w:tr>
    </w:tbl>
    <w:p w:rsidR="00A131AD" w:rsidRPr="00081B73" w:rsidRDefault="00A131AD" w:rsidP="000C0138">
      <w:pPr>
        <w:spacing w:line="276" w:lineRule="auto"/>
        <w:rPr>
          <w:rFonts w:ascii="Times New Roman" w:hAnsi="Times New Roman"/>
          <w:sz w:val="20"/>
          <w:szCs w:val="20"/>
          <w:lang w:val="bs-Latn-BA"/>
        </w:rPr>
      </w:pPr>
    </w:p>
    <w:p w:rsidR="00A131AD" w:rsidRPr="00081B73" w:rsidRDefault="00A131AD" w:rsidP="000C0138">
      <w:pPr>
        <w:spacing w:after="160" w:line="276" w:lineRule="auto"/>
        <w:jc w:val="left"/>
        <w:rPr>
          <w:rFonts w:ascii="Times New Roman" w:hAnsi="Times New Roman"/>
          <w:b/>
          <w:bCs/>
          <w:sz w:val="20"/>
          <w:szCs w:val="20"/>
          <w:lang w:val="bs-Latn-BA"/>
        </w:rPr>
      </w:pPr>
      <w:r w:rsidRPr="00081B73">
        <w:rPr>
          <w:rFonts w:ascii="Times New Roman" w:hAnsi="Times New Roman"/>
          <w:b/>
          <w:bCs/>
          <w:sz w:val="20"/>
          <w:szCs w:val="20"/>
          <w:lang w:val="bs-Latn-BA"/>
        </w:rPr>
        <w:br w:type="page"/>
      </w:r>
    </w:p>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lastRenderedPageBreak/>
        <w:t>Sarajevski kanton</w:t>
      </w:r>
    </w:p>
    <w:p w:rsidR="00A131AD" w:rsidRPr="00081B73" w:rsidRDefault="00A131AD" w:rsidP="00A2552D">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Tabl</w:t>
      </w:r>
      <w:r w:rsidR="00606974">
        <w:rPr>
          <w:rFonts w:ascii="Times New Roman" w:hAnsi="Times New Roman"/>
          <w:sz w:val="20"/>
          <w:szCs w:val="20"/>
          <w:lang w:val="bs-Latn-BA"/>
        </w:rPr>
        <w:t>ic</w:t>
      </w:r>
      <w:r w:rsidRPr="00081B73">
        <w:rPr>
          <w:rFonts w:ascii="Times New Roman" w:hAnsi="Times New Roman"/>
          <w:sz w:val="20"/>
          <w:szCs w:val="20"/>
          <w:lang w:val="bs-Latn-BA"/>
        </w:rPr>
        <w:t>a 1: Stanovništvo po općinama*</w:t>
      </w:r>
    </w:p>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noProof/>
          <w:sz w:val="20"/>
          <w:szCs w:val="20"/>
          <w:lang w:val="bs-Latn-BA" w:eastAsia="bs-Latn-BA"/>
        </w:rPr>
        <w:drawing>
          <wp:anchor distT="0" distB="0" distL="114300" distR="114300" simplePos="0" relativeHeight="251669504" behindDoc="0" locked="0" layoutInCell="1" allowOverlap="1" wp14:anchorId="2E4DB76E" wp14:editId="7682C4E2">
            <wp:simplePos x="0" y="0"/>
            <wp:positionH relativeFrom="column">
              <wp:posOffset>-88900</wp:posOffset>
            </wp:positionH>
            <wp:positionV relativeFrom="paragraph">
              <wp:posOffset>92075</wp:posOffset>
            </wp:positionV>
            <wp:extent cx="2374900" cy="2306955"/>
            <wp:effectExtent l="0" t="0" r="6350" b="0"/>
            <wp:wrapSquare wrapText="bothSides"/>
            <wp:docPr id="119" name="Picture 119" descr="canton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anton9"/>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374900" cy="230695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4756" w:type="dxa"/>
        <w:tblCellSpacing w:w="15" w:type="dxa"/>
        <w:tblCellMar>
          <w:top w:w="15" w:type="dxa"/>
          <w:left w:w="15" w:type="dxa"/>
          <w:bottom w:w="15" w:type="dxa"/>
          <w:right w:w="15" w:type="dxa"/>
        </w:tblCellMar>
        <w:tblLook w:val="0000" w:firstRow="0" w:lastRow="0" w:firstColumn="0" w:lastColumn="0" w:noHBand="0" w:noVBand="0"/>
      </w:tblPr>
      <w:tblGrid>
        <w:gridCol w:w="2419"/>
        <w:gridCol w:w="1237"/>
        <w:gridCol w:w="1100"/>
      </w:tblGrid>
      <w:tr w:rsidR="00A131AD" w:rsidRPr="00081B73" w:rsidTr="001911A6">
        <w:trPr>
          <w:trHeight w:val="510"/>
          <w:tblCellSpacing w:w="15" w:type="dxa"/>
        </w:trPr>
        <w:tc>
          <w:tcPr>
            <w:tcW w:w="2374" w:type="dxa"/>
            <w:tcBorders>
              <w:right w:val="single" w:sz="4" w:space="0" w:color="000000"/>
            </w:tcBorders>
            <w:shd w:val="clear" w:color="auto" w:fill="C0C0C0"/>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color w:val="800000"/>
                <w:sz w:val="20"/>
                <w:szCs w:val="20"/>
                <w:lang w:val="bs-Latn-BA"/>
              </w:rPr>
              <w:t>Općina</w:t>
            </w:r>
          </w:p>
        </w:tc>
        <w:tc>
          <w:tcPr>
            <w:tcW w:w="1207" w:type="dxa"/>
            <w:tcBorders>
              <w:left w:val="nil"/>
            </w:tcBorders>
            <w:shd w:val="clear" w:color="auto" w:fill="C0C0C0"/>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color w:val="800000"/>
                <w:sz w:val="20"/>
                <w:szCs w:val="20"/>
                <w:lang w:val="bs-Latn-BA"/>
              </w:rPr>
              <w:t>Površina, km</w:t>
            </w:r>
            <w:r w:rsidRPr="00081B73">
              <w:rPr>
                <w:rFonts w:ascii="Times New Roman" w:hAnsi="Times New Roman"/>
                <w:color w:val="800000"/>
                <w:sz w:val="20"/>
                <w:szCs w:val="20"/>
                <w:vertAlign w:val="superscript"/>
                <w:lang w:val="bs-Latn-BA"/>
              </w:rPr>
              <w:t>2</w:t>
            </w:r>
          </w:p>
        </w:tc>
        <w:tc>
          <w:tcPr>
            <w:tcW w:w="1055" w:type="dxa"/>
            <w:tcBorders>
              <w:left w:val="nil"/>
            </w:tcBorders>
            <w:shd w:val="clear" w:color="auto" w:fill="C0C0C0"/>
            <w:vAlign w:val="center"/>
          </w:tcPr>
          <w:p w:rsidR="00A131AD" w:rsidRPr="00081B73" w:rsidRDefault="00A131AD" w:rsidP="000C0138">
            <w:pPr>
              <w:pStyle w:val="NormalWeb"/>
              <w:spacing w:line="276" w:lineRule="auto"/>
              <w:jc w:val="center"/>
              <w:rPr>
                <w:sz w:val="20"/>
                <w:szCs w:val="20"/>
                <w:lang w:val="bs-Latn-BA"/>
              </w:rPr>
            </w:pPr>
            <w:r w:rsidRPr="00081B73">
              <w:rPr>
                <w:color w:val="800000"/>
                <w:sz w:val="20"/>
                <w:szCs w:val="20"/>
                <w:lang w:val="bs-Latn-BA"/>
              </w:rPr>
              <w:t>Procjena broja stanovnika</w:t>
            </w:r>
          </w:p>
        </w:tc>
      </w:tr>
      <w:tr w:rsidR="00A131AD" w:rsidRPr="00081B73" w:rsidTr="001911A6">
        <w:trPr>
          <w:cantSplit/>
          <w:trHeight w:val="222"/>
          <w:tblCellSpacing w:w="15" w:type="dxa"/>
        </w:trPr>
        <w:tc>
          <w:tcPr>
            <w:tcW w:w="2374" w:type="dxa"/>
            <w:shd w:val="clear" w:color="auto" w:fill="FFFFCC"/>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color w:val="006699"/>
                <w:sz w:val="20"/>
                <w:szCs w:val="20"/>
                <w:lang w:val="bs-Latn-BA"/>
              </w:rPr>
              <w:t> Centar</w:t>
            </w:r>
          </w:p>
        </w:tc>
        <w:tc>
          <w:tcPr>
            <w:tcW w:w="1207"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color w:val="006699"/>
                <w:sz w:val="20"/>
                <w:szCs w:val="20"/>
                <w:lang w:val="bs-Latn-BA"/>
              </w:rPr>
              <w:t>33,0</w:t>
            </w:r>
          </w:p>
        </w:tc>
        <w:tc>
          <w:tcPr>
            <w:tcW w:w="1055"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68.487</w:t>
            </w:r>
          </w:p>
        </w:tc>
      </w:tr>
      <w:tr w:rsidR="00A131AD" w:rsidRPr="00081B73" w:rsidTr="001911A6">
        <w:trPr>
          <w:trHeight w:val="222"/>
          <w:tblCellSpacing w:w="15" w:type="dxa"/>
        </w:trPr>
        <w:tc>
          <w:tcPr>
            <w:tcW w:w="2374" w:type="dxa"/>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color w:val="006699"/>
                <w:sz w:val="20"/>
                <w:szCs w:val="20"/>
                <w:lang w:val="bs-Latn-BA"/>
              </w:rPr>
              <w:t>Hadžići</w:t>
            </w:r>
          </w:p>
        </w:tc>
        <w:tc>
          <w:tcPr>
            <w:tcW w:w="1207"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color w:val="006699"/>
                <w:sz w:val="20"/>
                <w:szCs w:val="20"/>
                <w:lang w:val="bs-Latn-BA"/>
              </w:rPr>
              <w:t>273,3</w:t>
            </w:r>
          </w:p>
        </w:tc>
        <w:tc>
          <w:tcPr>
            <w:tcW w:w="1055"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23.129</w:t>
            </w:r>
          </w:p>
        </w:tc>
      </w:tr>
      <w:tr w:rsidR="00A131AD" w:rsidRPr="00081B73" w:rsidTr="001911A6">
        <w:trPr>
          <w:trHeight w:val="222"/>
          <w:tblCellSpacing w:w="15" w:type="dxa"/>
        </w:trPr>
        <w:tc>
          <w:tcPr>
            <w:tcW w:w="2374" w:type="dxa"/>
            <w:shd w:val="clear" w:color="auto" w:fill="FFFFCC"/>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color w:val="006699"/>
                <w:sz w:val="20"/>
                <w:szCs w:val="20"/>
                <w:lang w:val="bs-Latn-BA"/>
              </w:rPr>
              <w:t>Ilidža</w:t>
            </w:r>
          </w:p>
        </w:tc>
        <w:tc>
          <w:tcPr>
            <w:tcW w:w="1207"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color w:val="006699"/>
                <w:sz w:val="20"/>
                <w:szCs w:val="20"/>
                <w:lang w:val="bs-Latn-BA"/>
              </w:rPr>
              <w:t>143,4</w:t>
            </w:r>
          </w:p>
        </w:tc>
        <w:tc>
          <w:tcPr>
            <w:tcW w:w="1055"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63.599</w:t>
            </w:r>
          </w:p>
        </w:tc>
      </w:tr>
      <w:tr w:rsidR="00A131AD" w:rsidRPr="00081B73" w:rsidTr="001911A6">
        <w:trPr>
          <w:cantSplit/>
          <w:trHeight w:val="222"/>
          <w:tblCellSpacing w:w="15" w:type="dxa"/>
        </w:trPr>
        <w:tc>
          <w:tcPr>
            <w:tcW w:w="2374" w:type="dxa"/>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color w:val="006699"/>
                <w:sz w:val="20"/>
                <w:szCs w:val="20"/>
                <w:lang w:val="bs-Latn-BA"/>
              </w:rPr>
              <w:t>Ilijaš</w:t>
            </w:r>
          </w:p>
        </w:tc>
        <w:tc>
          <w:tcPr>
            <w:tcW w:w="1207"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color w:val="006699"/>
                <w:sz w:val="20"/>
                <w:szCs w:val="20"/>
                <w:lang w:val="bs-Latn-BA"/>
              </w:rPr>
              <w:t>308,6</w:t>
            </w:r>
          </w:p>
        </w:tc>
        <w:tc>
          <w:tcPr>
            <w:tcW w:w="1055"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20.097</w:t>
            </w:r>
          </w:p>
        </w:tc>
      </w:tr>
      <w:tr w:rsidR="00A131AD" w:rsidRPr="00081B73" w:rsidTr="001911A6">
        <w:trPr>
          <w:cantSplit/>
          <w:trHeight w:val="222"/>
          <w:tblCellSpacing w:w="15" w:type="dxa"/>
        </w:trPr>
        <w:tc>
          <w:tcPr>
            <w:tcW w:w="2374" w:type="dxa"/>
            <w:shd w:val="clear" w:color="auto" w:fill="FFFFCC"/>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color w:val="006699"/>
                <w:sz w:val="20"/>
                <w:szCs w:val="20"/>
                <w:lang w:val="bs-Latn-BA"/>
              </w:rPr>
              <w:t>Novi Grad</w:t>
            </w:r>
          </w:p>
        </w:tc>
        <w:tc>
          <w:tcPr>
            <w:tcW w:w="1207"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color w:val="006699"/>
                <w:sz w:val="20"/>
                <w:szCs w:val="20"/>
                <w:lang w:val="bs-Latn-BA"/>
              </w:rPr>
              <w:t>47,2</w:t>
            </w:r>
          </w:p>
        </w:tc>
        <w:tc>
          <w:tcPr>
            <w:tcW w:w="1055"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126.708</w:t>
            </w:r>
          </w:p>
        </w:tc>
      </w:tr>
      <w:tr w:rsidR="00A131AD" w:rsidRPr="00081B73" w:rsidTr="001911A6">
        <w:trPr>
          <w:cantSplit/>
          <w:trHeight w:val="222"/>
          <w:tblCellSpacing w:w="15" w:type="dxa"/>
        </w:trPr>
        <w:tc>
          <w:tcPr>
            <w:tcW w:w="2374" w:type="dxa"/>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color w:val="006699"/>
                <w:sz w:val="20"/>
                <w:szCs w:val="20"/>
                <w:lang w:val="bs-Latn-BA"/>
              </w:rPr>
              <w:t>Novo Sarajevo</w:t>
            </w:r>
          </w:p>
        </w:tc>
        <w:tc>
          <w:tcPr>
            <w:tcW w:w="1207"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color w:val="006699"/>
                <w:sz w:val="20"/>
                <w:szCs w:val="20"/>
                <w:lang w:val="bs-Latn-BA"/>
              </w:rPr>
              <w:t>9,9</w:t>
            </w:r>
          </w:p>
        </w:tc>
        <w:tc>
          <w:tcPr>
            <w:tcW w:w="1055"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73.862</w:t>
            </w:r>
          </w:p>
        </w:tc>
      </w:tr>
      <w:tr w:rsidR="00A131AD" w:rsidRPr="00081B73" w:rsidTr="001911A6">
        <w:trPr>
          <w:trHeight w:val="222"/>
          <w:tblCellSpacing w:w="15" w:type="dxa"/>
        </w:trPr>
        <w:tc>
          <w:tcPr>
            <w:tcW w:w="2374" w:type="dxa"/>
            <w:shd w:val="clear" w:color="auto" w:fill="FFFFCC"/>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color w:val="006699"/>
                <w:sz w:val="20"/>
                <w:szCs w:val="20"/>
                <w:lang w:val="bs-Latn-BA"/>
              </w:rPr>
              <w:t>Stari Grad</w:t>
            </w:r>
          </w:p>
        </w:tc>
        <w:tc>
          <w:tcPr>
            <w:tcW w:w="1207"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color w:val="006699"/>
                <w:sz w:val="20"/>
                <w:szCs w:val="20"/>
                <w:lang w:val="bs-Latn-BA"/>
              </w:rPr>
              <w:t>51,4</w:t>
            </w:r>
          </w:p>
        </w:tc>
        <w:tc>
          <w:tcPr>
            <w:tcW w:w="1055"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41.595</w:t>
            </w:r>
          </w:p>
        </w:tc>
      </w:tr>
      <w:tr w:rsidR="00A131AD" w:rsidRPr="00081B73" w:rsidTr="001911A6">
        <w:trPr>
          <w:trHeight w:val="222"/>
          <w:tblCellSpacing w:w="15" w:type="dxa"/>
        </w:trPr>
        <w:tc>
          <w:tcPr>
            <w:tcW w:w="2374" w:type="dxa"/>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color w:val="006699"/>
                <w:sz w:val="20"/>
                <w:szCs w:val="20"/>
                <w:lang w:val="bs-Latn-BA"/>
              </w:rPr>
              <w:t>Trnovo</w:t>
            </w:r>
          </w:p>
        </w:tc>
        <w:tc>
          <w:tcPr>
            <w:tcW w:w="1207"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color w:val="006699"/>
                <w:sz w:val="20"/>
                <w:szCs w:val="20"/>
                <w:lang w:val="bs-Latn-BA"/>
              </w:rPr>
              <w:t>338,4</w:t>
            </w:r>
          </w:p>
        </w:tc>
        <w:tc>
          <w:tcPr>
            <w:tcW w:w="1055"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2.529</w:t>
            </w:r>
          </w:p>
        </w:tc>
      </w:tr>
      <w:tr w:rsidR="00A131AD" w:rsidRPr="00081B73" w:rsidTr="001911A6">
        <w:trPr>
          <w:trHeight w:val="222"/>
          <w:tblCellSpacing w:w="15" w:type="dxa"/>
        </w:trPr>
        <w:tc>
          <w:tcPr>
            <w:tcW w:w="2374" w:type="dxa"/>
            <w:shd w:val="clear" w:color="auto" w:fill="FFFFCC"/>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color w:val="006699"/>
                <w:sz w:val="20"/>
                <w:szCs w:val="20"/>
                <w:lang w:val="bs-Latn-BA"/>
              </w:rPr>
              <w:t>Vogošća</w:t>
            </w:r>
          </w:p>
        </w:tc>
        <w:tc>
          <w:tcPr>
            <w:tcW w:w="1207"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color w:val="006699"/>
                <w:sz w:val="20"/>
                <w:szCs w:val="20"/>
                <w:lang w:val="bs-Latn-BA"/>
              </w:rPr>
              <w:t>71,7</w:t>
            </w:r>
          </w:p>
        </w:tc>
        <w:tc>
          <w:tcPr>
            <w:tcW w:w="1055"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26.847</w:t>
            </w:r>
          </w:p>
        </w:tc>
      </w:tr>
      <w:tr w:rsidR="00A131AD" w:rsidRPr="00081B73" w:rsidTr="001911A6">
        <w:trPr>
          <w:trHeight w:val="222"/>
          <w:tblCellSpacing w:w="15" w:type="dxa"/>
        </w:trPr>
        <w:tc>
          <w:tcPr>
            <w:tcW w:w="2374" w:type="dxa"/>
            <w:shd w:val="clear" w:color="auto" w:fill="FFFFFF"/>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color w:val="006699"/>
                <w:sz w:val="20"/>
                <w:szCs w:val="20"/>
                <w:lang w:val="bs-Latn-BA"/>
              </w:rPr>
              <w:t>UKUPNO:</w:t>
            </w:r>
          </w:p>
        </w:tc>
        <w:tc>
          <w:tcPr>
            <w:tcW w:w="1207" w:type="dxa"/>
            <w:shd w:val="clear" w:color="auto" w:fill="FFFFFF"/>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color w:val="006699"/>
                <w:sz w:val="20"/>
                <w:szCs w:val="20"/>
                <w:lang w:val="bs-Latn-BA"/>
              </w:rPr>
              <w:t>1.276,9</w:t>
            </w:r>
          </w:p>
        </w:tc>
        <w:tc>
          <w:tcPr>
            <w:tcW w:w="1055" w:type="dxa"/>
            <w:shd w:val="clear" w:color="auto" w:fill="FFFFFF"/>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446.853</w:t>
            </w:r>
          </w:p>
        </w:tc>
      </w:tr>
      <w:tr w:rsidR="00A131AD" w:rsidRPr="00081B73" w:rsidTr="001911A6">
        <w:trPr>
          <w:trHeight w:val="222"/>
          <w:tblCellSpacing w:w="15" w:type="dxa"/>
        </w:trPr>
        <w:tc>
          <w:tcPr>
            <w:tcW w:w="2374" w:type="dxa"/>
            <w:shd w:val="clear" w:color="auto" w:fill="FFFFFF"/>
            <w:vAlign w:val="center"/>
          </w:tcPr>
          <w:p w:rsidR="00A131AD" w:rsidRPr="00081B73" w:rsidRDefault="00A131AD" w:rsidP="000C0138">
            <w:pPr>
              <w:spacing w:line="276" w:lineRule="auto"/>
              <w:rPr>
                <w:rFonts w:ascii="Times New Roman" w:hAnsi="Times New Roman"/>
                <w:color w:val="006699"/>
                <w:sz w:val="20"/>
                <w:szCs w:val="20"/>
                <w:lang w:val="bs-Latn-BA"/>
              </w:rPr>
            </w:pPr>
            <w:r w:rsidRPr="00081B73">
              <w:rPr>
                <w:rFonts w:ascii="Times New Roman" w:hAnsi="Times New Roman"/>
                <w:sz w:val="20"/>
                <w:szCs w:val="20"/>
                <w:lang w:val="bs-Latn-BA"/>
              </w:rPr>
              <w:t>Broj stanovnika/km</w:t>
            </w:r>
            <w:r w:rsidRPr="00081B73">
              <w:rPr>
                <w:rFonts w:ascii="Times New Roman" w:hAnsi="Times New Roman"/>
                <w:b/>
                <w:bCs/>
                <w:sz w:val="20"/>
                <w:szCs w:val="20"/>
                <w:vertAlign w:val="superscript"/>
                <w:lang w:val="bs-Latn-BA"/>
              </w:rPr>
              <w:t>2</w:t>
            </w:r>
          </w:p>
        </w:tc>
        <w:tc>
          <w:tcPr>
            <w:tcW w:w="1207" w:type="dxa"/>
            <w:shd w:val="clear" w:color="auto" w:fill="FFFFFF"/>
            <w:vAlign w:val="center"/>
          </w:tcPr>
          <w:p w:rsidR="00A131AD" w:rsidRPr="00081B73" w:rsidRDefault="00A131AD" w:rsidP="000C0138">
            <w:pPr>
              <w:spacing w:line="276" w:lineRule="auto"/>
              <w:jc w:val="right"/>
              <w:rPr>
                <w:rFonts w:ascii="Times New Roman" w:hAnsi="Times New Roman"/>
                <w:color w:val="006699"/>
                <w:sz w:val="20"/>
                <w:szCs w:val="20"/>
                <w:lang w:val="bs-Latn-BA"/>
              </w:rPr>
            </w:pPr>
            <w:r w:rsidRPr="00081B73">
              <w:rPr>
                <w:rFonts w:ascii="Times New Roman" w:hAnsi="Times New Roman"/>
                <w:color w:val="006699"/>
                <w:sz w:val="20"/>
                <w:szCs w:val="20"/>
                <w:lang w:val="bs-Latn-BA"/>
              </w:rPr>
              <w:t>348,4</w:t>
            </w:r>
          </w:p>
        </w:tc>
        <w:tc>
          <w:tcPr>
            <w:tcW w:w="1055" w:type="dxa"/>
            <w:shd w:val="clear" w:color="auto" w:fill="FFFFFF"/>
            <w:vAlign w:val="center"/>
          </w:tcPr>
          <w:p w:rsidR="00A131AD" w:rsidRPr="00081B73" w:rsidRDefault="00A131AD" w:rsidP="000C0138">
            <w:pPr>
              <w:spacing w:line="276" w:lineRule="auto"/>
              <w:jc w:val="center"/>
              <w:rPr>
                <w:rFonts w:ascii="Times New Roman" w:hAnsi="Times New Roman"/>
                <w:sz w:val="20"/>
                <w:szCs w:val="20"/>
                <w:lang w:val="bs-Latn-BA"/>
              </w:rPr>
            </w:pPr>
          </w:p>
        </w:tc>
      </w:tr>
    </w:tbl>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ab/>
      </w:r>
      <w:r w:rsidRPr="00081B73">
        <w:rPr>
          <w:rFonts w:ascii="Times New Roman" w:hAnsi="Times New Roman"/>
          <w:sz w:val="20"/>
          <w:szCs w:val="20"/>
          <w:lang w:val="bs-Latn-BA"/>
        </w:rPr>
        <w:tab/>
      </w:r>
      <w:r w:rsidRPr="00081B73">
        <w:rPr>
          <w:rFonts w:ascii="Times New Roman" w:hAnsi="Times New Roman"/>
          <w:sz w:val="20"/>
          <w:szCs w:val="20"/>
          <w:lang w:val="bs-Latn-BA"/>
        </w:rPr>
        <w:tab/>
        <w:t xml:space="preserve">        * procjena broja stanovnika na dan 30.06. 2015. godine</w:t>
      </w:r>
    </w:p>
    <w:p w:rsidR="00A131AD" w:rsidRPr="00081B73" w:rsidRDefault="00A131AD" w:rsidP="000C0138">
      <w:pPr>
        <w:spacing w:line="276" w:lineRule="auto"/>
        <w:rPr>
          <w:rFonts w:ascii="Times New Roman" w:hAnsi="Times New Roman"/>
          <w:sz w:val="20"/>
          <w:szCs w:val="20"/>
          <w:lang w:val="bs-Latn-BA"/>
        </w:rPr>
      </w:pPr>
    </w:p>
    <w:p w:rsidR="00A131AD" w:rsidRPr="00081B73" w:rsidRDefault="00606974" w:rsidP="00677033">
      <w:pPr>
        <w:pStyle w:val="refererere"/>
        <w:rPr>
          <w:lang w:val="bs-Latn-BA"/>
        </w:rPr>
      </w:pPr>
      <w:r>
        <w:rPr>
          <w:lang w:val="bs-Latn-BA"/>
        </w:rPr>
        <w:t>Tab</w:t>
      </w:r>
      <w:r w:rsidR="00A131AD" w:rsidRPr="00081B73">
        <w:rPr>
          <w:lang w:val="bs-Latn-BA"/>
        </w:rPr>
        <w:t>l</w:t>
      </w:r>
      <w:r>
        <w:rPr>
          <w:lang w:val="bs-Latn-BA"/>
        </w:rPr>
        <w:t>ic</w:t>
      </w:r>
      <w:r w:rsidR="00A131AD" w:rsidRPr="00081B73">
        <w:rPr>
          <w:lang w:val="bs-Latn-BA"/>
        </w:rPr>
        <w:t>a 2: Preliminarni pokazatelji vitalne statistike za 2010</w:t>
      </w:r>
      <w:r>
        <w:rPr>
          <w:lang w:val="bs-Latn-BA"/>
        </w:rPr>
        <w:t>.</w:t>
      </w:r>
      <w:r w:rsidR="00A131AD" w:rsidRPr="00081B73">
        <w:rPr>
          <w:lang w:val="bs-Latn-BA"/>
        </w:rPr>
        <w:t xml:space="preserve"> i 2015. godinu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663"/>
        <w:gridCol w:w="2697"/>
        <w:gridCol w:w="2496"/>
      </w:tblGrid>
      <w:tr w:rsidR="00A131AD" w:rsidRPr="00081B73" w:rsidTr="001911A6">
        <w:tc>
          <w:tcPr>
            <w:tcW w:w="3663" w:type="dxa"/>
            <w:shd w:val="clear" w:color="auto" w:fill="FFFF00"/>
          </w:tcPr>
          <w:p w:rsidR="00A131AD" w:rsidRPr="00081B73" w:rsidRDefault="00A131AD" w:rsidP="000C0138">
            <w:pPr>
              <w:spacing w:line="276" w:lineRule="auto"/>
              <w:jc w:val="center"/>
              <w:rPr>
                <w:rFonts w:ascii="Times New Roman" w:hAnsi="Times New Roman"/>
                <w:sz w:val="20"/>
                <w:szCs w:val="20"/>
                <w:lang w:val="bs-Latn-BA"/>
              </w:rPr>
            </w:pPr>
          </w:p>
        </w:tc>
        <w:tc>
          <w:tcPr>
            <w:tcW w:w="2697"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2010.</w:t>
            </w:r>
          </w:p>
        </w:tc>
        <w:tc>
          <w:tcPr>
            <w:tcW w:w="2496"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2015.</w:t>
            </w:r>
          </w:p>
        </w:tc>
      </w:tr>
      <w:tr w:rsidR="00A131AD" w:rsidRPr="00081B73" w:rsidTr="001911A6">
        <w:tc>
          <w:tcPr>
            <w:tcW w:w="3663"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Natalitet</w:t>
            </w:r>
          </w:p>
        </w:tc>
        <w:tc>
          <w:tcPr>
            <w:tcW w:w="2697" w:type="dxa"/>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10,6</w:t>
            </w:r>
          </w:p>
        </w:tc>
        <w:tc>
          <w:tcPr>
            <w:tcW w:w="2496" w:type="dxa"/>
          </w:tcPr>
          <w:p w:rsidR="00A131AD" w:rsidRPr="00081B73" w:rsidRDefault="00A131AD" w:rsidP="000C0138">
            <w:pPr>
              <w:spacing w:line="276" w:lineRule="auto"/>
              <w:ind w:right="453"/>
              <w:jc w:val="center"/>
              <w:rPr>
                <w:rFonts w:ascii="Times New Roman" w:hAnsi="Times New Roman"/>
                <w:sz w:val="20"/>
                <w:szCs w:val="20"/>
                <w:lang w:val="bs-Latn-BA"/>
              </w:rPr>
            </w:pPr>
            <w:r w:rsidRPr="00081B73">
              <w:rPr>
                <w:rFonts w:ascii="Times New Roman" w:hAnsi="Times New Roman"/>
                <w:sz w:val="20"/>
                <w:szCs w:val="20"/>
                <w:lang w:val="bs-Latn-BA"/>
              </w:rPr>
              <w:t>10,4</w:t>
            </w:r>
          </w:p>
        </w:tc>
      </w:tr>
      <w:tr w:rsidR="00A131AD" w:rsidRPr="00081B73" w:rsidTr="001911A6">
        <w:tc>
          <w:tcPr>
            <w:tcW w:w="3663"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Mortalitet</w:t>
            </w:r>
          </w:p>
        </w:tc>
        <w:tc>
          <w:tcPr>
            <w:tcW w:w="2697" w:type="dxa"/>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9,5</w:t>
            </w:r>
          </w:p>
        </w:tc>
        <w:tc>
          <w:tcPr>
            <w:tcW w:w="2496" w:type="dxa"/>
          </w:tcPr>
          <w:p w:rsidR="00A131AD" w:rsidRPr="00081B73" w:rsidRDefault="00A131AD" w:rsidP="000C0138">
            <w:pPr>
              <w:spacing w:line="276" w:lineRule="auto"/>
              <w:ind w:right="453"/>
              <w:jc w:val="center"/>
              <w:rPr>
                <w:rFonts w:ascii="Times New Roman" w:hAnsi="Times New Roman"/>
                <w:sz w:val="20"/>
                <w:szCs w:val="20"/>
                <w:lang w:val="bs-Latn-BA"/>
              </w:rPr>
            </w:pPr>
            <w:r w:rsidRPr="00081B73">
              <w:rPr>
                <w:rFonts w:ascii="Times New Roman" w:hAnsi="Times New Roman"/>
                <w:sz w:val="20"/>
                <w:szCs w:val="20"/>
                <w:lang w:val="bs-Latn-BA"/>
              </w:rPr>
              <w:t>10,0</w:t>
            </w:r>
          </w:p>
        </w:tc>
      </w:tr>
      <w:tr w:rsidR="00A131AD" w:rsidRPr="00081B73" w:rsidTr="001911A6">
        <w:tc>
          <w:tcPr>
            <w:tcW w:w="3663"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Smrtnost dojenčadi</w:t>
            </w:r>
          </w:p>
        </w:tc>
        <w:tc>
          <w:tcPr>
            <w:tcW w:w="2697" w:type="dxa"/>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6,7</w:t>
            </w:r>
          </w:p>
        </w:tc>
        <w:tc>
          <w:tcPr>
            <w:tcW w:w="2496" w:type="dxa"/>
          </w:tcPr>
          <w:p w:rsidR="00A131AD" w:rsidRPr="00081B73" w:rsidRDefault="00A131AD" w:rsidP="000C0138">
            <w:pPr>
              <w:spacing w:line="276" w:lineRule="auto"/>
              <w:ind w:right="453"/>
              <w:jc w:val="center"/>
              <w:rPr>
                <w:rFonts w:ascii="Times New Roman" w:hAnsi="Times New Roman"/>
                <w:sz w:val="20"/>
                <w:szCs w:val="20"/>
                <w:lang w:val="bs-Latn-BA"/>
              </w:rPr>
            </w:pPr>
            <w:r w:rsidRPr="00081B73">
              <w:rPr>
                <w:rFonts w:ascii="Times New Roman" w:hAnsi="Times New Roman"/>
                <w:sz w:val="20"/>
                <w:szCs w:val="20"/>
                <w:lang w:val="bs-Latn-BA"/>
              </w:rPr>
              <w:t>6,9</w:t>
            </w:r>
          </w:p>
        </w:tc>
      </w:tr>
      <w:tr w:rsidR="00A131AD" w:rsidRPr="00081B73" w:rsidTr="001911A6">
        <w:tc>
          <w:tcPr>
            <w:tcW w:w="3663" w:type="dxa"/>
          </w:tcPr>
          <w:p w:rsidR="00A131AD" w:rsidRPr="00081B73" w:rsidRDefault="00A131AD" w:rsidP="00606974">
            <w:pPr>
              <w:spacing w:line="276" w:lineRule="auto"/>
              <w:rPr>
                <w:rFonts w:ascii="Times New Roman" w:hAnsi="Times New Roman"/>
                <w:sz w:val="20"/>
                <w:szCs w:val="20"/>
                <w:lang w:val="bs-Latn-BA"/>
              </w:rPr>
            </w:pPr>
            <w:r w:rsidRPr="00081B73">
              <w:rPr>
                <w:rFonts w:ascii="Times New Roman" w:hAnsi="Times New Roman"/>
                <w:sz w:val="20"/>
                <w:szCs w:val="20"/>
                <w:lang w:val="bs-Latn-BA"/>
              </w:rPr>
              <w:t>Prirodni prira</w:t>
            </w:r>
            <w:r w:rsidR="00606974">
              <w:rPr>
                <w:rFonts w:ascii="Times New Roman" w:hAnsi="Times New Roman"/>
                <w:sz w:val="20"/>
                <w:szCs w:val="20"/>
                <w:lang w:val="bs-Latn-BA"/>
              </w:rPr>
              <w:t>st</w:t>
            </w:r>
          </w:p>
        </w:tc>
        <w:tc>
          <w:tcPr>
            <w:tcW w:w="2697" w:type="dxa"/>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1,1</w:t>
            </w:r>
          </w:p>
        </w:tc>
        <w:tc>
          <w:tcPr>
            <w:tcW w:w="2496" w:type="dxa"/>
          </w:tcPr>
          <w:p w:rsidR="00A131AD" w:rsidRPr="00081B73" w:rsidRDefault="00A131AD" w:rsidP="000C0138">
            <w:pPr>
              <w:spacing w:line="276" w:lineRule="auto"/>
              <w:ind w:right="453"/>
              <w:jc w:val="center"/>
              <w:rPr>
                <w:rFonts w:ascii="Times New Roman" w:hAnsi="Times New Roman"/>
                <w:sz w:val="20"/>
                <w:szCs w:val="20"/>
                <w:lang w:val="bs-Latn-BA"/>
              </w:rPr>
            </w:pPr>
            <w:r w:rsidRPr="00081B73">
              <w:rPr>
                <w:rFonts w:ascii="Times New Roman" w:hAnsi="Times New Roman"/>
                <w:sz w:val="20"/>
                <w:szCs w:val="20"/>
                <w:lang w:val="bs-Latn-BA"/>
              </w:rPr>
              <w:t>0,3</w:t>
            </w:r>
          </w:p>
        </w:tc>
      </w:tr>
    </w:tbl>
    <w:p w:rsidR="00A131AD" w:rsidRPr="00081B73" w:rsidRDefault="00A131AD" w:rsidP="000C0138">
      <w:pPr>
        <w:spacing w:line="276" w:lineRule="auto"/>
        <w:rPr>
          <w:rFonts w:ascii="Times New Roman" w:hAnsi="Times New Roman"/>
          <w:sz w:val="20"/>
          <w:szCs w:val="20"/>
          <w:lang w:val="bs-Latn-BA"/>
        </w:rPr>
      </w:pPr>
    </w:p>
    <w:p w:rsidR="00A131AD" w:rsidRPr="00081B73" w:rsidRDefault="00606974" w:rsidP="00677033">
      <w:pPr>
        <w:pStyle w:val="refererere"/>
        <w:rPr>
          <w:lang w:val="bs-Latn-BA"/>
        </w:rPr>
      </w:pPr>
      <w:r>
        <w:rPr>
          <w:lang w:val="bs-Latn-BA"/>
        </w:rPr>
        <w:t>Tab</w:t>
      </w:r>
      <w:r w:rsidR="00A131AD" w:rsidRPr="00081B73">
        <w:rPr>
          <w:lang w:val="bs-Latn-BA"/>
        </w:rPr>
        <w:t>l</w:t>
      </w:r>
      <w:r>
        <w:rPr>
          <w:lang w:val="bs-Latn-BA"/>
        </w:rPr>
        <w:t>ic</w:t>
      </w:r>
      <w:r w:rsidR="00A131AD" w:rsidRPr="00081B73">
        <w:rPr>
          <w:lang w:val="bs-Latn-BA"/>
        </w:rPr>
        <w:t>a 3: Vodeći uzroci smrti za 2010</w:t>
      </w:r>
      <w:r>
        <w:rPr>
          <w:lang w:val="bs-Latn-BA"/>
        </w:rPr>
        <w:t>.</w:t>
      </w:r>
      <w:r w:rsidR="00A131AD" w:rsidRPr="00081B73">
        <w:rPr>
          <w:lang w:val="bs-Latn-BA"/>
        </w:rPr>
        <w:t xml:space="preserve"> i 2015. godinu **</w:t>
      </w: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88"/>
        <w:gridCol w:w="2500"/>
        <w:gridCol w:w="718"/>
        <w:gridCol w:w="861"/>
        <w:gridCol w:w="581"/>
        <w:gridCol w:w="2340"/>
        <w:gridCol w:w="766"/>
        <w:gridCol w:w="1034"/>
      </w:tblGrid>
      <w:tr w:rsidR="00A131AD" w:rsidRPr="00081B73" w:rsidTr="001911A6">
        <w:trPr>
          <w:trHeight w:val="405"/>
        </w:trPr>
        <w:tc>
          <w:tcPr>
            <w:tcW w:w="4567" w:type="dxa"/>
            <w:gridSpan w:val="4"/>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2010.</w:t>
            </w:r>
          </w:p>
        </w:tc>
        <w:tc>
          <w:tcPr>
            <w:tcW w:w="4721" w:type="dxa"/>
            <w:gridSpan w:val="4"/>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2015.</w:t>
            </w:r>
          </w:p>
        </w:tc>
      </w:tr>
      <w:tr w:rsidR="00A131AD" w:rsidRPr="00081B73" w:rsidTr="001911A6">
        <w:trPr>
          <w:trHeight w:val="345"/>
        </w:trPr>
        <w:tc>
          <w:tcPr>
            <w:tcW w:w="488" w:type="dxa"/>
            <w:shd w:val="clear" w:color="auto" w:fill="FFFF00"/>
            <w:vAlign w:val="center"/>
          </w:tcPr>
          <w:p w:rsidR="00A131AD" w:rsidRPr="00081B73" w:rsidRDefault="00A131AD" w:rsidP="000C0138">
            <w:pPr>
              <w:spacing w:line="276" w:lineRule="auto"/>
              <w:ind w:right="-108"/>
              <w:jc w:val="center"/>
              <w:rPr>
                <w:rFonts w:ascii="Times New Roman" w:hAnsi="Times New Roman"/>
                <w:bCs/>
                <w:sz w:val="20"/>
                <w:szCs w:val="20"/>
                <w:lang w:val="bs-Latn-BA"/>
              </w:rPr>
            </w:pPr>
            <w:r w:rsidRPr="00081B73">
              <w:rPr>
                <w:rFonts w:ascii="Times New Roman" w:hAnsi="Times New Roman"/>
                <w:bCs/>
                <w:sz w:val="20"/>
                <w:szCs w:val="20"/>
                <w:lang w:val="bs-Latn-BA"/>
              </w:rPr>
              <w:t>Rang</w:t>
            </w:r>
          </w:p>
        </w:tc>
        <w:tc>
          <w:tcPr>
            <w:tcW w:w="2500"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Oboljenje</w:t>
            </w:r>
          </w:p>
        </w:tc>
        <w:tc>
          <w:tcPr>
            <w:tcW w:w="718"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Broj umrlih</w:t>
            </w:r>
          </w:p>
        </w:tc>
        <w:tc>
          <w:tcPr>
            <w:tcW w:w="861"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Indeks strukture (%)</w:t>
            </w:r>
          </w:p>
        </w:tc>
        <w:tc>
          <w:tcPr>
            <w:tcW w:w="581" w:type="dxa"/>
            <w:shd w:val="clear" w:color="auto" w:fill="FFFF00"/>
            <w:vAlign w:val="center"/>
          </w:tcPr>
          <w:p w:rsidR="00A131AD" w:rsidRPr="00081B73" w:rsidRDefault="00A131AD" w:rsidP="000C0138">
            <w:pPr>
              <w:spacing w:line="276" w:lineRule="auto"/>
              <w:ind w:right="-108"/>
              <w:rPr>
                <w:rFonts w:ascii="Times New Roman" w:hAnsi="Times New Roman"/>
                <w:bCs/>
                <w:sz w:val="20"/>
                <w:szCs w:val="20"/>
                <w:lang w:val="bs-Latn-BA"/>
              </w:rPr>
            </w:pPr>
            <w:r w:rsidRPr="00081B73">
              <w:rPr>
                <w:rFonts w:ascii="Times New Roman" w:hAnsi="Times New Roman"/>
                <w:bCs/>
                <w:sz w:val="20"/>
                <w:szCs w:val="20"/>
                <w:lang w:val="bs-Latn-BA"/>
              </w:rPr>
              <w:t>Rang</w:t>
            </w:r>
          </w:p>
        </w:tc>
        <w:tc>
          <w:tcPr>
            <w:tcW w:w="2340"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Oboljenje</w:t>
            </w:r>
          </w:p>
        </w:tc>
        <w:tc>
          <w:tcPr>
            <w:tcW w:w="766"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Broj umrlih</w:t>
            </w:r>
          </w:p>
        </w:tc>
        <w:tc>
          <w:tcPr>
            <w:tcW w:w="1034"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Indeks strukture (%)</w:t>
            </w:r>
          </w:p>
        </w:tc>
      </w:tr>
      <w:tr w:rsidR="00A131AD" w:rsidRPr="00081B73" w:rsidTr="001911A6">
        <w:tc>
          <w:tcPr>
            <w:tcW w:w="488"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1</w:t>
            </w:r>
          </w:p>
        </w:tc>
        <w:tc>
          <w:tcPr>
            <w:tcW w:w="2500"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rPr>
              <w:t>Moždani udar ( I63)</w:t>
            </w:r>
          </w:p>
        </w:tc>
        <w:tc>
          <w:tcPr>
            <w:tcW w:w="718"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359</w:t>
            </w:r>
          </w:p>
        </w:tc>
        <w:tc>
          <w:tcPr>
            <w:tcW w:w="861" w:type="dxa"/>
          </w:tcPr>
          <w:p w:rsidR="00A131AD" w:rsidRPr="00081B73" w:rsidRDefault="00A131AD" w:rsidP="000C0138">
            <w:pPr>
              <w:tabs>
                <w:tab w:val="left" w:pos="360"/>
                <w:tab w:val="left" w:pos="405"/>
                <w:tab w:val="left" w:pos="465"/>
              </w:tabs>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8,7</w:t>
            </w:r>
          </w:p>
        </w:tc>
        <w:tc>
          <w:tcPr>
            <w:tcW w:w="581"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1</w:t>
            </w:r>
          </w:p>
        </w:tc>
        <w:tc>
          <w:tcPr>
            <w:tcW w:w="2340"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rPr>
              <w:t>Moždani udar ( I63)</w:t>
            </w:r>
          </w:p>
        </w:tc>
        <w:tc>
          <w:tcPr>
            <w:tcW w:w="766"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404</w:t>
            </w:r>
          </w:p>
        </w:tc>
        <w:tc>
          <w:tcPr>
            <w:tcW w:w="1034"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9,0</w:t>
            </w:r>
          </w:p>
        </w:tc>
      </w:tr>
      <w:tr w:rsidR="00A131AD" w:rsidRPr="00081B73" w:rsidTr="001911A6">
        <w:tc>
          <w:tcPr>
            <w:tcW w:w="488"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2</w:t>
            </w:r>
          </w:p>
        </w:tc>
        <w:tc>
          <w:tcPr>
            <w:tcW w:w="2500"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 xml:space="preserve">Hronična ishemična oboljenja srca </w:t>
            </w:r>
            <w:r w:rsidRPr="00081B73">
              <w:rPr>
                <w:rFonts w:ascii="Times New Roman" w:hAnsi="Times New Roman"/>
                <w:sz w:val="20"/>
                <w:szCs w:val="20"/>
              </w:rPr>
              <w:t>( I25)</w:t>
            </w:r>
          </w:p>
        </w:tc>
        <w:tc>
          <w:tcPr>
            <w:tcW w:w="718"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276</w:t>
            </w:r>
          </w:p>
        </w:tc>
        <w:tc>
          <w:tcPr>
            <w:tcW w:w="861" w:type="dxa"/>
          </w:tcPr>
          <w:p w:rsidR="00A131AD" w:rsidRPr="00081B73" w:rsidRDefault="00A131AD" w:rsidP="000C0138">
            <w:pPr>
              <w:tabs>
                <w:tab w:val="left" w:pos="465"/>
              </w:tabs>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6,7</w:t>
            </w:r>
          </w:p>
        </w:tc>
        <w:tc>
          <w:tcPr>
            <w:tcW w:w="581"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2</w:t>
            </w:r>
          </w:p>
        </w:tc>
        <w:tc>
          <w:tcPr>
            <w:tcW w:w="2340"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Maligne neoplazme bronha i pluća (C34)</w:t>
            </w:r>
          </w:p>
        </w:tc>
        <w:tc>
          <w:tcPr>
            <w:tcW w:w="766"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277</w:t>
            </w:r>
          </w:p>
        </w:tc>
        <w:tc>
          <w:tcPr>
            <w:tcW w:w="1034"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6,2</w:t>
            </w:r>
          </w:p>
        </w:tc>
      </w:tr>
      <w:tr w:rsidR="00A131AD" w:rsidRPr="00081B73" w:rsidTr="001911A6">
        <w:tc>
          <w:tcPr>
            <w:tcW w:w="488"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3</w:t>
            </w:r>
          </w:p>
        </w:tc>
        <w:tc>
          <w:tcPr>
            <w:tcW w:w="2500"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Maligne neoplazme bronha i pluća (C34)</w:t>
            </w:r>
          </w:p>
        </w:tc>
        <w:tc>
          <w:tcPr>
            <w:tcW w:w="718"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263</w:t>
            </w:r>
          </w:p>
        </w:tc>
        <w:tc>
          <w:tcPr>
            <w:tcW w:w="861"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6,4</w:t>
            </w:r>
          </w:p>
        </w:tc>
        <w:tc>
          <w:tcPr>
            <w:tcW w:w="581"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3</w:t>
            </w:r>
          </w:p>
        </w:tc>
        <w:tc>
          <w:tcPr>
            <w:tcW w:w="2340"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Hronična ishemična oboljenja srca (I25)</w:t>
            </w:r>
          </w:p>
        </w:tc>
        <w:tc>
          <w:tcPr>
            <w:tcW w:w="766"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258</w:t>
            </w:r>
          </w:p>
        </w:tc>
        <w:tc>
          <w:tcPr>
            <w:tcW w:w="1034"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5,8</w:t>
            </w:r>
          </w:p>
        </w:tc>
      </w:tr>
      <w:tr w:rsidR="00A131AD" w:rsidRPr="00081B73" w:rsidTr="001911A6">
        <w:tc>
          <w:tcPr>
            <w:tcW w:w="488"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4</w:t>
            </w:r>
          </w:p>
        </w:tc>
        <w:tc>
          <w:tcPr>
            <w:tcW w:w="2500"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 xml:space="preserve">Akutni infarkt miokarda </w:t>
            </w:r>
            <w:r w:rsidRPr="00081B73">
              <w:rPr>
                <w:rFonts w:ascii="Times New Roman" w:hAnsi="Times New Roman"/>
                <w:sz w:val="20"/>
                <w:szCs w:val="20"/>
              </w:rPr>
              <w:t>( I21)</w:t>
            </w:r>
          </w:p>
        </w:tc>
        <w:tc>
          <w:tcPr>
            <w:tcW w:w="718"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263</w:t>
            </w:r>
          </w:p>
        </w:tc>
        <w:tc>
          <w:tcPr>
            <w:tcW w:w="861"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6,4</w:t>
            </w:r>
          </w:p>
        </w:tc>
        <w:tc>
          <w:tcPr>
            <w:tcW w:w="581"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4</w:t>
            </w:r>
          </w:p>
        </w:tc>
        <w:tc>
          <w:tcPr>
            <w:tcW w:w="2340"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 xml:space="preserve">Akutni infarkt miokarda </w:t>
            </w:r>
            <w:r w:rsidRPr="00081B73">
              <w:rPr>
                <w:rFonts w:ascii="Times New Roman" w:hAnsi="Times New Roman"/>
                <w:sz w:val="20"/>
                <w:szCs w:val="20"/>
              </w:rPr>
              <w:t>( I21)</w:t>
            </w:r>
          </w:p>
        </w:tc>
        <w:tc>
          <w:tcPr>
            <w:tcW w:w="766"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217</w:t>
            </w:r>
          </w:p>
        </w:tc>
        <w:tc>
          <w:tcPr>
            <w:tcW w:w="1034"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4,9</w:t>
            </w:r>
          </w:p>
        </w:tc>
      </w:tr>
      <w:tr w:rsidR="00A131AD" w:rsidRPr="00081B73" w:rsidTr="001911A6">
        <w:tc>
          <w:tcPr>
            <w:tcW w:w="488"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5</w:t>
            </w:r>
          </w:p>
        </w:tc>
        <w:tc>
          <w:tcPr>
            <w:tcW w:w="2500"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 xml:space="preserve">Arteroskleroza </w:t>
            </w:r>
            <w:r w:rsidRPr="00081B73">
              <w:rPr>
                <w:rFonts w:ascii="Times New Roman" w:hAnsi="Times New Roman"/>
                <w:sz w:val="20"/>
                <w:szCs w:val="20"/>
              </w:rPr>
              <w:t>(I70)</w:t>
            </w:r>
          </w:p>
        </w:tc>
        <w:tc>
          <w:tcPr>
            <w:tcW w:w="718"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174</w:t>
            </w:r>
          </w:p>
        </w:tc>
        <w:tc>
          <w:tcPr>
            <w:tcW w:w="861"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4,2</w:t>
            </w:r>
          </w:p>
        </w:tc>
        <w:tc>
          <w:tcPr>
            <w:tcW w:w="581"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5</w:t>
            </w:r>
          </w:p>
        </w:tc>
        <w:tc>
          <w:tcPr>
            <w:tcW w:w="2340"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Inzulino-neovisni diabetes mellitus (E11)</w:t>
            </w:r>
          </w:p>
        </w:tc>
        <w:tc>
          <w:tcPr>
            <w:tcW w:w="766"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213</w:t>
            </w:r>
          </w:p>
        </w:tc>
        <w:tc>
          <w:tcPr>
            <w:tcW w:w="1034"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4,8</w:t>
            </w:r>
          </w:p>
        </w:tc>
      </w:tr>
      <w:tr w:rsidR="00A131AD" w:rsidRPr="00081B73" w:rsidTr="001911A6">
        <w:tc>
          <w:tcPr>
            <w:tcW w:w="488" w:type="dxa"/>
          </w:tcPr>
          <w:p w:rsidR="00A131AD" w:rsidRPr="00081B73" w:rsidRDefault="00A131AD" w:rsidP="000C0138">
            <w:pPr>
              <w:spacing w:line="276" w:lineRule="auto"/>
              <w:ind w:right="-108"/>
              <w:jc w:val="center"/>
              <w:rPr>
                <w:rFonts w:ascii="Times New Roman" w:hAnsi="Times New Roman"/>
                <w:sz w:val="20"/>
                <w:szCs w:val="20"/>
                <w:lang w:val="bs-Latn-BA"/>
              </w:rPr>
            </w:pPr>
          </w:p>
        </w:tc>
        <w:tc>
          <w:tcPr>
            <w:tcW w:w="2500" w:type="dxa"/>
          </w:tcPr>
          <w:p w:rsidR="00A131AD" w:rsidRPr="00081B73" w:rsidRDefault="00A131AD" w:rsidP="000C0138">
            <w:pPr>
              <w:spacing w:line="276" w:lineRule="auto"/>
              <w:jc w:val="left"/>
              <w:rPr>
                <w:rFonts w:ascii="Times New Roman" w:hAnsi="Times New Roman"/>
                <w:sz w:val="20"/>
                <w:szCs w:val="20"/>
                <w:lang w:val="bs-Latn-BA"/>
              </w:rPr>
            </w:pPr>
            <w:r w:rsidRPr="00081B73">
              <w:rPr>
                <w:rFonts w:ascii="Times New Roman" w:hAnsi="Times New Roman"/>
                <w:sz w:val="20"/>
                <w:szCs w:val="20"/>
                <w:lang w:val="bs-Latn-BA"/>
              </w:rPr>
              <w:t>Ostale bolesti kao uzrok smrti</w:t>
            </w:r>
          </w:p>
        </w:tc>
        <w:tc>
          <w:tcPr>
            <w:tcW w:w="718"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2802</w:t>
            </w:r>
          </w:p>
        </w:tc>
        <w:tc>
          <w:tcPr>
            <w:tcW w:w="861"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67,7</w:t>
            </w:r>
          </w:p>
        </w:tc>
        <w:tc>
          <w:tcPr>
            <w:tcW w:w="581" w:type="dxa"/>
          </w:tcPr>
          <w:p w:rsidR="00A131AD" w:rsidRPr="00081B73" w:rsidRDefault="00A131AD" w:rsidP="000C0138">
            <w:pPr>
              <w:spacing w:line="276" w:lineRule="auto"/>
              <w:ind w:right="-108"/>
              <w:jc w:val="center"/>
              <w:rPr>
                <w:rFonts w:ascii="Times New Roman" w:hAnsi="Times New Roman"/>
                <w:sz w:val="20"/>
                <w:szCs w:val="20"/>
                <w:lang w:val="bs-Latn-BA"/>
              </w:rPr>
            </w:pPr>
          </w:p>
        </w:tc>
        <w:tc>
          <w:tcPr>
            <w:tcW w:w="2340"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Ostali uzroci smrti</w:t>
            </w:r>
          </w:p>
        </w:tc>
        <w:tc>
          <w:tcPr>
            <w:tcW w:w="766"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3100</w:t>
            </w:r>
          </w:p>
        </w:tc>
        <w:tc>
          <w:tcPr>
            <w:tcW w:w="1034"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69,4</w:t>
            </w:r>
          </w:p>
        </w:tc>
      </w:tr>
      <w:tr w:rsidR="00A131AD" w:rsidRPr="00081B73" w:rsidTr="001911A6">
        <w:tc>
          <w:tcPr>
            <w:tcW w:w="488" w:type="dxa"/>
          </w:tcPr>
          <w:p w:rsidR="00A131AD" w:rsidRPr="00081B73" w:rsidRDefault="00A131AD" w:rsidP="000C0138">
            <w:pPr>
              <w:spacing w:line="276" w:lineRule="auto"/>
              <w:ind w:right="-108"/>
              <w:jc w:val="center"/>
              <w:rPr>
                <w:rFonts w:ascii="Times New Roman" w:hAnsi="Times New Roman"/>
                <w:sz w:val="20"/>
                <w:szCs w:val="20"/>
                <w:lang w:val="bs-Latn-BA"/>
              </w:rPr>
            </w:pPr>
          </w:p>
        </w:tc>
        <w:tc>
          <w:tcPr>
            <w:tcW w:w="2500" w:type="dxa"/>
          </w:tcPr>
          <w:p w:rsidR="00A131AD" w:rsidRPr="00081B73" w:rsidRDefault="00A131AD" w:rsidP="000C0138">
            <w:pPr>
              <w:spacing w:line="276" w:lineRule="auto"/>
              <w:jc w:val="left"/>
              <w:rPr>
                <w:rFonts w:ascii="Times New Roman" w:hAnsi="Times New Roman"/>
                <w:sz w:val="20"/>
                <w:szCs w:val="20"/>
                <w:lang w:val="bs-Latn-BA"/>
              </w:rPr>
            </w:pPr>
            <w:r w:rsidRPr="00081B73">
              <w:rPr>
                <w:rFonts w:ascii="Times New Roman" w:hAnsi="Times New Roman"/>
                <w:sz w:val="20"/>
                <w:szCs w:val="20"/>
                <w:lang w:val="bs-Latn-BA"/>
              </w:rPr>
              <w:t>Ukupno umrlih</w:t>
            </w:r>
          </w:p>
        </w:tc>
        <w:tc>
          <w:tcPr>
            <w:tcW w:w="718"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4137</w:t>
            </w:r>
          </w:p>
        </w:tc>
        <w:tc>
          <w:tcPr>
            <w:tcW w:w="861" w:type="dxa"/>
          </w:tcPr>
          <w:p w:rsidR="00A131AD" w:rsidRPr="00081B73" w:rsidRDefault="00A131AD" w:rsidP="000C0138">
            <w:pPr>
              <w:tabs>
                <w:tab w:val="left" w:pos="420"/>
              </w:tabs>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100%</w:t>
            </w:r>
          </w:p>
        </w:tc>
        <w:tc>
          <w:tcPr>
            <w:tcW w:w="581" w:type="dxa"/>
          </w:tcPr>
          <w:p w:rsidR="00A131AD" w:rsidRPr="00081B73" w:rsidRDefault="00A131AD" w:rsidP="000C0138">
            <w:pPr>
              <w:spacing w:line="276" w:lineRule="auto"/>
              <w:ind w:right="-108"/>
              <w:jc w:val="center"/>
              <w:rPr>
                <w:rFonts w:ascii="Times New Roman" w:hAnsi="Times New Roman"/>
                <w:sz w:val="20"/>
                <w:szCs w:val="20"/>
                <w:lang w:val="bs-Latn-BA"/>
              </w:rPr>
            </w:pPr>
          </w:p>
        </w:tc>
        <w:tc>
          <w:tcPr>
            <w:tcW w:w="2340"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Ukupno umrlih</w:t>
            </w:r>
          </w:p>
        </w:tc>
        <w:tc>
          <w:tcPr>
            <w:tcW w:w="766"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4469</w:t>
            </w:r>
          </w:p>
        </w:tc>
        <w:tc>
          <w:tcPr>
            <w:tcW w:w="1034"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100%</w:t>
            </w:r>
          </w:p>
        </w:tc>
      </w:tr>
    </w:tbl>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 Poda</w:t>
      </w:r>
      <w:r w:rsidR="00606974">
        <w:rPr>
          <w:rFonts w:ascii="Times New Roman" w:hAnsi="Times New Roman"/>
          <w:sz w:val="20"/>
          <w:szCs w:val="20"/>
          <w:lang w:val="bs-Latn-BA"/>
        </w:rPr>
        <w:t>t</w:t>
      </w:r>
      <w:r w:rsidRPr="00081B73">
        <w:rPr>
          <w:rFonts w:ascii="Times New Roman" w:hAnsi="Times New Roman"/>
          <w:sz w:val="20"/>
          <w:szCs w:val="20"/>
          <w:lang w:val="bs-Latn-BA"/>
        </w:rPr>
        <w:t xml:space="preserve">ci Federalnog zavoda za statistiku-obrada uzroka smrti FBiH 2015. </w:t>
      </w:r>
    </w:p>
    <w:p w:rsidR="00081B73" w:rsidRDefault="00081B73">
      <w:pPr>
        <w:spacing w:after="160" w:line="259" w:lineRule="auto"/>
        <w:jc w:val="left"/>
        <w:rPr>
          <w:rFonts w:ascii="Times New Roman" w:hAnsi="Times New Roman"/>
          <w:sz w:val="20"/>
          <w:szCs w:val="20"/>
          <w:lang w:val="bs-Latn-BA"/>
        </w:rPr>
      </w:pPr>
      <w:r>
        <w:rPr>
          <w:lang w:val="bs-Latn-BA"/>
        </w:rPr>
        <w:br w:type="page"/>
      </w:r>
    </w:p>
    <w:p w:rsidR="00A131AD" w:rsidRPr="00081B73" w:rsidRDefault="00606974" w:rsidP="00677033">
      <w:pPr>
        <w:pStyle w:val="refererere"/>
        <w:rPr>
          <w:lang w:val="bs-Latn-BA"/>
        </w:rPr>
      </w:pPr>
      <w:r>
        <w:rPr>
          <w:lang w:val="bs-Latn-BA"/>
        </w:rPr>
        <w:lastRenderedPageBreak/>
        <w:t>Tab</w:t>
      </w:r>
      <w:r w:rsidR="00A131AD" w:rsidRPr="00081B73">
        <w:rPr>
          <w:lang w:val="bs-Latn-BA"/>
        </w:rPr>
        <w:t>l</w:t>
      </w:r>
      <w:r>
        <w:rPr>
          <w:lang w:val="bs-Latn-BA"/>
        </w:rPr>
        <w:t>ic</w:t>
      </w:r>
      <w:r w:rsidR="00A131AD" w:rsidRPr="00081B73">
        <w:rPr>
          <w:lang w:val="bs-Latn-BA"/>
        </w:rPr>
        <w:t>a 4: Vodeća zarazna oboljenja za 2010</w:t>
      </w:r>
      <w:r>
        <w:rPr>
          <w:lang w:val="bs-Latn-BA"/>
        </w:rPr>
        <w:t>.</w:t>
      </w:r>
      <w:r w:rsidR="00A131AD" w:rsidRPr="00081B73">
        <w:rPr>
          <w:lang w:val="bs-Latn-BA"/>
        </w:rPr>
        <w:t xml:space="preserve"> i 2015. godinu</w:t>
      </w:r>
    </w:p>
    <w:tbl>
      <w:tblPr>
        <w:tblW w:w="92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8"/>
        <w:gridCol w:w="1800"/>
        <w:gridCol w:w="1260"/>
        <w:gridCol w:w="1015"/>
        <w:gridCol w:w="540"/>
        <w:gridCol w:w="2037"/>
        <w:gridCol w:w="1023"/>
        <w:gridCol w:w="1129"/>
      </w:tblGrid>
      <w:tr w:rsidR="00A131AD" w:rsidRPr="00081B73" w:rsidTr="001911A6">
        <w:trPr>
          <w:trHeight w:val="476"/>
          <w:jc w:val="center"/>
        </w:trPr>
        <w:tc>
          <w:tcPr>
            <w:tcW w:w="4543" w:type="dxa"/>
            <w:gridSpan w:val="4"/>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2010.</w:t>
            </w:r>
          </w:p>
        </w:tc>
        <w:tc>
          <w:tcPr>
            <w:tcW w:w="4729" w:type="dxa"/>
            <w:gridSpan w:val="4"/>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2015.</w:t>
            </w:r>
          </w:p>
        </w:tc>
      </w:tr>
      <w:tr w:rsidR="00A131AD" w:rsidRPr="00081B73" w:rsidTr="00A2552D">
        <w:trPr>
          <w:cantSplit/>
          <w:trHeight w:val="776"/>
          <w:jc w:val="center"/>
        </w:trPr>
        <w:tc>
          <w:tcPr>
            <w:tcW w:w="468" w:type="dxa"/>
            <w:shd w:val="clear" w:color="auto" w:fill="FFFF00"/>
            <w:textDirection w:val="btLr"/>
          </w:tcPr>
          <w:p w:rsidR="00A131AD" w:rsidRPr="00081B73" w:rsidRDefault="00A131AD" w:rsidP="000C0138">
            <w:pPr>
              <w:autoSpaceDE w:val="0"/>
              <w:autoSpaceDN w:val="0"/>
              <w:adjustRightInd w:val="0"/>
              <w:spacing w:line="276" w:lineRule="auto"/>
              <w:ind w:left="113" w:right="113"/>
              <w:rPr>
                <w:rFonts w:ascii="Times New Roman" w:hAnsi="Times New Roman"/>
                <w:color w:val="000000"/>
                <w:sz w:val="20"/>
                <w:szCs w:val="20"/>
                <w:lang w:val="bs-Latn-BA"/>
              </w:rPr>
            </w:pPr>
            <w:r w:rsidRPr="00081B73">
              <w:rPr>
                <w:rFonts w:ascii="Times New Roman" w:hAnsi="Times New Roman"/>
                <w:color w:val="000000"/>
                <w:sz w:val="20"/>
                <w:szCs w:val="20"/>
                <w:lang w:val="bs-Latn-BA"/>
              </w:rPr>
              <w:t>Rang</w:t>
            </w:r>
          </w:p>
        </w:tc>
        <w:tc>
          <w:tcPr>
            <w:tcW w:w="1800"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Bolest / stanje</w:t>
            </w:r>
          </w:p>
        </w:tc>
        <w:tc>
          <w:tcPr>
            <w:tcW w:w="1260"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sz w:val="20"/>
                <w:szCs w:val="20"/>
                <w:lang w:val="bs-Latn-BA"/>
              </w:rPr>
              <w:t>Broj registriranih</w:t>
            </w:r>
          </w:p>
        </w:tc>
        <w:tc>
          <w:tcPr>
            <w:tcW w:w="1015"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Mb/</w:t>
            </w:r>
          </w:p>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100000</w:t>
            </w:r>
          </w:p>
        </w:tc>
        <w:tc>
          <w:tcPr>
            <w:tcW w:w="540" w:type="dxa"/>
            <w:shd w:val="clear" w:color="auto" w:fill="FFFF00"/>
            <w:textDirection w:val="btLr"/>
            <w:vAlign w:val="center"/>
          </w:tcPr>
          <w:p w:rsidR="00A131AD" w:rsidRPr="00081B73" w:rsidRDefault="00A131AD" w:rsidP="000C0138">
            <w:pPr>
              <w:autoSpaceDE w:val="0"/>
              <w:autoSpaceDN w:val="0"/>
              <w:adjustRightInd w:val="0"/>
              <w:spacing w:line="276" w:lineRule="auto"/>
              <w:ind w:left="113" w:right="113"/>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Rang</w:t>
            </w:r>
          </w:p>
        </w:tc>
        <w:tc>
          <w:tcPr>
            <w:tcW w:w="2037"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Bolest / stanje</w:t>
            </w:r>
          </w:p>
        </w:tc>
        <w:tc>
          <w:tcPr>
            <w:tcW w:w="1023"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sz w:val="20"/>
                <w:szCs w:val="20"/>
                <w:lang w:val="bs-Latn-BA"/>
              </w:rPr>
              <w:t>Broj registriranih</w:t>
            </w:r>
          </w:p>
        </w:tc>
        <w:tc>
          <w:tcPr>
            <w:tcW w:w="1129"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Mb/</w:t>
            </w:r>
          </w:p>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100000</w:t>
            </w:r>
          </w:p>
        </w:tc>
      </w:tr>
      <w:tr w:rsidR="00A131AD" w:rsidRPr="00081B73" w:rsidTr="001911A6">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1</w:t>
            </w:r>
          </w:p>
        </w:tc>
        <w:tc>
          <w:tcPr>
            <w:tcW w:w="1800"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Varicellae</w:t>
            </w:r>
          </w:p>
        </w:tc>
        <w:tc>
          <w:tcPr>
            <w:tcW w:w="1260"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2718</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622,58</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w:t>
            </w:r>
          </w:p>
        </w:tc>
        <w:tc>
          <w:tcPr>
            <w:tcW w:w="2037"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Ili/gripa</w:t>
            </w:r>
          </w:p>
        </w:tc>
        <w:tc>
          <w:tcPr>
            <w:tcW w:w="1023"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12424</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2780,33</w:t>
            </w:r>
          </w:p>
        </w:tc>
      </w:tr>
      <w:tr w:rsidR="00A131AD" w:rsidRPr="00081B73" w:rsidTr="001911A6">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2</w:t>
            </w:r>
          </w:p>
        </w:tc>
        <w:tc>
          <w:tcPr>
            <w:tcW w:w="1800"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Rubeola</w:t>
            </w:r>
          </w:p>
        </w:tc>
        <w:tc>
          <w:tcPr>
            <w:tcW w:w="1260"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960</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219,85</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2</w:t>
            </w:r>
          </w:p>
        </w:tc>
        <w:tc>
          <w:tcPr>
            <w:tcW w:w="2037"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sz w:val="20"/>
                <w:szCs w:val="20"/>
              </w:rPr>
              <w:t>Enterocol.ac.</w:t>
            </w:r>
          </w:p>
        </w:tc>
        <w:tc>
          <w:tcPr>
            <w:tcW w:w="1023"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1753</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392,30</w:t>
            </w:r>
          </w:p>
        </w:tc>
      </w:tr>
      <w:tr w:rsidR="00A131AD" w:rsidRPr="00081B73" w:rsidTr="001911A6">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3</w:t>
            </w:r>
          </w:p>
        </w:tc>
        <w:tc>
          <w:tcPr>
            <w:tcW w:w="1800"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Enterocol.ac.</w:t>
            </w:r>
          </w:p>
        </w:tc>
        <w:tc>
          <w:tcPr>
            <w:tcW w:w="1260"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918</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210,27</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3</w:t>
            </w:r>
          </w:p>
        </w:tc>
        <w:tc>
          <w:tcPr>
            <w:tcW w:w="2037"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Varicellae</w:t>
            </w:r>
          </w:p>
        </w:tc>
        <w:tc>
          <w:tcPr>
            <w:tcW w:w="1023"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1657</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370,82</w:t>
            </w:r>
          </w:p>
        </w:tc>
      </w:tr>
      <w:tr w:rsidR="00A131AD" w:rsidRPr="00081B73" w:rsidTr="001911A6">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4</w:t>
            </w:r>
          </w:p>
        </w:tc>
        <w:tc>
          <w:tcPr>
            <w:tcW w:w="1800"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Influenza</w:t>
            </w:r>
          </w:p>
        </w:tc>
        <w:tc>
          <w:tcPr>
            <w:tcW w:w="1260" w:type="dxa"/>
            <w:vAlign w:val="bottom"/>
          </w:tcPr>
          <w:p w:rsidR="00A131AD" w:rsidRPr="00081B73" w:rsidRDefault="00A131AD" w:rsidP="000C0138">
            <w:pPr>
              <w:widowControl w:val="0"/>
              <w:autoSpaceDE w:val="0"/>
              <w:autoSpaceDN w:val="0"/>
              <w:adjustRightInd w:val="0"/>
              <w:spacing w:line="276" w:lineRule="auto"/>
              <w:jc w:val="right"/>
              <w:rPr>
                <w:rFonts w:ascii="Times New Roman" w:hAnsi="Times New Roman"/>
                <w:sz w:val="20"/>
                <w:szCs w:val="20"/>
              </w:rPr>
            </w:pPr>
            <w:r w:rsidRPr="00081B73">
              <w:rPr>
                <w:rFonts w:ascii="Times New Roman" w:hAnsi="Times New Roman"/>
                <w:sz w:val="20"/>
                <w:szCs w:val="20"/>
              </w:rPr>
              <w:t>500</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114,53</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4</w:t>
            </w:r>
          </w:p>
        </w:tc>
        <w:tc>
          <w:tcPr>
            <w:tcW w:w="2037"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Herpes zoster</w:t>
            </w:r>
          </w:p>
        </w:tc>
        <w:tc>
          <w:tcPr>
            <w:tcW w:w="1023"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546</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122,19</w:t>
            </w:r>
          </w:p>
        </w:tc>
      </w:tr>
      <w:tr w:rsidR="00A131AD" w:rsidRPr="00081B73" w:rsidTr="001911A6">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5</w:t>
            </w:r>
          </w:p>
        </w:tc>
        <w:tc>
          <w:tcPr>
            <w:tcW w:w="1800"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Angina streptoc.</w:t>
            </w:r>
          </w:p>
        </w:tc>
        <w:tc>
          <w:tcPr>
            <w:tcW w:w="1260"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431</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98,72</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5</w:t>
            </w:r>
          </w:p>
        </w:tc>
        <w:tc>
          <w:tcPr>
            <w:tcW w:w="2037"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Scabies</w:t>
            </w:r>
          </w:p>
        </w:tc>
        <w:tc>
          <w:tcPr>
            <w:tcW w:w="1023"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420</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93,99</w:t>
            </w:r>
          </w:p>
        </w:tc>
      </w:tr>
      <w:tr w:rsidR="00A131AD" w:rsidRPr="00081B73" w:rsidTr="001911A6">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p>
        </w:tc>
        <w:tc>
          <w:tcPr>
            <w:tcW w:w="1800"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Ukupno 5 vodećih</w:t>
            </w:r>
          </w:p>
        </w:tc>
        <w:tc>
          <w:tcPr>
            <w:tcW w:w="1260"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5527</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1265,99</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p>
        </w:tc>
        <w:tc>
          <w:tcPr>
            <w:tcW w:w="2037"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Ukupno 5 vodećih</w:t>
            </w:r>
          </w:p>
        </w:tc>
        <w:tc>
          <w:tcPr>
            <w:tcW w:w="1023"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16800</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3759,6</w:t>
            </w:r>
          </w:p>
        </w:tc>
      </w:tr>
      <w:tr w:rsidR="00A131AD" w:rsidRPr="00081B73" w:rsidTr="001911A6">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p>
        </w:tc>
        <w:tc>
          <w:tcPr>
            <w:tcW w:w="1800"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Sveukupno</w:t>
            </w:r>
          </w:p>
        </w:tc>
        <w:tc>
          <w:tcPr>
            <w:tcW w:w="1260"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6817</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1561,48</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p>
        </w:tc>
        <w:tc>
          <w:tcPr>
            <w:tcW w:w="2037"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Ukupno prijavljeno</w:t>
            </w:r>
          </w:p>
        </w:tc>
        <w:tc>
          <w:tcPr>
            <w:tcW w:w="1023"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18575</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4156,85</w:t>
            </w:r>
          </w:p>
        </w:tc>
      </w:tr>
    </w:tbl>
    <w:p w:rsidR="00A131AD" w:rsidRPr="00081B73" w:rsidRDefault="00A131AD" w:rsidP="000C0138">
      <w:pPr>
        <w:spacing w:line="276" w:lineRule="auto"/>
        <w:rPr>
          <w:rFonts w:ascii="Times New Roman" w:hAnsi="Times New Roman"/>
          <w:sz w:val="20"/>
          <w:szCs w:val="20"/>
          <w:lang w:val="bs-Latn-BA"/>
        </w:rPr>
      </w:pPr>
    </w:p>
    <w:p w:rsidR="00A131AD" w:rsidRPr="00081B73" w:rsidRDefault="00A131AD" w:rsidP="00677033">
      <w:pPr>
        <w:pStyle w:val="refererere"/>
        <w:rPr>
          <w:lang w:val="bs-Latn-BA"/>
        </w:rPr>
      </w:pPr>
      <w:r w:rsidRPr="00081B73">
        <w:rPr>
          <w:lang w:val="bs-Latn-BA"/>
        </w:rPr>
        <w:t>Tabl</w:t>
      </w:r>
      <w:r w:rsidR="00606974">
        <w:rPr>
          <w:lang w:val="bs-Latn-BA"/>
        </w:rPr>
        <w:t>ic</w:t>
      </w:r>
      <w:r w:rsidRPr="00081B73">
        <w:rPr>
          <w:lang w:val="bs-Latn-BA"/>
        </w:rPr>
        <w:t>a 5: Prevalenc</w:t>
      </w:r>
      <w:r w:rsidR="00606974">
        <w:rPr>
          <w:lang w:val="bs-Latn-BA"/>
        </w:rPr>
        <w:t>ij</w:t>
      </w:r>
      <w:r w:rsidRPr="00081B73">
        <w:rPr>
          <w:lang w:val="bs-Latn-BA"/>
        </w:rPr>
        <w:t>a nezaraznih bolesti za 2010</w:t>
      </w:r>
      <w:r w:rsidR="00606974">
        <w:rPr>
          <w:lang w:val="bs-Latn-BA"/>
        </w:rPr>
        <w:t>.</w:t>
      </w:r>
      <w:r w:rsidRPr="00081B73">
        <w:rPr>
          <w:lang w:val="bs-Latn-BA"/>
        </w:rPr>
        <w:t xml:space="preserve"> i 2015. godinu</w:t>
      </w:r>
    </w:p>
    <w:tbl>
      <w:tblPr>
        <w:tblW w:w="89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681"/>
        <w:gridCol w:w="2693"/>
        <w:gridCol w:w="2602"/>
      </w:tblGrid>
      <w:tr w:rsidR="00A131AD" w:rsidRPr="00081B73" w:rsidTr="00A2552D">
        <w:trPr>
          <w:cantSplit/>
          <w:trHeight w:val="449"/>
        </w:trPr>
        <w:tc>
          <w:tcPr>
            <w:tcW w:w="3681" w:type="dxa"/>
            <w:vMerge w:val="restart"/>
            <w:shd w:val="clear" w:color="auto" w:fill="FFFF00"/>
            <w:vAlign w:val="center"/>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Bolest</w:t>
            </w:r>
          </w:p>
        </w:tc>
        <w:tc>
          <w:tcPr>
            <w:tcW w:w="2693"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2010.</w:t>
            </w:r>
          </w:p>
        </w:tc>
        <w:tc>
          <w:tcPr>
            <w:tcW w:w="2602"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2015.</w:t>
            </w:r>
          </w:p>
        </w:tc>
      </w:tr>
      <w:tr w:rsidR="00A131AD" w:rsidRPr="00081B73" w:rsidTr="00A2552D">
        <w:trPr>
          <w:cantSplit/>
          <w:trHeight w:val="345"/>
        </w:trPr>
        <w:tc>
          <w:tcPr>
            <w:tcW w:w="3681" w:type="dxa"/>
            <w:vMerge/>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p>
        </w:tc>
        <w:tc>
          <w:tcPr>
            <w:tcW w:w="2693" w:type="dxa"/>
            <w:shd w:val="clear" w:color="auto" w:fill="FFFF00"/>
            <w:vAlign w:val="center"/>
          </w:tcPr>
          <w:p w:rsidR="00A131AD" w:rsidRPr="00081B73" w:rsidRDefault="00A131AD" w:rsidP="00A2552D">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Morbiditet/10.000</w:t>
            </w:r>
          </w:p>
        </w:tc>
        <w:tc>
          <w:tcPr>
            <w:tcW w:w="2602" w:type="dxa"/>
            <w:shd w:val="clear" w:color="auto" w:fill="FFFF00"/>
            <w:vAlign w:val="center"/>
          </w:tcPr>
          <w:p w:rsidR="00A131AD" w:rsidRPr="00081B73" w:rsidRDefault="00A131AD" w:rsidP="00A2552D">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Morbiditet/10.000</w:t>
            </w:r>
          </w:p>
        </w:tc>
      </w:tr>
      <w:tr w:rsidR="00A131AD" w:rsidRPr="00081B73" w:rsidTr="00A2552D">
        <w:tc>
          <w:tcPr>
            <w:tcW w:w="3681"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Kardiovaskularne (I00-I99)</w:t>
            </w:r>
          </w:p>
        </w:tc>
        <w:tc>
          <w:tcPr>
            <w:tcW w:w="2693"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2.011,4</w:t>
            </w:r>
          </w:p>
        </w:tc>
        <w:tc>
          <w:tcPr>
            <w:tcW w:w="2602"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1957,7</w:t>
            </w:r>
          </w:p>
        </w:tc>
      </w:tr>
      <w:tr w:rsidR="00A131AD" w:rsidRPr="00081B73" w:rsidTr="00A2552D">
        <w:tc>
          <w:tcPr>
            <w:tcW w:w="3681"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Maligne neoplazme (C00-C97)</w:t>
            </w:r>
          </w:p>
        </w:tc>
        <w:tc>
          <w:tcPr>
            <w:tcW w:w="2693"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89,8</w:t>
            </w:r>
          </w:p>
        </w:tc>
        <w:tc>
          <w:tcPr>
            <w:tcW w:w="2602"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71,8</w:t>
            </w:r>
          </w:p>
        </w:tc>
      </w:tr>
      <w:tr w:rsidR="00A131AD" w:rsidRPr="00081B73" w:rsidTr="00A2552D">
        <w:tc>
          <w:tcPr>
            <w:tcW w:w="3681"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Diabetes mellitus (E10-E14)</w:t>
            </w:r>
          </w:p>
        </w:tc>
        <w:tc>
          <w:tcPr>
            <w:tcW w:w="2693"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322,0</w:t>
            </w:r>
          </w:p>
        </w:tc>
        <w:tc>
          <w:tcPr>
            <w:tcW w:w="2602"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341,0</w:t>
            </w:r>
          </w:p>
        </w:tc>
      </w:tr>
      <w:tr w:rsidR="00A131AD" w:rsidRPr="00081B73" w:rsidTr="00A2552D">
        <w:tc>
          <w:tcPr>
            <w:tcW w:w="3681" w:type="dxa"/>
          </w:tcPr>
          <w:p w:rsidR="00A131AD" w:rsidRPr="00081B73" w:rsidRDefault="00606974" w:rsidP="000C0138">
            <w:pPr>
              <w:spacing w:line="276" w:lineRule="auto"/>
              <w:rPr>
                <w:rFonts w:ascii="Times New Roman" w:hAnsi="Times New Roman"/>
                <w:sz w:val="20"/>
                <w:szCs w:val="20"/>
                <w:lang w:val="bs-Latn-BA"/>
              </w:rPr>
            </w:pPr>
            <w:r>
              <w:rPr>
                <w:rFonts w:ascii="Times New Roman" w:hAnsi="Times New Roman"/>
                <w:sz w:val="20"/>
                <w:szCs w:val="20"/>
                <w:lang w:val="bs-Latn-BA"/>
              </w:rPr>
              <w:t>K</w:t>
            </w:r>
            <w:r w:rsidR="00A131AD" w:rsidRPr="00081B73">
              <w:rPr>
                <w:rFonts w:ascii="Times New Roman" w:hAnsi="Times New Roman"/>
                <w:sz w:val="20"/>
                <w:szCs w:val="20"/>
                <w:lang w:val="bs-Latn-BA"/>
              </w:rPr>
              <w:t>ronične plućne opstruktivne (J40-J46)</w:t>
            </w:r>
          </w:p>
        </w:tc>
        <w:tc>
          <w:tcPr>
            <w:tcW w:w="2693"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207,0</w:t>
            </w:r>
          </w:p>
        </w:tc>
        <w:tc>
          <w:tcPr>
            <w:tcW w:w="2602" w:type="dxa"/>
          </w:tcPr>
          <w:p w:rsidR="00A131AD" w:rsidRPr="00081B73" w:rsidRDefault="00A131AD" w:rsidP="000C0138">
            <w:pPr>
              <w:tabs>
                <w:tab w:val="left" w:pos="390"/>
              </w:tabs>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162,0</w:t>
            </w:r>
          </w:p>
        </w:tc>
      </w:tr>
      <w:tr w:rsidR="00A131AD" w:rsidRPr="00081B73" w:rsidTr="00A2552D">
        <w:tc>
          <w:tcPr>
            <w:tcW w:w="3681"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Mentalne (F00-F99)</w:t>
            </w:r>
          </w:p>
        </w:tc>
        <w:tc>
          <w:tcPr>
            <w:tcW w:w="2693"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351,1</w:t>
            </w:r>
          </w:p>
        </w:tc>
        <w:tc>
          <w:tcPr>
            <w:tcW w:w="2602"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315,2</w:t>
            </w:r>
          </w:p>
        </w:tc>
      </w:tr>
      <w:tr w:rsidR="00A131AD" w:rsidRPr="00081B73" w:rsidTr="00A2552D">
        <w:tc>
          <w:tcPr>
            <w:tcW w:w="3681"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Koštano-mišićne (M00-M99)</w:t>
            </w:r>
          </w:p>
        </w:tc>
        <w:tc>
          <w:tcPr>
            <w:tcW w:w="2693"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739,5</w:t>
            </w:r>
          </w:p>
        </w:tc>
        <w:tc>
          <w:tcPr>
            <w:tcW w:w="2602"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625,0</w:t>
            </w:r>
          </w:p>
        </w:tc>
      </w:tr>
    </w:tbl>
    <w:p w:rsidR="00A131AD" w:rsidRPr="00081B73" w:rsidRDefault="00A131AD" w:rsidP="000C0138">
      <w:pPr>
        <w:spacing w:line="276" w:lineRule="auto"/>
        <w:rPr>
          <w:rFonts w:ascii="Times New Roman" w:hAnsi="Times New Roman"/>
          <w:sz w:val="20"/>
          <w:szCs w:val="20"/>
          <w:lang w:val="bs-Latn-BA"/>
        </w:rPr>
      </w:pPr>
    </w:p>
    <w:p w:rsidR="00A131AD" w:rsidRPr="00081B73" w:rsidRDefault="00A131AD" w:rsidP="00677033">
      <w:pPr>
        <w:pStyle w:val="refererere"/>
        <w:rPr>
          <w:lang w:val="bs-Latn-BA"/>
        </w:rPr>
      </w:pPr>
      <w:r w:rsidRPr="00081B73">
        <w:rPr>
          <w:lang w:val="bs-Latn-BA"/>
        </w:rPr>
        <w:t>Tabl</w:t>
      </w:r>
      <w:r w:rsidR="00606974">
        <w:rPr>
          <w:lang w:val="bs-Latn-BA"/>
        </w:rPr>
        <w:t>ic</w:t>
      </w:r>
      <w:r w:rsidRPr="00081B73">
        <w:rPr>
          <w:lang w:val="bs-Latn-BA"/>
        </w:rPr>
        <w:t>a 6: Okolinski zdravstveni indikatori</w:t>
      </w:r>
    </w:p>
    <w:tbl>
      <w:tblPr>
        <w:tblW w:w="93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33"/>
        <w:gridCol w:w="1981"/>
        <w:gridCol w:w="1845"/>
        <w:gridCol w:w="1401"/>
        <w:gridCol w:w="1401"/>
        <w:gridCol w:w="1571"/>
      </w:tblGrid>
      <w:tr w:rsidR="00A131AD" w:rsidRPr="00081B73" w:rsidTr="00A2552D">
        <w:trPr>
          <w:cantSplit/>
        </w:trPr>
        <w:tc>
          <w:tcPr>
            <w:tcW w:w="1133" w:type="dxa"/>
            <w:vMerge w:val="restart"/>
            <w:shd w:val="clear" w:color="auto" w:fill="FFFF00"/>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 xml:space="preserve">Sarajevski kanton </w:t>
            </w:r>
          </w:p>
        </w:tc>
        <w:tc>
          <w:tcPr>
            <w:tcW w:w="1981" w:type="dxa"/>
            <w:shd w:val="clear" w:color="auto" w:fill="FFFF00"/>
            <w:vAlign w:val="center"/>
          </w:tcPr>
          <w:p w:rsidR="00A131AD" w:rsidRPr="00081B73" w:rsidRDefault="00A131AD" w:rsidP="00606974">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 xml:space="preserve">% stanovništva priključen na </w:t>
            </w:r>
            <w:r w:rsidR="00606974">
              <w:rPr>
                <w:rFonts w:ascii="Times New Roman" w:hAnsi="Times New Roman"/>
                <w:sz w:val="20"/>
                <w:szCs w:val="20"/>
                <w:lang w:val="bs-Latn-BA"/>
              </w:rPr>
              <w:t>središnji</w:t>
            </w:r>
            <w:r w:rsidRPr="00081B73">
              <w:rPr>
                <w:rFonts w:ascii="Times New Roman" w:hAnsi="Times New Roman"/>
                <w:sz w:val="20"/>
                <w:szCs w:val="20"/>
                <w:lang w:val="bs-Latn-BA"/>
              </w:rPr>
              <w:t xml:space="preserve"> s</w:t>
            </w:r>
            <w:r w:rsidR="00606974">
              <w:rPr>
                <w:rFonts w:ascii="Times New Roman" w:hAnsi="Times New Roman"/>
                <w:sz w:val="20"/>
                <w:szCs w:val="20"/>
                <w:lang w:val="bs-Latn-BA"/>
              </w:rPr>
              <w:t>ustav</w:t>
            </w:r>
            <w:r w:rsidRPr="00081B73">
              <w:rPr>
                <w:rFonts w:ascii="Times New Roman" w:hAnsi="Times New Roman"/>
                <w:sz w:val="20"/>
                <w:szCs w:val="20"/>
                <w:lang w:val="bs-Latn-BA"/>
              </w:rPr>
              <w:t xml:space="preserve"> vodo</w:t>
            </w:r>
            <w:r w:rsidR="00606974">
              <w:rPr>
                <w:rFonts w:ascii="Times New Roman" w:hAnsi="Times New Roman"/>
                <w:sz w:val="20"/>
                <w:szCs w:val="20"/>
                <w:lang w:val="bs-Latn-BA"/>
              </w:rPr>
              <w:t>opskrbe</w:t>
            </w:r>
          </w:p>
        </w:tc>
        <w:tc>
          <w:tcPr>
            <w:tcW w:w="1845" w:type="dxa"/>
            <w:shd w:val="clear" w:color="auto" w:fill="FFFF00"/>
            <w:vAlign w:val="center"/>
          </w:tcPr>
          <w:p w:rsidR="00A131AD" w:rsidRPr="00081B73" w:rsidRDefault="00A131AD" w:rsidP="00606974">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 stanovništva priključen na kanalizaci</w:t>
            </w:r>
            <w:r w:rsidR="00606974">
              <w:rPr>
                <w:rFonts w:ascii="Times New Roman" w:hAnsi="Times New Roman"/>
                <w:sz w:val="20"/>
                <w:szCs w:val="20"/>
                <w:lang w:val="bs-Latn-BA"/>
              </w:rPr>
              <w:t>jski</w:t>
            </w:r>
            <w:r w:rsidRPr="00081B73">
              <w:rPr>
                <w:rFonts w:ascii="Times New Roman" w:hAnsi="Times New Roman"/>
                <w:sz w:val="20"/>
                <w:szCs w:val="20"/>
                <w:lang w:val="bs-Latn-BA"/>
              </w:rPr>
              <w:t xml:space="preserve"> s</w:t>
            </w:r>
            <w:r w:rsidR="00606974">
              <w:rPr>
                <w:rFonts w:ascii="Times New Roman" w:hAnsi="Times New Roman"/>
                <w:sz w:val="20"/>
                <w:szCs w:val="20"/>
                <w:lang w:val="bs-Latn-BA"/>
              </w:rPr>
              <w:t>ustav</w:t>
            </w:r>
          </w:p>
        </w:tc>
        <w:tc>
          <w:tcPr>
            <w:tcW w:w="1401" w:type="dxa"/>
            <w:shd w:val="clear" w:color="auto" w:fill="FFFF00"/>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Mjerenje koncentracije SO</w:t>
            </w:r>
            <w:r w:rsidRPr="00081B73">
              <w:rPr>
                <w:rFonts w:ascii="Times New Roman" w:hAnsi="Times New Roman"/>
                <w:sz w:val="20"/>
                <w:szCs w:val="20"/>
                <w:vertAlign w:val="subscript"/>
                <w:lang w:val="bs-Latn-BA"/>
              </w:rPr>
              <w:t>2</w:t>
            </w:r>
            <w:r w:rsidRPr="00081B73">
              <w:rPr>
                <w:rFonts w:ascii="Times New Roman" w:hAnsi="Times New Roman"/>
                <w:sz w:val="20"/>
                <w:szCs w:val="20"/>
                <w:lang w:val="bs-Latn-BA"/>
              </w:rPr>
              <w:t xml:space="preserve"> u zraku</w:t>
            </w:r>
          </w:p>
        </w:tc>
        <w:tc>
          <w:tcPr>
            <w:tcW w:w="1401" w:type="dxa"/>
            <w:shd w:val="clear" w:color="auto" w:fill="FFFF00"/>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Mjerenje koncentracije NO</w:t>
            </w:r>
            <w:r w:rsidRPr="00081B73">
              <w:rPr>
                <w:rFonts w:ascii="Times New Roman" w:hAnsi="Times New Roman"/>
                <w:sz w:val="20"/>
                <w:szCs w:val="20"/>
                <w:vertAlign w:val="subscript"/>
                <w:lang w:val="bs-Latn-BA"/>
              </w:rPr>
              <w:t>2</w:t>
            </w:r>
            <w:r w:rsidRPr="00081B73">
              <w:rPr>
                <w:rFonts w:ascii="Times New Roman" w:hAnsi="Times New Roman"/>
                <w:sz w:val="20"/>
                <w:szCs w:val="20"/>
                <w:lang w:val="bs-Latn-BA"/>
              </w:rPr>
              <w:t xml:space="preserve"> u zraku</w:t>
            </w:r>
          </w:p>
        </w:tc>
        <w:tc>
          <w:tcPr>
            <w:tcW w:w="1571" w:type="dxa"/>
            <w:shd w:val="clear" w:color="auto" w:fill="FFFF00"/>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Mjerenje koncentracije dima u zraku</w:t>
            </w:r>
          </w:p>
        </w:tc>
      </w:tr>
      <w:tr w:rsidR="00A131AD" w:rsidRPr="00081B73" w:rsidTr="00A2552D">
        <w:trPr>
          <w:cantSplit/>
          <w:trHeight w:val="431"/>
        </w:trPr>
        <w:tc>
          <w:tcPr>
            <w:tcW w:w="1133" w:type="dxa"/>
            <w:vMerge/>
            <w:vAlign w:val="center"/>
          </w:tcPr>
          <w:p w:rsidR="00A131AD" w:rsidRPr="00081B73" w:rsidRDefault="00A131AD" w:rsidP="000C0138">
            <w:pPr>
              <w:spacing w:line="276" w:lineRule="auto"/>
              <w:jc w:val="center"/>
              <w:rPr>
                <w:rFonts w:ascii="Times New Roman" w:hAnsi="Times New Roman"/>
                <w:sz w:val="20"/>
                <w:szCs w:val="20"/>
                <w:lang w:val="bs-Latn-BA"/>
              </w:rPr>
            </w:pPr>
          </w:p>
        </w:tc>
        <w:tc>
          <w:tcPr>
            <w:tcW w:w="1981" w:type="dxa"/>
            <w:vAlign w:val="center"/>
          </w:tcPr>
          <w:p w:rsidR="00A131AD" w:rsidRPr="00081B73" w:rsidRDefault="00775AB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96,4%</w:t>
            </w:r>
          </w:p>
        </w:tc>
        <w:tc>
          <w:tcPr>
            <w:tcW w:w="1845" w:type="dxa"/>
            <w:vAlign w:val="center"/>
          </w:tcPr>
          <w:p w:rsidR="00A131AD" w:rsidRPr="00081B73" w:rsidRDefault="00A131AD" w:rsidP="000C0138">
            <w:pPr>
              <w:spacing w:line="276" w:lineRule="auto"/>
              <w:jc w:val="center"/>
              <w:rPr>
                <w:rFonts w:ascii="Times New Roman" w:hAnsi="Times New Roman"/>
                <w:sz w:val="20"/>
                <w:szCs w:val="20"/>
                <w:lang w:val="bs-Latn-BA"/>
              </w:rPr>
            </w:pPr>
          </w:p>
        </w:tc>
        <w:tc>
          <w:tcPr>
            <w:tcW w:w="1401" w:type="dxa"/>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mjeri se</w:t>
            </w:r>
          </w:p>
        </w:tc>
        <w:tc>
          <w:tcPr>
            <w:tcW w:w="1401" w:type="dxa"/>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 xml:space="preserve"> mjeri se</w:t>
            </w:r>
          </w:p>
        </w:tc>
        <w:tc>
          <w:tcPr>
            <w:tcW w:w="1571" w:type="dxa"/>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 xml:space="preserve"> mjeri se</w:t>
            </w:r>
          </w:p>
        </w:tc>
      </w:tr>
    </w:tbl>
    <w:p w:rsidR="00A131AD" w:rsidRPr="00081B73" w:rsidRDefault="00A131AD" w:rsidP="000C0138">
      <w:pPr>
        <w:spacing w:line="276" w:lineRule="auto"/>
        <w:rPr>
          <w:rFonts w:ascii="Times New Roman" w:hAnsi="Times New Roman"/>
          <w:sz w:val="20"/>
          <w:szCs w:val="20"/>
          <w:lang w:val="bs-Latn-BA"/>
        </w:rPr>
      </w:pPr>
    </w:p>
    <w:p w:rsidR="00A131AD" w:rsidRPr="00081B73" w:rsidRDefault="00A131AD" w:rsidP="00677033">
      <w:pPr>
        <w:pStyle w:val="refererere"/>
        <w:rPr>
          <w:lang w:val="bs-Latn-BA"/>
        </w:rPr>
      </w:pPr>
      <w:r w:rsidRPr="00081B73">
        <w:rPr>
          <w:lang w:val="bs-Latn-BA"/>
        </w:rPr>
        <w:t>Tabl</w:t>
      </w:r>
      <w:r w:rsidR="00606974">
        <w:rPr>
          <w:lang w:val="bs-Latn-BA"/>
        </w:rPr>
        <w:t>ic</w:t>
      </w:r>
      <w:r w:rsidRPr="00081B73">
        <w:rPr>
          <w:lang w:val="bs-Latn-BA"/>
        </w:rPr>
        <w:t>a 7: Zdravstvena zaštita za 2010</w:t>
      </w:r>
      <w:r w:rsidR="00606974">
        <w:rPr>
          <w:lang w:val="bs-Latn-BA"/>
        </w:rPr>
        <w:t>.</w:t>
      </w:r>
      <w:r w:rsidRPr="00081B73">
        <w:rPr>
          <w:lang w:val="bs-Latn-BA"/>
        </w:rPr>
        <w:t xml:space="preserve"> i 2015. godinu</w:t>
      </w: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01"/>
        <w:gridCol w:w="8"/>
        <w:gridCol w:w="3807"/>
        <w:gridCol w:w="2279"/>
        <w:gridCol w:w="2293"/>
      </w:tblGrid>
      <w:tr w:rsidR="00A131AD" w:rsidRPr="00081B73" w:rsidTr="001911A6">
        <w:trPr>
          <w:trHeight w:val="509"/>
        </w:trPr>
        <w:tc>
          <w:tcPr>
            <w:tcW w:w="4716" w:type="dxa"/>
            <w:gridSpan w:val="3"/>
            <w:shd w:val="clear" w:color="auto" w:fill="FFFF00"/>
            <w:vAlign w:val="center"/>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sz w:val="20"/>
                <w:szCs w:val="20"/>
                <w:lang w:val="bs-Latn-BA"/>
              </w:rPr>
              <w:t>Broj</w:t>
            </w:r>
          </w:p>
        </w:tc>
        <w:tc>
          <w:tcPr>
            <w:tcW w:w="2279"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2010.</w:t>
            </w:r>
          </w:p>
        </w:tc>
        <w:tc>
          <w:tcPr>
            <w:tcW w:w="2293"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2015.</w:t>
            </w:r>
          </w:p>
        </w:tc>
      </w:tr>
      <w:tr w:rsidR="00A131AD" w:rsidRPr="00081B73" w:rsidTr="001911A6">
        <w:trPr>
          <w:cantSplit/>
        </w:trPr>
        <w:tc>
          <w:tcPr>
            <w:tcW w:w="909" w:type="dxa"/>
            <w:gridSpan w:val="2"/>
            <w:vMerge w:val="restart"/>
            <w:tcBorders>
              <w:top w:val="single" w:sz="4" w:space="0" w:color="auto"/>
              <w:left w:val="single" w:sz="4" w:space="0" w:color="auto"/>
              <w:bottom w:val="nil"/>
              <w:right w:val="single" w:sz="4" w:space="0" w:color="auto"/>
            </w:tcBorders>
            <w:vAlign w:val="bottom"/>
          </w:tcPr>
          <w:p w:rsidR="00A131AD" w:rsidRPr="00081B73" w:rsidRDefault="00A131AD" w:rsidP="000C0138">
            <w:pPr>
              <w:pStyle w:val="NormalWeb"/>
              <w:spacing w:before="0" w:beforeAutospacing="0" w:after="0" w:afterAutospacing="0" w:line="276" w:lineRule="auto"/>
              <w:rPr>
                <w:sz w:val="20"/>
                <w:szCs w:val="20"/>
                <w:lang w:val="bs-Latn-BA"/>
              </w:rPr>
            </w:pPr>
            <w:r w:rsidRPr="00081B73">
              <w:rPr>
                <w:sz w:val="20"/>
                <w:szCs w:val="20"/>
                <w:lang w:val="bs-Latn-BA"/>
              </w:rPr>
              <w:t>PZZ</w:t>
            </w:r>
          </w:p>
        </w:tc>
        <w:tc>
          <w:tcPr>
            <w:tcW w:w="3807" w:type="dxa"/>
            <w:tcBorders>
              <w:left w:val="single" w:sz="4" w:space="0" w:color="auto"/>
            </w:tcBorders>
          </w:tcPr>
          <w:p w:rsidR="00A131AD" w:rsidRPr="00081B73" w:rsidRDefault="00A131AD" w:rsidP="000C0138">
            <w:pPr>
              <w:pStyle w:val="NormalWeb"/>
              <w:spacing w:before="0" w:beforeAutospacing="0" w:after="0" w:afterAutospacing="0" w:line="276" w:lineRule="auto"/>
              <w:rPr>
                <w:sz w:val="20"/>
                <w:szCs w:val="20"/>
                <w:lang w:val="bs-Latn-BA"/>
              </w:rPr>
            </w:pPr>
            <w:r w:rsidRPr="00081B73">
              <w:rPr>
                <w:sz w:val="20"/>
                <w:szCs w:val="20"/>
                <w:lang w:val="bs-Latn-BA"/>
              </w:rPr>
              <w:t>ordinacije PZZ</w:t>
            </w:r>
          </w:p>
        </w:tc>
        <w:tc>
          <w:tcPr>
            <w:tcW w:w="2279" w:type="dxa"/>
            <w:vAlign w:val="center"/>
          </w:tcPr>
          <w:p w:rsidR="00A131AD" w:rsidRPr="00081B73" w:rsidRDefault="00A131AD" w:rsidP="000C0138">
            <w:pPr>
              <w:pStyle w:val="NormalWeb"/>
              <w:spacing w:line="276" w:lineRule="auto"/>
              <w:jc w:val="right"/>
              <w:rPr>
                <w:sz w:val="20"/>
                <w:szCs w:val="20"/>
                <w:lang w:val="bs-Latn-BA"/>
              </w:rPr>
            </w:pPr>
            <w:r w:rsidRPr="00081B73">
              <w:rPr>
                <w:sz w:val="20"/>
                <w:szCs w:val="20"/>
                <w:lang w:val="bs-Latn-BA"/>
              </w:rPr>
              <w:t>254</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250</w:t>
            </w:r>
          </w:p>
        </w:tc>
      </w:tr>
      <w:tr w:rsidR="00A131AD" w:rsidRPr="00081B73" w:rsidTr="001911A6">
        <w:trPr>
          <w:cantSplit/>
        </w:trPr>
        <w:tc>
          <w:tcPr>
            <w:tcW w:w="909" w:type="dxa"/>
            <w:gridSpan w:val="2"/>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07" w:type="dxa"/>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stomatološke ordinacije/stolice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180</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211</w:t>
            </w:r>
          </w:p>
        </w:tc>
      </w:tr>
      <w:tr w:rsidR="00A131AD" w:rsidRPr="00081B73" w:rsidTr="001911A6">
        <w:trPr>
          <w:cantSplit/>
        </w:trPr>
        <w:tc>
          <w:tcPr>
            <w:tcW w:w="909" w:type="dxa"/>
            <w:gridSpan w:val="2"/>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07" w:type="dxa"/>
            <w:tcBorders>
              <w:left w:val="single" w:sz="4" w:space="0" w:color="auto"/>
            </w:tcBorders>
          </w:tcPr>
          <w:p w:rsidR="00A131AD" w:rsidRPr="00081B73" w:rsidRDefault="00606974" w:rsidP="000C0138">
            <w:pPr>
              <w:spacing w:line="276" w:lineRule="auto"/>
              <w:rPr>
                <w:rFonts w:ascii="Times New Roman" w:hAnsi="Times New Roman"/>
                <w:sz w:val="20"/>
                <w:szCs w:val="20"/>
                <w:lang w:val="bs-Latn-BA"/>
              </w:rPr>
            </w:pPr>
            <w:r>
              <w:rPr>
                <w:rFonts w:ascii="Times New Roman" w:hAnsi="Times New Roman"/>
                <w:sz w:val="20"/>
                <w:szCs w:val="20"/>
                <w:lang w:val="bs-Latn-BA"/>
              </w:rPr>
              <w:t>ljekarne</w:t>
            </w:r>
            <w:r w:rsidR="00A131AD" w:rsidRPr="00081B73">
              <w:rPr>
                <w:rFonts w:ascii="Times New Roman" w:hAnsi="Times New Roman"/>
                <w:sz w:val="20"/>
                <w:szCs w:val="20"/>
                <w:lang w:val="bs-Latn-BA"/>
              </w:rPr>
              <w:t xml:space="preserve"> u javnom sektoru</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22</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22</w:t>
            </w:r>
          </w:p>
        </w:tc>
      </w:tr>
      <w:tr w:rsidR="00A131AD" w:rsidRPr="00081B73" w:rsidTr="001911A6">
        <w:trPr>
          <w:cantSplit/>
        </w:trPr>
        <w:tc>
          <w:tcPr>
            <w:tcW w:w="901" w:type="dxa"/>
            <w:vMerge w:val="restart"/>
            <w:tcBorders>
              <w:top w:val="nil"/>
              <w:left w:val="single" w:sz="4" w:space="0" w:color="auto"/>
              <w:bottom w:val="nil"/>
              <w:right w:val="single" w:sz="4" w:space="0" w:color="auto"/>
            </w:tcBorders>
            <w:vAlign w:val="center"/>
          </w:tcPr>
          <w:p w:rsidR="00A131AD" w:rsidRPr="00081B73" w:rsidRDefault="00A131AD" w:rsidP="000C0138">
            <w:pPr>
              <w:spacing w:line="276" w:lineRule="auto"/>
              <w:jc w:val="left"/>
              <w:rPr>
                <w:rFonts w:ascii="Times New Roman" w:hAnsi="Times New Roman"/>
                <w:sz w:val="20"/>
                <w:szCs w:val="20"/>
                <w:lang w:val="bs-Latn-BA"/>
              </w:rPr>
            </w:pPr>
          </w:p>
        </w:tc>
        <w:tc>
          <w:tcPr>
            <w:tcW w:w="381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dr medicine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372</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368</w:t>
            </w:r>
          </w:p>
        </w:tc>
      </w:tr>
      <w:tr w:rsidR="00A131AD" w:rsidRPr="00081B73" w:rsidTr="001911A6">
        <w:trPr>
          <w:cantSplit/>
        </w:trPr>
        <w:tc>
          <w:tcPr>
            <w:tcW w:w="901" w:type="dxa"/>
            <w:vMerge/>
            <w:tcBorders>
              <w:top w:val="nil"/>
              <w:left w:val="single" w:sz="4" w:space="0" w:color="auto"/>
              <w:bottom w:val="nil"/>
              <w:right w:val="single" w:sz="4" w:space="0" w:color="auto"/>
            </w:tcBorders>
            <w:vAlign w:val="center"/>
          </w:tcPr>
          <w:p w:rsidR="00A131AD" w:rsidRPr="00081B73" w:rsidRDefault="00A131AD" w:rsidP="000C0138">
            <w:pPr>
              <w:spacing w:line="276" w:lineRule="auto"/>
              <w:jc w:val="left"/>
              <w:rPr>
                <w:rFonts w:ascii="Times New Roman" w:hAnsi="Times New Roman"/>
                <w:sz w:val="20"/>
                <w:szCs w:val="20"/>
                <w:lang w:val="bs-Latn-BA"/>
              </w:rPr>
            </w:pPr>
          </w:p>
        </w:tc>
        <w:tc>
          <w:tcPr>
            <w:tcW w:w="381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zdravstveni tehničari/sestre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668</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627</w:t>
            </w:r>
          </w:p>
        </w:tc>
      </w:tr>
      <w:tr w:rsidR="00A131AD" w:rsidRPr="00081B73" w:rsidTr="001911A6">
        <w:trPr>
          <w:cantSplit/>
        </w:trPr>
        <w:tc>
          <w:tcPr>
            <w:tcW w:w="901" w:type="dxa"/>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1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dr stomatologije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249</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224</w:t>
            </w:r>
          </w:p>
        </w:tc>
      </w:tr>
      <w:tr w:rsidR="00A131AD" w:rsidRPr="00081B73" w:rsidTr="001911A6">
        <w:trPr>
          <w:cantSplit/>
        </w:trPr>
        <w:tc>
          <w:tcPr>
            <w:tcW w:w="901" w:type="dxa"/>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1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stomatološki tehničari/sestre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290</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265</w:t>
            </w:r>
          </w:p>
        </w:tc>
      </w:tr>
      <w:tr w:rsidR="00A131AD" w:rsidRPr="00081B73" w:rsidTr="001911A6">
        <w:trPr>
          <w:cantSplit/>
        </w:trPr>
        <w:tc>
          <w:tcPr>
            <w:tcW w:w="901" w:type="dxa"/>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1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magistri farmacije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142</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179</w:t>
            </w:r>
          </w:p>
        </w:tc>
      </w:tr>
      <w:tr w:rsidR="00A131AD" w:rsidRPr="00081B73" w:rsidTr="001911A6">
        <w:trPr>
          <w:cantSplit/>
        </w:trPr>
        <w:tc>
          <w:tcPr>
            <w:tcW w:w="901" w:type="dxa"/>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1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farmaceutski tehničari</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123</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115</w:t>
            </w:r>
          </w:p>
        </w:tc>
      </w:tr>
      <w:tr w:rsidR="00A131AD" w:rsidRPr="00081B73" w:rsidTr="001911A6">
        <w:trPr>
          <w:trHeight w:val="582"/>
        </w:trPr>
        <w:tc>
          <w:tcPr>
            <w:tcW w:w="901" w:type="dxa"/>
            <w:vAlign w:val="center"/>
          </w:tcPr>
          <w:p w:rsidR="00A131AD" w:rsidRPr="00081B73" w:rsidRDefault="00A131AD" w:rsidP="000C0138">
            <w:pPr>
              <w:spacing w:line="276" w:lineRule="auto"/>
              <w:jc w:val="left"/>
              <w:rPr>
                <w:rFonts w:ascii="Times New Roman" w:hAnsi="Times New Roman"/>
                <w:sz w:val="20"/>
                <w:szCs w:val="20"/>
                <w:lang w:val="bs-Latn-BA"/>
              </w:rPr>
            </w:pPr>
            <w:r w:rsidRPr="00081B73">
              <w:rPr>
                <w:rFonts w:ascii="Times New Roman" w:hAnsi="Times New Roman"/>
                <w:sz w:val="20"/>
                <w:szCs w:val="20"/>
                <w:lang w:val="bs-Latn-BA"/>
              </w:rPr>
              <w:t>Bolnice</w:t>
            </w:r>
          </w:p>
        </w:tc>
        <w:tc>
          <w:tcPr>
            <w:tcW w:w="3815" w:type="dxa"/>
            <w:gridSpan w:val="2"/>
            <w:vAlign w:val="center"/>
          </w:tcPr>
          <w:p w:rsidR="00A131AD" w:rsidRPr="00081B73" w:rsidRDefault="00A131AD" w:rsidP="000C0138">
            <w:pPr>
              <w:spacing w:line="276" w:lineRule="auto"/>
              <w:jc w:val="left"/>
              <w:rPr>
                <w:rFonts w:ascii="Times New Roman" w:hAnsi="Times New Roman"/>
                <w:sz w:val="20"/>
                <w:szCs w:val="20"/>
                <w:lang w:val="bs-Latn-BA"/>
              </w:rPr>
            </w:pPr>
            <w:r w:rsidRPr="00081B73">
              <w:rPr>
                <w:rFonts w:ascii="Times New Roman" w:hAnsi="Times New Roman"/>
                <w:sz w:val="20"/>
                <w:szCs w:val="20"/>
                <w:lang w:val="bs-Latn-BA"/>
              </w:rPr>
              <w:t>bolničke postelje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2345</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2215</w:t>
            </w:r>
          </w:p>
        </w:tc>
      </w:tr>
    </w:tbl>
    <w:p w:rsidR="00677033" w:rsidRPr="00081B73" w:rsidRDefault="00677033" w:rsidP="000C0138">
      <w:pPr>
        <w:spacing w:line="276" w:lineRule="auto"/>
        <w:jc w:val="center"/>
        <w:rPr>
          <w:rFonts w:ascii="Times New Roman" w:hAnsi="Times New Roman"/>
          <w:b/>
          <w:sz w:val="20"/>
          <w:szCs w:val="20"/>
          <w:lang w:val="bs-Latn-BA"/>
        </w:rPr>
      </w:pPr>
    </w:p>
    <w:p w:rsidR="00081B73" w:rsidRDefault="00081B73">
      <w:pPr>
        <w:spacing w:after="160" w:line="259" w:lineRule="auto"/>
        <w:jc w:val="left"/>
        <w:rPr>
          <w:rFonts w:ascii="Times New Roman" w:hAnsi="Times New Roman"/>
          <w:b/>
          <w:sz w:val="20"/>
          <w:szCs w:val="20"/>
          <w:lang w:val="bs-Latn-BA"/>
        </w:rPr>
      </w:pPr>
      <w:r>
        <w:rPr>
          <w:rFonts w:ascii="Times New Roman" w:hAnsi="Times New Roman"/>
          <w:b/>
          <w:sz w:val="20"/>
          <w:szCs w:val="20"/>
          <w:lang w:val="bs-Latn-BA"/>
        </w:rPr>
        <w:br w:type="page"/>
      </w:r>
    </w:p>
    <w:p w:rsidR="00A131AD" w:rsidRPr="00081B73" w:rsidRDefault="00A131AD" w:rsidP="000C0138">
      <w:pPr>
        <w:spacing w:line="276" w:lineRule="auto"/>
        <w:jc w:val="center"/>
        <w:rPr>
          <w:rFonts w:ascii="Times New Roman" w:hAnsi="Times New Roman"/>
          <w:b/>
          <w:sz w:val="20"/>
          <w:szCs w:val="20"/>
          <w:lang w:val="bs-Latn-BA"/>
        </w:rPr>
      </w:pPr>
      <w:r w:rsidRPr="00081B73">
        <w:rPr>
          <w:rFonts w:ascii="Times New Roman" w:hAnsi="Times New Roman"/>
          <w:b/>
          <w:sz w:val="20"/>
          <w:szCs w:val="20"/>
          <w:lang w:val="bs-Latn-BA"/>
        </w:rPr>
        <w:lastRenderedPageBreak/>
        <w:t>Kanton 10</w:t>
      </w:r>
    </w:p>
    <w:p w:rsidR="00A131AD" w:rsidRPr="00081B73" w:rsidRDefault="00A131AD" w:rsidP="000C0138">
      <w:pPr>
        <w:spacing w:line="276" w:lineRule="auto"/>
        <w:jc w:val="center"/>
        <w:rPr>
          <w:rFonts w:ascii="Times New Roman" w:hAnsi="Times New Roman"/>
          <w:b/>
          <w:sz w:val="20"/>
          <w:szCs w:val="20"/>
          <w:lang w:val="bs-Latn-BA"/>
        </w:rPr>
      </w:pPr>
    </w:p>
    <w:p w:rsidR="00A131AD" w:rsidRPr="00081B73" w:rsidRDefault="00A131AD" w:rsidP="000C0138">
      <w:pPr>
        <w:spacing w:line="276" w:lineRule="auto"/>
        <w:jc w:val="center"/>
        <w:rPr>
          <w:rFonts w:ascii="Times New Roman" w:hAnsi="Times New Roman"/>
          <w:b/>
          <w:sz w:val="20"/>
          <w:szCs w:val="20"/>
          <w:lang w:val="bs-Latn-BA"/>
        </w:rPr>
      </w:pPr>
      <w:r w:rsidRPr="00081B73">
        <w:rPr>
          <w:rFonts w:ascii="Times New Roman" w:hAnsi="Times New Roman"/>
          <w:sz w:val="20"/>
          <w:szCs w:val="20"/>
          <w:lang w:val="bs-Latn-BA"/>
        </w:rPr>
        <w:t>Tabl</w:t>
      </w:r>
      <w:r w:rsidR="00606974">
        <w:rPr>
          <w:rFonts w:ascii="Times New Roman" w:hAnsi="Times New Roman"/>
          <w:sz w:val="20"/>
          <w:szCs w:val="20"/>
          <w:lang w:val="bs-Latn-BA"/>
        </w:rPr>
        <w:t>ic</w:t>
      </w:r>
      <w:r w:rsidRPr="00081B73">
        <w:rPr>
          <w:rFonts w:ascii="Times New Roman" w:hAnsi="Times New Roman"/>
          <w:sz w:val="20"/>
          <w:szCs w:val="20"/>
          <w:lang w:val="bs-Latn-BA"/>
        </w:rPr>
        <w:t>a 1: Stanovništvo po općinama*</w:t>
      </w:r>
    </w:p>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noProof/>
          <w:sz w:val="20"/>
          <w:szCs w:val="20"/>
          <w:lang w:val="bs-Latn-BA" w:eastAsia="bs-Latn-BA"/>
        </w:rPr>
        <w:drawing>
          <wp:anchor distT="0" distB="0" distL="114300" distR="114300" simplePos="0" relativeHeight="251670528" behindDoc="0" locked="0" layoutInCell="1" allowOverlap="1" wp14:anchorId="11C80EB6" wp14:editId="42E9124A">
            <wp:simplePos x="0" y="0"/>
            <wp:positionH relativeFrom="column">
              <wp:posOffset>-88900</wp:posOffset>
            </wp:positionH>
            <wp:positionV relativeFrom="paragraph">
              <wp:posOffset>138430</wp:posOffset>
            </wp:positionV>
            <wp:extent cx="2374900" cy="2311400"/>
            <wp:effectExtent l="0" t="0" r="6350" b="0"/>
            <wp:wrapSquare wrapText="bothSides"/>
            <wp:docPr id="118" name="Picture 118" descr="cant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anton10"/>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374900" cy="231140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4922" w:type="dxa"/>
        <w:tblCellSpacing w:w="15" w:type="dxa"/>
        <w:tblLayout w:type="fixed"/>
        <w:tblCellMar>
          <w:top w:w="15" w:type="dxa"/>
          <w:left w:w="15" w:type="dxa"/>
          <w:bottom w:w="15" w:type="dxa"/>
          <w:right w:w="15" w:type="dxa"/>
        </w:tblCellMar>
        <w:tblLook w:val="0000" w:firstRow="0" w:lastRow="0" w:firstColumn="0" w:lastColumn="0" w:noHBand="0" w:noVBand="0"/>
      </w:tblPr>
      <w:tblGrid>
        <w:gridCol w:w="2491"/>
        <w:gridCol w:w="1309"/>
        <w:gridCol w:w="1122"/>
      </w:tblGrid>
      <w:tr w:rsidR="00A131AD" w:rsidRPr="00081B73" w:rsidTr="001911A6">
        <w:trPr>
          <w:trHeight w:val="900"/>
          <w:tblCellSpacing w:w="15" w:type="dxa"/>
        </w:trPr>
        <w:tc>
          <w:tcPr>
            <w:tcW w:w="2446" w:type="dxa"/>
            <w:shd w:val="clear" w:color="auto" w:fill="C0C0C0"/>
            <w:vAlign w:val="center"/>
          </w:tcPr>
          <w:p w:rsidR="00A131AD" w:rsidRPr="00081B73" w:rsidRDefault="00A131AD" w:rsidP="000C0138">
            <w:pPr>
              <w:pStyle w:val="NormalWeb"/>
              <w:spacing w:line="276" w:lineRule="auto"/>
              <w:rPr>
                <w:color w:val="993366"/>
                <w:sz w:val="20"/>
                <w:szCs w:val="20"/>
                <w:lang w:val="bs-Latn-BA"/>
              </w:rPr>
            </w:pPr>
            <w:r w:rsidRPr="00081B73">
              <w:rPr>
                <w:color w:val="993366"/>
                <w:sz w:val="20"/>
                <w:szCs w:val="20"/>
                <w:lang w:val="bs-Latn-BA"/>
              </w:rPr>
              <w:t>Općina</w:t>
            </w:r>
          </w:p>
        </w:tc>
        <w:tc>
          <w:tcPr>
            <w:tcW w:w="1279" w:type="dxa"/>
            <w:shd w:val="clear" w:color="auto" w:fill="C0C0C0"/>
            <w:vAlign w:val="center"/>
          </w:tcPr>
          <w:p w:rsidR="00A131AD" w:rsidRPr="00081B73" w:rsidRDefault="00A131AD" w:rsidP="000C0138">
            <w:pPr>
              <w:spacing w:line="276" w:lineRule="auto"/>
              <w:jc w:val="center"/>
              <w:rPr>
                <w:rFonts w:ascii="Times New Roman" w:hAnsi="Times New Roman"/>
                <w:color w:val="993366"/>
                <w:sz w:val="20"/>
                <w:szCs w:val="20"/>
                <w:lang w:val="bs-Latn-BA"/>
              </w:rPr>
            </w:pPr>
            <w:r w:rsidRPr="00081B73">
              <w:rPr>
                <w:rFonts w:ascii="Times New Roman" w:hAnsi="Times New Roman"/>
                <w:color w:val="993366"/>
                <w:sz w:val="20"/>
                <w:szCs w:val="20"/>
                <w:lang w:val="bs-Latn-BA"/>
              </w:rPr>
              <w:t xml:space="preserve">Površina, </w:t>
            </w:r>
          </w:p>
          <w:p w:rsidR="00A131AD" w:rsidRPr="00081B73" w:rsidRDefault="00A131AD" w:rsidP="000C0138">
            <w:pPr>
              <w:spacing w:line="276" w:lineRule="auto"/>
              <w:jc w:val="center"/>
              <w:rPr>
                <w:rFonts w:ascii="Times New Roman" w:hAnsi="Times New Roman"/>
                <w:color w:val="993366"/>
                <w:sz w:val="20"/>
                <w:szCs w:val="20"/>
                <w:lang w:val="bs-Latn-BA"/>
              </w:rPr>
            </w:pPr>
            <w:r w:rsidRPr="00081B73">
              <w:rPr>
                <w:rFonts w:ascii="Times New Roman" w:hAnsi="Times New Roman"/>
                <w:color w:val="993366"/>
                <w:sz w:val="20"/>
                <w:szCs w:val="20"/>
                <w:lang w:val="bs-Latn-BA"/>
              </w:rPr>
              <w:t>km</w:t>
            </w:r>
            <w:r w:rsidRPr="00081B73">
              <w:rPr>
                <w:rFonts w:ascii="Times New Roman" w:hAnsi="Times New Roman"/>
                <w:b/>
                <w:bCs/>
                <w:color w:val="993366"/>
                <w:sz w:val="20"/>
                <w:szCs w:val="20"/>
                <w:vertAlign w:val="superscript"/>
                <w:lang w:val="bs-Latn-BA"/>
              </w:rPr>
              <w:t>2</w:t>
            </w:r>
          </w:p>
        </w:tc>
        <w:tc>
          <w:tcPr>
            <w:tcW w:w="1077" w:type="dxa"/>
            <w:shd w:val="clear" w:color="auto" w:fill="C0C0C0"/>
            <w:vAlign w:val="center"/>
          </w:tcPr>
          <w:p w:rsidR="00A131AD" w:rsidRPr="00081B73" w:rsidRDefault="00A131AD" w:rsidP="000C0138">
            <w:pPr>
              <w:spacing w:line="276" w:lineRule="auto"/>
              <w:jc w:val="center"/>
              <w:rPr>
                <w:rFonts w:ascii="Times New Roman" w:hAnsi="Times New Roman"/>
                <w:color w:val="993366"/>
                <w:sz w:val="20"/>
                <w:szCs w:val="20"/>
                <w:lang w:val="bs-Latn-BA"/>
              </w:rPr>
            </w:pPr>
            <w:r w:rsidRPr="00081B73">
              <w:rPr>
                <w:rFonts w:ascii="Times New Roman" w:hAnsi="Times New Roman"/>
                <w:color w:val="993366"/>
                <w:sz w:val="20"/>
                <w:szCs w:val="20"/>
                <w:lang w:val="bs-Latn-BA"/>
              </w:rPr>
              <w:t>Procjena broja stanovnika</w:t>
            </w:r>
          </w:p>
        </w:tc>
      </w:tr>
      <w:tr w:rsidR="00A131AD" w:rsidRPr="00081B73" w:rsidTr="001911A6">
        <w:trPr>
          <w:trHeight w:val="315"/>
          <w:tblCellSpacing w:w="15" w:type="dxa"/>
        </w:trPr>
        <w:tc>
          <w:tcPr>
            <w:tcW w:w="2446" w:type="dxa"/>
            <w:shd w:val="clear" w:color="auto" w:fill="FFFFCC"/>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Bosansko Grahovo</w:t>
            </w:r>
          </w:p>
        </w:tc>
        <w:tc>
          <w:tcPr>
            <w:tcW w:w="1279"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780,0</w:t>
            </w:r>
          </w:p>
        </w:tc>
        <w:tc>
          <w:tcPr>
            <w:tcW w:w="1077"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1.950</w:t>
            </w:r>
          </w:p>
        </w:tc>
      </w:tr>
      <w:tr w:rsidR="00A131AD" w:rsidRPr="00081B73" w:rsidTr="001911A6">
        <w:trPr>
          <w:trHeight w:val="210"/>
          <w:tblCellSpacing w:w="15" w:type="dxa"/>
        </w:trPr>
        <w:tc>
          <w:tcPr>
            <w:tcW w:w="2446" w:type="dxa"/>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Drvar</w:t>
            </w:r>
          </w:p>
        </w:tc>
        <w:tc>
          <w:tcPr>
            <w:tcW w:w="1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589,3</w:t>
            </w:r>
          </w:p>
        </w:tc>
        <w:tc>
          <w:tcPr>
            <w:tcW w:w="1077"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10.409</w:t>
            </w:r>
          </w:p>
        </w:tc>
      </w:tr>
      <w:tr w:rsidR="00A131AD" w:rsidRPr="00081B73" w:rsidTr="001911A6">
        <w:trPr>
          <w:trHeight w:val="330"/>
          <w:tblCellSpacing w:w="15" w:type="dxa"/>
        </w:trPr>
        <w:tc>
          <w:tcPr>
            <w:tcW w:w="2446" w:type="dxa"/>
            <w:shd w:val="clear" w:color="auto" w:fill="FFFFCC"/>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Glamoč</w:t>
            </w:r>
          </w:p>
        </w:tc>
        <w:tc>
          <w:tcPr>
            <w:tcW w:w="1279"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1033,6</w:t>
            </w:r>
          </w:p>
        </w:tc>
        <w:tc>
          <w:tcPr>
            <w:tcW w:w="1077"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4.355</w:t>
            </w:r>
          </w:p>
        </w:tc>
      </w:tr>
      <w:tr w:rsidR="00A131AD" w:rsidRPr="00081B73" w:rsidTr="001911A6">
        <w:trPr>
          <w:trHeight w:val="225"/>
          <w:tblCellSpacing w:w="15" w:type="dxa"/>
        </w:trPr>
        <w:tc>
          <w:tcPr>
            <w:tcW w:w="2446" w:type="dxa"/>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Kupres</w:t>
            </w:r>
          </w:p>
        </w:tc>
        <w:tc>
          <w:tcPr>
            <w:tcW w:w="1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569,8</w:t>
            </w:r>
          </w:p>
        </w:tc>
        <w:tc>
          <w:tcPr>
            <w:tcW w:w="1077"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3.243</w:t>
            </w:r>
          </w:p>
        </w:tc>
      </w:tr>
      <w:tr w:rsidR="00A131AD" w:rsidRPr="00081B73" w:rsidTr="001911A6">
        <w:trPr>
          <w:trHeight w:val="300"/>
          <w:tblCellSpacing w:w="15" w:type="dxa"/>
        </w:trPr>
        <w:tc>
          <w:tcPr>
            <w:tcW w:w="2446" w:type="dxa"/>
            <w:shd w:val="clear" w:color="auto" w:fill="FFFFCC"/>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Livno</w:t>
            </w:r>
          </w:p>
        </w:tc>
        <w:tc>
          <w:tcPr>
            <w:tcW w:w="1279"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994,0</w:t>
            </w:r>
          </w:p>
        </w:tc>
        <w:tc>
          <w:tcPr>
            <w:tcW w:w="1077"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31.422</w:t>
            </w:r>
          </w:p>
        </w:tc>
      </w:tr>
      <w:tr w:rsidR="00A131AD" w:rsidRPr="00081B73" w:rsidTr="001911A6">
        <w:trPr>
          <w:trHeight w:val="315"/>
          <w:tblCellSpacing w:w="15" w:type="dxa"/>
        </w:trPr>
        <w:tc>
          <w:tcPr>
            <w:tcW w:w="2446" w:type="dxa"/>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Tomislavgrad</w:t>
            </w:r>
          </w:p>
        </w:tc>
        <w:tc>
          <w:tcPr>
            <w:tcW w:w="1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967,4</w:t>
            </w:r>
          </w:p>
        </w:tc>
        <w:tc>
          <w:tcPr>
            <w:tcW w:w="1077"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26.378</w:t>
            </w:r>
          </w:p>
        </w:tc>
      </w:tr>
      <w:tr w:rsidR="00A131AD" w:rsidRPr="00081B73" w:rsidTr="001911A6">
        <w:trPr>
          <w:trHeight w:val="315"/>
          <w:tblCellSpacing w:w="15" w:type="dxa"/>
        </w:trPr>
        <w:tc>
          <w:tcPr>
            <w:tcW w:w="2446" w:type="dxa"/>
            <w:shd w:val="clear" w:color="auto" w:fill="FFFFCC"/>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UKUPNO KANTON:</w:t>
            </w:r>
          </w:p>
        </w:tc>
        <w:tc>
          <w:tcPr>
            <w:tcW w:w="1279"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4934,1</w:t>
            </w:r>
          </w:p>
        </w:tc>
        <w:tc>
          <w:tcPr>
            <w:tcW w:w="1077"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77.757</w:t>
            </w:r>
          </w:p>
        </w:tc>
      </w:tr>
      <w:tr w:rsidR="00A131AD" w:rsidRPr="00081B73" w:rsidTr="001911A6">
        <w:trPr>
          <w:trHeight w:val="315"/>
          <w:tblCellSpacing w:w="15" w:type="dxa"/>
        </w:trPr>
        <w:tc>
          <w:tcPr>
            <w:tcW w:w="2446" w:type="dxa"/>
            <w:shd w:val="clear" w:color="auto" w:fill="FFFFCC"/>
            <w:vAlign w:val="center"/>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Broj stanovnika/km</w:t>
            </w:r>
            <w:r w:rsidRPr="00081B73">
              <w:rPr>
                <w:rFonts w:ascii="Times New Roman" w:hAnsi="Times New Roman"/>
                <w:b/>
                <w:bCs/>
                <w:sz w:val="20"/>
                <w:szCs w:val="20"/>
                <w:vertAlign w:val="superscript"/>
                <w:lang w:val="bs-Latn-BA"/>
              </w:rPr>
              <w:t>2</w:t>
            </w:r>
          </w:p>
        </w:tc>
        <w:tc>
          <w:tcPr>
            <w:tcW w:w="1279"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15,9</w:t>
            </w:r>
          </w:p>
        </w:tc>
        <w:tc>
          <w:tcPr>
            <w:tcW w:w="1077" w:type="dxa"/>
            <w:shd w:val="clear" w:color="auto" w:fill="FFFFCC"/>
            <w:vAlign w:val="center"/>
          </w:tcPr>
          <w:p w:rsidR="00A131AD" w:rsidRPr="00081B73" w:rsidRDefault="00A131AD" w:rsidP="000C0138">
            <w:pPr>
              <w:spacing w:line="276" w:lineRule="auto"/>
              <w:jc w:val="right"/>
              <w:rPr>
                <w:rFonts w:ascii="Times New Roman" w:hAnsi="Times New Roman"/>
                <w:sz w:val="20"/>
                <w:szCs w:val="20"/>
                <w:lang w:val="bs-Latn-BA"/>
              </w:rPr>
            </w:pPr>
          </w:p>
        </w:tc>
      </w:tr>
    </w:tbl>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 xml:space="preserve">                                                                    *procjena broja stanovnika na dan 30.06.2015. godine</w:t>
      </w:r>
    </w:p>
    <w:p w:rsidR="00A131AD" w:rsidRPr="00081B73" w:rsidRDefault="00A131AD" w:rsidP="000C0138">
      <w:pPr>
        <w:spacing w:line="276" w:lineRule="auto"/>
        <w:rPr>
          <w:rFonts w:ascii="Times New Roman" w:hAnsi="Times New Roman"/>
          <w:sz w:val="20"/>
          <w:szCs w:val="20"/>
          <w:lang w:val="bs-Latn-BA"/>
        </w:rPr>
      </w:pPr>
    </w:p>
    <w:p w:rsidR="00A131AD" w:rsidRPr="00081B73" w:rsidRDefault="00A131AD" w:rsidP="00677033">
      <w:pPr>
        <w:pStyle w:val="refererere"/>
        <w:rPr>
          <w:lang w:val="bs-Latn-BA"/>
        </w:rPr>
      </w:pPr>
      <w:r w:rsidRPr="00081B73">
        <w:rPr>
          <w:lang w:val="bs-Latn-BA"/>
        </w:rPr>
        <w:t>Tabl</w:t>
      </w:r>
      <w:r w:rsidR="00606974">
        <w:rPr>
          <w:lang w:val="bs-Latn-BA"/>
        </w:rPr>
        <w:t>ic</w:t>
      </w:r>
      <w:r w:rsidRPr="00081B73">
        <w:rPr>
          <w:lang w:val="bs-Latn-BA"/>
        </w:rPr>
        <w:t>a 2: Preliminarni pokazatelji vitalne statistike za 2010</w:t>
      </w:r>
      <w:r w:rsidR="00606974">
        <w:rPr>
          <w:lang w:val="bs-Latn-BA"/>
        </w:rPr>
        <w:t>.</w:t>
      </w:r>
      <w:r w:rsidRPr="00081B73">
        <w:rPr>
          <w:lang w:val="bs-Latn-BA"/>
        </w:rPr>
        <w:t xml:space="preserve"> i 2015. godinu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672"/>
        <w:gridCol w:w="2684"/>
        <w:gridCol w:w="2500"/>
      </w:tblGrid>
      <w:tr w:rsidR="00A131AD" w:rsidRPr="00081B73" w:rsidTr="001911A6">
        <w:tc>
          <w:tcPr>
            <w:tcW w:w="3672" w:type="dxa"/>
            <w:shd w:val="clear" w:color="auto" w:fill="FFFF00"/>
          </w:tcPr>
          <w:p w:rsidR="00A131AD" w:rsidRPr="00081B73" w:rsidRDefault="00A131AD" w:rsidP="000C0138">
            <w:pPr>
              <w:spacing w:line="276" w:lineRule="auto"/>
              <w:jc w:val="center"/>
              <w:rPr>
                <w:rFonts w:ascii="Times New Roman" w:hAnsi="Times New Roman"/>
                <w:sz w:val="20"/>
                <w:szCs w:val="20"/>
                <w:lang w:val="bs-Latn-BA"/>
              </w:rPr>
            </w:pPr>
          </w:p>
        </w:tc>
        <w:tc>
          <w:tcPr>
            <w:tcW w:w="2684" w:type="dxa"/>
            <w:shd w:val="clear" w:color="auto" w:fill="FFFF00"/>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2010.</w:t>
            </w:r>
          </w:p>
        </w:tc>
        <w:tc>
          <w:tcPr>
            <w:tcW w:w="2500" w:type="dxa"/>
            <w:shd w:val="clear" w:color="auto" w:fill="FFFF00"/>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2015.</w:t>
            </w:r>
          </w:p>
        </w:tc>
      </w:tr>
      <w:tr w:rsidR="00A131AD" w:rsidRPr="00081B73" w:rsidTr="001911A6">
        <w:tc>
          <w:tcPr>
            <w:tcW w:w="3672"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Natalitet</w:t>
            </w:r>
          </w:p>
        </w:tc>
        <w:tc>
          <w:tcPr>
            <w:tcW w:w="2684" w:type="dxa"/>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6,2</w:t>
            </w:r>
          </w:p>
        </w:tc>
        <w:tc>
          <w:tcPr>
            <w:tcW w:w="2500" w:type="dxa"/>
          </w:tcPr>
          <w:p w:rsidR="00A131AD" w:rsidRPr="00081B73" w:rsidRDefault="00A131AD" w:rsidP="000C0138">
            <w:pPr>
              <w:spacing w:line="276" w:lineRule="auto"/>
              <w:ind w:right="453"/>
              <w:jc w:val="center"/>
              <w:rPr>
                <w:rFonts w:ascii="Times New Roman" w:hAnsi="Times New Roman"/>
                <w:sz w:val="20"/>
                <w:szCs w:val="20"/>
                <w:lang w:val="bs-Latn-BA"/>
              </w:rPr>
            </w:pPr>
            <w:r w:rsidRPr="00081B73">
              <w:rPr>
                <w:rFonts w:ascii="Times New Roman" w:hAnsi="Times New Roman"/>
                <w:sz w:val="20"/>
                <w:szCs w:val="20"/>
                <w:lang w:val="bs-Latn-BA"/>
              </w:rPr>
              <w:t>5,2</w:t>
            </w:r>
          </w:p>
        </w:tc>
      </w:tr>
      <w:tr w:rsidR="00A131AD" w:rsidRPr="00081B73" w:rsidTr="001911A6">
        <w:tc>
          <w:tcPr>
            <w:tcW w:w="3672"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Mortalitet</w:t>
            </w:r>
          </w:p>
        </w:tc>
        <w:tc>
          <w:tcPr>
            <w:tcW w:w="2684" w:type="dxa"/>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9,3</w:t>
            </w:r>
          </w:p>
        </w:tc>
        <w:tc>
          <w:tcPr>
            <w:tcW w:w="2500" w:type="dxa"/>
          </w:tcPr>
          <w:p w:rsidR="00A131AD" w:rsidRPr="00081B73" w:rsidRDefault="00A131AD" w:rsidP="000C0138">
            <w:pPr>
              <w:spacing w:line="276" w:lineRule="auto"/>
              <w:ind w:right="453"/>
              <w:jc w:val="center"/>
              <w:rPr>
                <w:rFonts w:ascii="Times New Roman" w:hAnsi="Times New Roman"/>
                <w:sz w:val="20"/>
                <w:szCs w:val="20"/>
                <w:lang w:val="bs-Latn-BA"/>
              </w:rPr>
            </w:pPr>
            <w:r w:rsidRPr="00081B73">
              <w:rPr>
                <w:rFonts w:ascii="Times New Roman" w:hAnsi="Times New Roman"/>
                <w:sz w:val="20"/>
                <w:szCs w:val="20"/>
                <w:lang w:val="bs-Latn-BA"/>
              </w:rPr>
              <w:t>11,2</w:t>
            </w:r>
          </w:p>
        </w:tc>
      </w:tr>
      <w:tr w:rsidR="00A131AD" w:rsidRPr="00081B73" w:rsidTr="001911A6">
        <w:tc>
          <w:tcPr>
            <w:tcW w:w="3672"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Smrtnost dojenčadi</w:t>
            </w:r>
          </w:p>
        </w:tc>
        <w:tc>
          <w:tcPr>
            <w:tcW w:w="2684" w:type="dxa"/>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4,0</w:t>
            </w:r>
          </w:p>
        </w:tc>
        <w:tc>
          <w:tcPr>
            <w:tcW w:w="2500" w:type="dxa"/>
          </w:tcPr>
          <w:p w:rsidR="00A131AD" w:rsidRPr="00081B73" w:rsidRDefault="00A131AD" w:rsidP="000C0138">
            <w:pPr>
              <w:spacing w:line="276" w:lineRule="auto"/>
              <w:ind w:right="453"/>
              <w:jc w:val="center"/>
              <w:rPr>
                <w:rFonts w:ascii="Times New Roman" w:hAnsi="Times New Roman"/>
                <w:sz w:val="20"/>
                <w:szCs w:val="20"/>
                <w:lang w:val="bs-Latn-BA"/>
              </w:rPr>
            </w:pPr>
            <w:r w:rsidRPr="00081B73">
              <w:rPr>
                <w:rFonts w:ascii="Times New Roman" w:hAnsi="Times New Roman"/>
                <w:sz w:val="20"/>
                <w:szCs w:val="20"/>
                <w:lang w:val="bs-Latn-BA"/>
              </w:rPr>
              <w:t>9,8</w:t>
            </w:r>
          </w:p>
        </w:tc>
      </w:tr>
      <w:tr w:rsidR="00A131AD" w:rsidRPr="00081B73" w:rsidTr="001911A6">
        <w:tc>
          <w:tcPr>
            <w:tcW w:w="3672" w:type="dxa"/>
          </w:tcPr>
          <w:p w:rsidR="00A131AD" w:rsidRPr="00081B73" w:rsidRDefault="00A131AD" w:rsidP="00606974">
            <w:pPr>
              <w:spacing w:line="276" w:lineRule="auto"/>
              <w:rPr>
                <w:rFonts w:ascii="Times New Roman" w:hAnsi="Times New Roman"/>
                <w:sz w:val="20"/>
                <w:szCs w:val="20"/>
                <w:lang w:val="bs-Latn-BA"/>
              </w:rPr>
            </w:pPr>
            <w:r w:rsidRPr="00081B73">
              <w:rPr>
                <w:rFonts w:ascii="Times New Roman" w:hAnsi="Times New Roman"/>
                <w:sz w:val="20"/>
                <w:szCs w:val="20"/>
                <w:lang w:val="bs-Latn-BA"/>
              </w:rPr>
              <w:t>Prirodni prira</w:t>
            </w:r>
            <w:r w:rsidR="00606974">
              <w:rPr>
                <w:rFonts w:ascii="Times New Roman" w:hAnsi="Times New Roman"/>
                <w:sz w:val="20"/>
                <w:szCs w:val="20"/>
                <w:lang w:val="bs-Latn-BA"/>
              </w:rPr>
              <w:t>st</w:t>
            </w:r>
          </w:p>
        </w:tc>
        <w:tc>
          <w:tcPr>
            <w:tcW w:w="2684" w:type="dxa"/>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-3,1</w:t>
            </w:r>
          </w:p>
        </w:tc>
        <w:tc>
          <w:tcPr>
            <w:tcW w:w="2500" w:type="dxa"/>
          </w:tcPr>
          <w:p w:rsidR="00A131AD" w:rsidRPr="00081B73" w:rsidRDefault="00A131AD" w:rsidP="000C0138">
            <w:pPr>
              <w:spacing w:line="276" w:lineRule="auto"/>
              <w:ind w:right="453"/>
              <w:jc w:val="center"/>
              <w:rPr>
                <w:rFonts w:ascii="Times New Roman" w:hAnsi="Times New Roman"/>
                <w:sz w:val="20"/>
                <w:szCs w:val="20"/>
                <w:lang w:val="bs-Latn-BA"/>
              </w:rPr>
            </w:pPr>
            <w:r w:rsidRPr="00081B73">
              <w:rPr>
                <w:rFonts w:ascii="Times New Roman" w:hAnsi="Times New Roman"/>
                <w:sz w:val="20"/>
                <w:szCs w:val="20"/>
                <w:lang w:val="bs-Latn-BA"/>
              </w:rPr>
              <w:t>-5,9</w:t>
            </w:r>
          </w:p>
        </w:tc>
      </w:tr>
    </w:tbl>
    <w:p w:rsidR="00A131AD" w:rsidRPr="00081B73" w:rsidRDefault="00A131AD" w:rsidP="000C0138">
      <w:pPr>
        <w:spacing w:line="276" w:lineRule="auto"/>
        <w:rPr>
          <w:rFonts w:ascii="Times New Roman" w:hAnsi="Times New Roman"/>
          <w:sz w:val="20"/>
          <w:szCs w:val="20"/>
          <w:lang w:val="bs-Latn-BA"/>
        </w:rPr>
      </w:pPr>
    </w:p>
    <w:p w:rsidR="00A131AD" w:rsidRPr="00081B73" w:rsidRDefault="00A131AD" w:rsidP="00677033">
      <w:pPr>
        <w:pStyle w:val="refererere"/>
        <w:rPr>
          <w:lang w:val="bs-Latn-BA"/>
        </w:rPr>
      </w:pPr>
      <w:r w:rsidRPr="00081B73">
        <w:rPr>
          <w:lang w:val="bs-Latn-BA"/>
        </w:rPr>
        <w:t>Tabl</w:t>
      </w:r>
      <w:r w:rsidR="00606974">
        <w:rPr>
          <w:lang w:val="bs-Latn-BA"/>
        </w:rPr>
        <w:t>ic</w:t>
      </w:r>
      <w:r w:rsidRPr="00081B73">
        <w:rPr>
          <w:lang w:val="bs-Latn-BA"/>
        </w:rPr>
        <w:t>a 3: Vodeći uzroci smrti za 2010</w:t>
      </w:r>
      <w:r w:rsidR="00606974">
        <w:rPr>
          <w:lang w:val="bs-Latn-BA"/>
        </w:rPr>
        <w:t>.</w:t>
      </w:r>
      <w:r w:rsidRPr="00081B73">
        <w:rPr>
          <w:lang w:val="bs-Latn-BA"/>
        </w:rPr>
        <w:t xml:space="preserve"> i 2015. godinu **</w:t>
      </w:r>
    </w:p>
    <w:tbl>
      <w:tblPr>
        <w:tblW w:w="92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83"/>
        <w:gridCol w:w="2602"/>
        <w:gridCol w:w="709"/>
        <w:gridCol w:w="814"/>
        <w:gridCol w:w="462"/>
        <w:gridCol w:w="2693"/>
        <w:gridCol w:w="567"/>
        <w:gridCol w:w="941"/>
      </w:tblGrid>
      <w:tr w:rsidR="00A131AD" w:rsidRPr="00081B73" w:rsidTr="001911A6">
        <w:trPr>
          <w:trHeight w:val="405"/>
        </w:trPr>
        <w:tc>
          <w:tcPr>
            <w:tcW w:w="4608" w:type="dxa"/>
            <w:gridSpan w:val="4"/>
            <w:shd w:val="clear" w:color="auto" w:fill="FFFF00"/>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2010.</w:t>
            </w:r>
          </w:p>
        </w:tc>
        <w:tc>
          <w:tcPr>
            <w:tcW w:w="4663" w:type="dxa"/>
            <w:gridSpan w:val="4"/>
            <w:shd w:val="clear" w:color="auto" w:fill="FFFF00"/>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2015.</w:t>
            </w:r>
          </w:p>
        </w:tc>
      </w:tr>
      <w:tr w:rsidR="00A131AD" w:rsidRPr="00081B73" w:rsidTr="001911A6">
        <w:trPr>
          <w:trHeight w:val="345"/>
        </w:trPr>
        <w:tc>
          <w:tcPr>
            <w:tcW w:w="483" w:type="dxa"/>
            <w:shd w:val="clear" w:color="auto" w:fill="FFFF00"/>
            <w:vAlign w:val="center"/>
          </w:tcPr>
          <w:p w:rsidR="00A131AD" w:rsidRPr="00081B73" w:rsidRDefault="00A131AD" w:rsidP="000C0138">
            <w:pPr>
              <w:spacing w:line="276" w:lineRule="auto"/>
              <w:ind w:right="-108"/>
              <w:jc w:val="center"/>
              <w:rPr>
                <w:rFonts w:ascii="Times New Roman" w:hAnsi="Times New Roman"/>
                <w:bCs/>
                <w:sz w:val="20"/>
                <w:szCs w:val="20"/>
                <w:lang w:val="bs-Latn-BA"/>
              </w:rPr>
            </w:pPr>
            <w:r w:rsidRPr="00081B73">
              <w:rPr>
                <w:rFonts w:ascii="Times New Roman" w:hAnsi="Times New Roman"/>
                <w:bCs/>
                <w:sz w:val="20"/>
                <w:szCs w:val="20"/>
                <w:lang w:val="bs-Latn-BA"/>
              </w:rPr>
              <w:t>Rang</w:t>
            </w:r>
          </w:p>
        </w:tc>
        <w:tc>
          <w:tcPr>
            <w:tcW w:w="2602"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Oboljenje</w:t>
            </w:r>
          </w:p>
        </w:tc>
        <w:tc>
          <w:tcPr>
            <w:tcW w:w="709"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Broj umrlih</w:t>
            </w:r>
          </w:p>
        </w:tc>
        <w:tc>
          <w:tcPr>
            <w:tcW w:w="814"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Indeks strukture (%)</w:t>
            </w:r>
          </w:p>
        </w:tc>
        <w:tc>
          <w:tcPr>
            <w:tcW w:w="462" w:type="dxa"/>
            <w:shd w:val="clear" w:color="auto" w:fill="FFFF00"/>
            <w:vAlign w:val="center"/>
          </w:tcPr>
          <w:p w:rsidR="00A131AD" w:rsidRPr="00081B73" w:rsidRDefault="00A131AD" w:rsidP="000C0138">
            <w:pPr>
              <w:spacing w:line="276" w:lineRule="auto"/>
              <w:ind w:right="-108"/>
              <w:rPr>
                <w:rFonts w:ascii="Times New Roman" w:hAnsi="Times New Roman"/>
                <w:bCs/>
                <w:sz w:val="20"/>
                <w:szCs w:val="20"/>
                <w:lang w:val="bs-Latn-BA"/>
              </w:rPr>
            </w:pPr>
            <w:r w:rsidRPr="00081B73">
              <w:rPr>
                <w:rFonts w:ascii="Times New Roman" w:hAnsi="Times New Roman"/>
                <w:bCs/>
                <w:sz w:val="20"/>
                <w:szCs w:val="20"/>
                <w:lang w:val="bs-Latn-BA"/>
              </w:rPr>
              <w:t>Rang</w:t>
            </w:r>
          </w:p>
        </w:tc>
        <w:tc>
          <w:tcPr>
            <w:tcW w:w="2693"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oboljenje</w:t>
            </w:r>
          </w:p>
        </w:tc>
        <w:tc>
          <w:tcPr>
            <w:tcW w:w="567"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Broj umrlih</w:t>
            </w:r>
          </w:p>
        </w:tc>
        <w:tc>
          <w:tcPr>
            <w:tcW w:w="941"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Indeks strukture (%)</w:t>
            </w:r>
          </w:p>
        </w:tc>
      </w:tr>
      <w:tr w:rsidR="00A131AD" w:rsidRPr="00081B73" w:rsidTr="001911A6">
        <w:tc>
          <w:tcPr>
            <w:tcW w:w="483"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1</w:t>
            </w:r>
          </w:p>
        </w:tc>
        <w:tc>
          <w:tcPr>
            <w:tcW w:w="2602"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 xml:space="preserve">Kardiomiopatija </w:t>
            </w:r>
            <w:r w:rsidRPr="00081B73">
              <w:rPr>
                <w:rFonts w:ascii="Times New Roman" w:hAnsi="Times New Roman"/>
                <w:sz w:val="20"/>
                <w:szCs w:val="20"/>
              </w:rPr>
              <w:t>(I42)</w:t>
            </w:r>
          </w:p>
        </w:tc>
        <w:tc>
          <w:tcPr>
            <w:tcW w:w="709"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188</w:t>
            </w:r>
          </w:p>
        </w:tc>
        <w:tc>
          <w:tcPr>
            <w:tcW w:w="814" w:type="dxa"/>
          </w:tcPr>
          <w:p w:rsidR="00A131AD" w:rsidRPr="00081B73" w:rsidRDefault="00A131AD" w:rsidP="000C0138">
            <w:pPr>
              <w:tabs>
                <w:tab w:val="left" w:pos="340"/>
              </w:tabs>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25,2</w:t>
            </w:r>
          </w:p>
        </w:tc>
        <w:tc>
          <w:tcPr>
            <w:tcW w:w="462"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1</w:t>
            </w:r>
          </w:p>
        </w:tc>
        <w:tc>
          <w:tcPr>
            <w:tcW w:w="2693"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Srčana slabost (I50)</w:t>
            </w:r>
          </w:p>
        </w:tc>
        <w:tc>
          <w:tcPr>
            <w:tcW w:w="567"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147</w:t>
            </w:r>
          </w:p>
        </w:tc>
        <w:tc>
          <w:tcPr>
            <w:tcW w:w="941" w:type="dxa"/>
            <w:vAlign w:val="center"/>
          </w:tcPr>
          <w:p w:rsidR="00A131AD" w:rsidRPr="00081B73" w:rsidRDefault="00A131AD" w:rsidP="000C0138">
            <w:pPr>
              <w:spacing w:line="276" w:lineRule="auto"/>
              <w:jc w:val="center"/>
              <w:rPr>
                <w:rFonts w:ascii="Times New Roman" w:hAnsi="Times New Roman"/>
                <w:sz w:val="20"/>
                <w:szCs w:val="20"/>
                <w:lang w:val="en-US"/>
              </w:rPr>
            </w:pPr>
            <w:r w:rsidRPr="00081B73">
              <w:rPr>
                <w:rFonts w:ascii="Times New Roman" w:hAnsi="Times New Roman"/>
                <w:sz w:val="20"/>
                <w:szCs w:val="20"/>
                <w:lang w:val="en-US"/>
              </w:rPr>
              <w:t>16,9</w:t>
            </w:r>
          </w:p>
        </w:tc>
      </w:tr>
      <w:tr w:rsidR="00A131AD" w:rsidRPr="00081B73" w:rsidTr="001911A6">
        <w:tc>
          <w:tcPr>
            <w:tcW w:w="483"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2</w:t>
            </w:r>
          </w:p>
        </w:tc>
        <w:tc>
          <w:tcPr>
            <w:tcW w:w="2602"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 xml:space="preserve">Udar koji nije spec. Kao krvarenje ili infarkt </w:t>
            </w:r>
            <w:r w:rsidRPr="00081B73">
              <w:rPr>
                <w:rFonts w:ascii="Times New Roman" w:hAnsi="Times New Roman"/>
                <w:sz w:val="20"/>
                <w:szCs w:val="20"/>
              </w:rPr>
              <w:t>( I64)</w:t>
            </w:r>
          </w:p>
        </w:tc>
        <w:tc>
          <w:tcPr>
            <w:tcW w:w="709"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109</w:t>
            </w:r>
          </w:p>
        </w:tc>
        <w:tc>
          <w:tcPr>
            <w:tcW w:w="814"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14,6</w:t>
            </w:r>
          </w:p>
        </w:tc>
        <w:tc>
          <w:tcPr>
            <w:tcW w:w="462"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2</w:t>
            </w:r>
          </w:p>
        </w:tc>
        <w:tc>
          <w:tcPr>
            <w:tcW w:w="2693"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Akutni infrakt miokarda (I21)</w:t>
            </w:r>
          </w:p>
        </w:tc>
        <w:tc>
          <w:tcPr>
            <w:tcW w:w="567"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90</w:t>
            </w:r>
          </w:p>
        </w:tc>
        <w:tc>
          <w:tcPr>
            <w:tcW w:w="941" w:type="dxa"/>
            <w:vAlign w:val="center"/>
          </w:tcPr>
          <w:p w:rsidR="00A131AD" w:rsidRPr="00081B73" w:rsidRDefault="00A131AD" w:rsidP="000C0138">
            <w:pPr>
              <w:spacing w:line="276" w:lineRule="auto"/>
              <w:jc w:val="center"/>
              <w:rPr>
                <w:rFonts w:ascii="Times New Roman" w:hAnsi="Times New Roman"/>
                <w:sz w:val="20"/>
                <w:szCs w:val="20"/>
                <w:lang w:val="en-US"/>
              </w:rPr>
            </w:pPr>
            <w:r w:rsidRPr="00081B73">
              <w:rPr>
                <w:rFonts w:ascii="Times New Roman" w:hAnsi="Times New Roman"/>
                <w:sz w:val="20"/>
                <w:szCs w:val="20"/>
                <w:lang w:val="en-US"/>
              </w:rPr>
              <w:t>10,4</w:t>
            </w:r>
          </w:p>
        </w:tc>
      </w:tr>
      <w:tr w:rsidR="00A131AD" w:rsidRPr="00081B73" w:rsidTr="001911A6">
        <w:tc>
          <w:tcPr>
            <w:tcW w:w="483"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3</w:t>
            </w:r>
          </w:p>
        </w:tc>
        <w:tc>
          <w:tcPr>
            <w:tcW w:w="2602"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rPr>
              <w:t>Akutni infarkt miokarda( I21)</w:t>
            </w:r>
          </w:p>
        </w:tc>
        <w:tc>
          <w:tcPr>
            <w:tcW w:w="709"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83</w:t>
            </w:r>
          </w:p>
        </w:tc>
        <w:tc>
          <w:tcPr>
            <w:tcW w:w="814"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11,1</w:t>
            </w:r>
          </w:p>
        </w:tc>
        <w:tc>
          <w:tcPr>
            <w:tcW w:w="462"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3</w:t>
            </w:r>
          </w:p>
        </w:tc>
        <w:tc>
          <w:tcPr>
            <w:tcW w:w="2693"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Srčani zastoj (</w:t>
            </w:r>
            <w:r w:rsidRPr="00081B73">
              <w:rPr>
                <w:rFonts w:ascii="Times New Roman" w:hAnsi="Times New Roman"/>
                <w:w w:val="98"/>
                <w:sz w:val="20"/>
                <w:szCs w:val="20"/>
              </w:rPr>
              <w:t>I46)</w:t>
            </w:r>
          </w:p>
        </w:tc>
        <w:tc>
          <w:tcPr>
            <w:tcW w:w="567"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57</w:t>
            </w:r>
          </w:p>
        </w:tc>
        <w:tc>
          <w:tcPr>
            <w:tcW w:w="941" w:type="dxa"/>
            <w:vAlign w:val="center"/>
          </w:tcPr>
          <w:p w:rsidR="00A131AD" w:rsidRPr="00081B73" w:rsidRDefault="00A131AD" w:rsidP="000C0138">
            <w:pPr>
              <w:spacing w:line="276" w:lineRule="auto"/>
              <w:jc w:val="center"/>
              <w:rPr>
                <w:rFonts w:ascii="Times New Roman" w:hAnsi="Times New Roman"/>
                <w:sz w:val="20"/>
                <w:szCs w:val="20"/>
                <w:lang w:val="en-US"/>
              </w:rPr>
            </w:pPr>
            <w:r w:rsidRPr="00081B73">
              <w:rPr>
                <w:rFonts w:ascii="Times New Roman" w:hAnsi="Times New Roman"/>
                <w:sz w:val="20"/>
                <w:szCs w:val="20"/>
                <w:lang w:val="en-US"/>
              </w:rPr>
              <w:t>6,6</w:t>
            </w:r>
          </w:p>
        </w:tc>
      </w:tr>
      <w:tr w:rsidR="00A131AD" w:rsidRPr="00081B73" w:rsidTr="001911A6">
        <w:tc>
          <w:tcPr>
            <w:tcW w:w="483"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4</w:t>
            </w:r>
          </w:p>
        </w:tc>
        <w:tc>
          <w:tcPr>
            <w:tcW w:w="2602"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Srčani zastoj (</w:t>
            </w:r>
            <w:r w:rsidRPr="00081B73">
              <w:rPr>
                <w:rFonts w:ascii="Times New Roman" w:hAnsi="Times New Roman"/>
                <w:w w:val="98"/>
                <w:sz w:val="20"/>
                <w:szCs w:val="20"/>
              </w:rPr>
              <w:t>I46)</w:t>
            </w:r>
          </w:p>
        </w:tc>
        <w:tc>
          <w:tcPr>
            <w:tcW w:w="709"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34</w:t>
            </w:r>
          </w:p>
        </w:tc>
        <w:tc>
          <w:tcPr>
            <w:tcW w:w="814"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4,6</w:t>
            </w:r>
          </w:p>
        </w:tc>
        <w:tc>
          <w:tcPr>
            <w:tcW w:w="462"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4</w:t>
            </w:r>
          </w:p>
        </w:tc>
        <w:tc>
          <w:tcPr>
            <w:tcW w:w="2693"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Kardiomiopatija (I42)</w:t>
            </w:r>
          </w:p>
        </w:tc>
        <w:tc>
          <w:tcPr>
            <w:tcW w:w="567"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56</w:t>
            </w:r>
          </w:p>
        </w:tc>
        <w:tc>
          <w:tcPr>
            <w:tcW w:w="941" w:type="dxa"/>
            <w:vAlign w:val="center"/>
          </w:tcPr>
          <w:p w:rsidR="00A131AD" w:rsidRPr="00081B73" w:rsidRDefault="00A131AD" w:rsidP="000C0138">
            <w:pPr>
              <w:spacing w:line="276" w:lineRule="auto"/>
              <w:jc w:val="center"/>
              <w:rPr>
                <w:rFonts w:ascii="Times New Roman" w:hAnsi="Times New Roman"/>
                <w:sz w:val="20"/>
                <w:szCs w:val="20"/>
                <w:lang w:val="en-US"/>
              </w:rPr>
            </w:pPr>
            <w:r w:rsidRPr="00081B73">
              <w:rPr>
                <w:rFonts w:ascii="Times New Roman" w:hAnsi="Times New Roman"/>
                <w:sz w:val="20"/>
                <w:szCs w:val="20"/>
                <w:lang w:val="en-US"/>
              </w:rPr>
              <w:t>6,4</w:t>
            </w:r>
          </w:p>
        </w:tc>
      </w:tr>
      <w:tr w:rsidR="00A131AD" w:rsidRPr="00081B73" w:rsidTr="001911A6">
        <w:tc>
          <w:tcPr>
            <w:tcW w:w="483"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5</w:t>
            </w:r>
          </w:p>
        </w:tc>
        <w:tc>
          <w:tcPr>
            <w:tcW w:w="2602"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Maligne neoplazme bronha i pluća (C34)</w:t>
            </w:r>
          </w:p>
        </w:tc>
        <w:tc>
          <w:tcPr>
            <w:tcW w:w="709"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28</w:t>
            </w:r>
          </w:p>
        </w:tc>
        <w:tc>
          <w:tcPr>
            <w:tcW w:w="814"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3,8</w:t>
            </w:r>
          </w:p>
        </w:tc>
        <w:tc>
          <w:tcPr>
            <w:tcW w:w="462" w:type="dxa"/>
          </w:tcPr>
          <w:p w:rsidR="00A131AD" w:rsidRPr="00081B73" w:rsidRDefault="00A131AD" w:rsidP="000C0138">
            <w:pPr>
              <w:spacing w:line="276" w:lineRule="auto"/>
              <w:ind w:right="-108"/>
              <w:jc w:val="center"/>
              <w:rPr>
                <w:rFonts w:ascii="Times New Roman" w:hAnsi="Times New Roman"/>
                <w:sz w:val="20"/>
                <w:szCs w:val="20"/>
                <w:lang w:val="bs-Latn-BA"/>
              </w:rPr>
            </w:pPr>
            <w:r w:rsidRPr="00081B73">
              <w:rPr>
                <w:rFonts w:ascii="Times New Roman" w:hAnsi="Times New Roman"/>
                <w:sz w:val="20"/>
                <w:szCs w:val="20"/>
                <w:lang w:val="bs-Latn-BA"/>
              </w:rPr>
              <w:t>5</w:t>
            </w:r>
          </w:p>
        </w:tc>
        <w:tc>
          <w:tcPr>
            <w:tcW w:w="2693"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Sekvele cerebrovaskularnih oboljenja (I69)</w:t>
            </w:r>
          </w:p>
        </w:tc>
        <w:tc>
          <w:tcPr>
            <w:tcW w:w="567"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52</w:t>
            </w:r>
          </w:p>
        </w:tc>
        <w:tc>
          <w:tcPr>
            <w:tcW w:w="941" w:type="dxa"/>
            <w:vAlign w:val="center"/>
          </w:tcPr>
          <w:p w:rsidR="00A131AD" w:rsidRPr="00081B73" w:rsidRDefault="00A131AD" w:rsidP="000C0138">
            <w:pPr>
              <w:spacing w:line="276" w:lineRule="auto"/>
              <w:jc w:val="center"/>
              <w:rPr>
                <w:rFonts w:ascii="Times New Roman" w:hAnsi="Times New Roman"/>
                <w:sz w:val="20"/>
                <w:szCs w:val="20"/>
                <w:lang w:val="en-US"/>
              </w:rPr>
            </w:pPr>
            <w:r w:rsidRPr="00081B73">
              <w:rPr>
                <w:rFonts w:ascii="Times New Roman" w:hAnsi="Times New Roman"/>
                <w:sz w:val="20"/>
                <w:szCs w:val="20"/>
                <w:lang w:val="en-US"/>
              </w:rPr>
              <w:t>6,0</w:t>
            </w:r>
          </w:p>
        </w:tc>
      </w:tr>
      <w:tr w:rsidR="00A131AD" w:rsidRPr="00081B73" w:rsidTr="001911A6">
        <w:tc>
          <w:tcPr>
            <w:tcW w:w="483" w:type="dxa"/>
          </w:tcPr>
          <w:p w:rsidR="00A131AD" w:rsidRPr="00081B73" w:rsidRDefault="00A131AD" w:rsidP="000C0138">
            <w:pPr>
              <w:spacing w:line="276" w:lineRule="auto"/>
              <w:ind w:right="-108"/>
              <w:jc w:val="center"/>
              <w:rPr>
                <w:rFonts w:ascii="Times New Roman" w:hAnsi="Times New Roman"/>
                <w:sz w:val="20"/>
                <w:szCs w:val="20"/>
                <w:lang w:val="bs-Latn-BA"/>
              </w:rPr>
            </w:pPr>
          </w:p>
        </w:tc>
        <w:tc>
          <w:tcPr>
            <w:tcW w:w="2602" w:type="dxa"/>
          </w:tcPr>
          <w:p w:rsidR="00A131AD" w:rsidRPr="00081B73" w:rsidRDefault="00A131AD" w:rsidP="000C0138">
            <w:pPr>
              <w:spacing w:line="276" w:lineRule="auto"/>
              <w:jc w:val="left"/>
              <w:rPr>
                <w:rFonts w:ascii="Times New Roman" w:hAnsi="Times New Roman"/>
                <w:sz w:val="20"/>
                <w:szCs w:val="20"/>
                <w:lang w:val="bs-Latn-BA"/>
              </w:rPr>
            </w:pPr>
            <w:r w:rsidRPr="00081B73">
              <w:rPr>
                <w:rFonts w:ascii="Times New Roman" w:hAnsi="Times New Roman"/>
                <w:sz w:val="20"/>
                <w:szCs w:val="20"/>
                <w:lang w:val="bs-Latn-BA"/>
              </w:rPr>
              <w:t>Ostale bolesti kao uzrci smrti</w:t>
            </w:r>
          </w:p>
        </w:tc>
        <w:tc>
          <w:tcPr>
            <w:tcW w:w="709"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304</w:t>
            </w:r>
          </w:p>
        </w:tc>
        <w:tc>
          <w:tcPr>
            <w:tcW w:w="814" w:type="dxa"/>
          </w:tcPr>
          <w:p w:rsidR="00A131AD" w:rsidRPr="00081B73" w:rsidRDefault="00A131AD" w:rsidP="000C0138">
            <w:pPr>
              <w:tabs>
                <w:tab w:val="left" w:pos="220"/>
              </w:tabs>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40,8</w:t>
            </w:r>
          </w:p>
        </w:tc>
        <w:tc>
          <w:tcPr>
            <w:tcW w:w="462" w:type="dxa"/>
          </w:tcPr>
          <w:p w:rsidR="00A131AD" w:rsidRPr="00081B73" w:rsidRDefault="00A131AD" w:rsidP="000C0138">
            <w:pPr>
              <w:spacing w:line="276" w:lineRule="auto"/>
              <w:ind w:right="-108"/>
              <w:jc w:val="center"/>
              <w:rPr>
                <w:rFonts w:ascii="Times New Roman" w:hAnsi="Times New Roman"/>
                <w:sz w:val="20"/>
                <w:szCs w:val="20"/>
                <w:lang w:val="bs-Latn-BA"/>
              </w:rPr>
            </w:pPr>
          </w:p>
        </w:tc>
        <w:tc>
          <w:tcPr>
            <w:tcW w:w="2693"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Ostali uzroci smrti</w:t>
            </w:r>
          </w:p>
        </w:tc>
        <w:tc>
          <w:tcPr>
            <w:tcW w:w="567"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467</w:t>
            </w:r>
          </w:p>
        </w:tc>
        <w:tc>
          <w:tcPr>
            <w:tcW w:w="941" w:type="dxa"/>
            <w:vAlign w:val="center"/>
          </w:tcPr>
          <w:p w:rsidR="00A131AD" w:rsidRPr="00081B73" w:rsidRDefault="00A131AD" w:rsidP="000C0138">
            <w:pPr>
              <w:spacing w:line="276" w:lineRule="auto"/>
              <w:jc w:val="center"/>
              <w:rPr>
                <w:rFonts w:ascii="Times New Roman" w:hAnsi="Times New Roman"/>
                <w:sz w:val="20"/>
                <w:szCs w:val="20"/>
                <w:lang w:val="en-US"/>
              </w:rPr>
            </w:pPr>
            <w:r w:rsidRPr="00081B73">
              <w:rPr>
                <w:rFonts w:ascii="Times New Roman" w:hAnsi="Times New Roman"/>
                <w:sz w:val="20"/>
                <w:szCs w:val="20"/>
                <w:lang w:val="en-US"/>
              </w:rPr>
              <w:t>53,7</w:t>
            </w:r>
          </w:p>
        </w:tc>
      </w:tr>
      <w:tr w:rsidR="00A131AD" w:rsidRPr="00081B73" w:rsidTr="001911A6">
        <w:tc>
          <w:tcPr>
            <w:tcW w:w="483" w:type="dxa"/>
          </w:tcPr>
          <w:p w:rsidR="00A131AD" w:rsidRPr="00081B73" w:rsidRDefault="00A131AD" w:rsidP="000C0138">
            <w:pPr>
              <w:spacing w:line="276" w:lineRule="auto"/>
              <w:ind w:right="-108"/>
              <w:jc w:val="center"/>
              <w:rPr>
                <w:rFonts w:ascii="Times New Roman" w:hAnsi="Times New Roman"/>
                <w:sz w:val="20"/>
                <w:szCs w:val="20"/>
                <w:lang w:val="bs-Latn-BA"/>
              </w:rPr>
            </w:pPr>
          </w:p>
        </w:tc>
        <w:tc>
          <w:tcPr>
            <w:tcW w:w="2602" w:type="dxa"/>
          </w:tcPr>
          <w:p w:rsidR="00A131AD" w:rsidRPr="00081B73" w:rsidRDefault="00A131AD" w:rsidP="000C0138">
            <w:pPr>
              <w:spacing w:line="276" w:lineRule="auto"/>
              <w:jc w:val="left"/>
              <w:rPr>
                <w:rFonts w:ascii="Times New Roman" w:hAnsi="Times New Roman"/>
                <w:sz w:val="20"/>
                <w:szCs w:val="20"/>
                <w:lang w:val="bs-Latn-BA"/>
              </w:rPr>
            </w:pPr>
            <w:r w:rsidRPr="00081B73">
              <w:rPr>
                <w:rFonts w:ascii="Times New Roman" w:hAnsi="Times New Roman"/>
                <w:sz w:val="20"/>
                <w:szCs w:val="20"/>
                <w:lang w:val="bs-Latn-BA"/>
              </w:rPr>
              <w:t>Ukupno umrlih</w:t>
            </w:r>
          </w:p>
        </w:tc>
        <w:tc>
          <w:tcPr>
            <w:tcW w:w="709"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746</w:t>
            </w:r>
          </w:p>
        </w:tc>
        <w:tc>
          <w:tcPr>
            <w:tcW w:w="814"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100%</w:t>
            </w:r>
          </w:p>
        </w:tc>
        <w:tc>
          <w:tcPr>
            <w:tcW w:w="462" w:type="dxa"/>
          </w:tcPr>
          <w:p w:rsidR="00A131AD" w:rsidRPr="00081B73" w:rsidRDefault="00A131AD" w:rsidP="000C0138">
            <w:pPr>
              <w:spacing w:line="276" w:lineRule="auto"/>
              <w:ind w:right="-108"/>
              <w:jc w:val="center"/>
              <w:rPr>
                <w:rFonts w:ascii="Times New Roman" w:hAnsi="Times New Roman"/>
                <w:sz w:val="20"/>
                <w:szCs w:val="20"/>
                <w:lang w:val="bs-Latn-BA"/>
              </w:rPr>
            </w:pPr>
          </w:p>
        </w:tc>
        <w:tc>
          <w:tcPr>
            <w:tcW w:w="2693"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Ukupno umrlih</w:t>
            </w:r>
          </w:p>
        </w:tc>
        <w:tc>
          <w:tcPr>
            <w:tcW w:w="567" w:type="dxa"/>
            <w:vAlign w:val="bottom"/>
          </w:tcPr>
          <w:p w:rsidR="00A131AD" w:rsidRPr="00081B73" w:rsidRDefault="00A131AD" w:rsidP="000C0138">
            <w:pPr>
              <w:spacing w:line="276" w:lineRule="auto"/>
              <w:jc w:val="right"/>
              <w:rPr>
                <w:rFonts w:ascii="Times New Roman" w:hAnsi="Times New Roman"/>
                <w:sz w:val="20"/>
                <w:szCs w:val="20"/>
                <w:lang w:val="en-US"/>
              </w:rPr>
            </w:pPr>
            <w:r w:rsidRPr="00081B73">
              <w:rPr>
                <w:rFonts w:ascii="Times New Roman" w:hAnsi="Times New Roman"/>
                <w:sz w:val="20"/>
                <w:szCs w:val="20"/>
                <w:lang w:val="en-US"/>
              </w:rPr>
              <w:t>869</w:t>
            </w:r>
          </w:p>
        </w:tc>
        <w:tc>
          <w:tcPr>
            <w:tcW w:w="941" w:type="dxa"/>
            <w:vAlign w:val="center"/>
          </w:tcPr>
          <w:p w:rsidR="00A131AD" w:rsidRPr="00081B73" w:rsidRDefault="00A131AD" w:rsidP="000C0138">
            <w:pPr>
              <w:spacing w:line="276" w:lineRule="auto"/>
              <w:jc w:val="center"/>
              <w:rPr>
                <w:rFonts w:ascii="Times New Roman" w:hAnsi="Times New Roman"/>
                <w:sz w:val="20"/>
                <w:szCs w:val="20"/>
                <w:lang w:val="en-US"/>
              </w:rPr>
            </w:pPr>
            <w:r w:rsidRPr="00081B73">
              <w:rPr>
                <w:rFonts w:ascii="Times New Roman" w:hAnsi="Times New Roman"/>
                <w:sz w:val="20"/>
                <w:szCs w:val="20"/>
                <w:lang w:val="en-US"/>
              </w:rPr>
              <w:t>100%</w:t>
            </w:r>
          </w:p>
        </w:tc>
      </w:tr>
    </w:tbl>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 Poda</w:t>
      </w:r>
      <w:r w:rsidR="00606974">
        <w:rPr>
          <w:rFonts w:ascii="Times New Roman" w:hAnsi="Times New Roman"/>
          <w:sz w:val="20"/>
          <w:szCs w:val="20"/>
          <w:lang w:val="bs-Latn-BA"/>
        </w:rPr>
        <w:t>t</w:t>
      </w:r>
      <w:r w:rsidRPr="00081B73">
        <w:rPr>
          <w:rFonts w:ascii="Times New Roman" w:hAnsi="Times New Roman"/>
          <w:sz w:val="20"/>
          <w:szCs w:val="20"/>
          <w:lang w:val="bs-Latn-BA"/>
        </w:rPr>
        <w:t>ci Federalnog zavoda za statistiku-obrada uzroka smrti FBiH 2015. god</w:t>
      </w:r>
    </w:p>
    <w:p w:rsidR="00A131AD" w:rsidRPr="00081B73" w:rsidRDefault="00A131AD" w:rsidP="000C0138">
      <w:pPr>
        <w:spacing w:after="160" w:line="276" w:lineRule="auto"/>
        <w:jc w:val="left"/>
        <w:rPr>
          <w:rFonts w:ascii="Times New Roman" w:hAnsi="Times New Roman"/>
          <w:sz w:val="20"/>
          <w:szCs w:val="20"/>
          <w:lang w:val="bs-Latn-BA"/>
        </w:rPr>
      </w:pPr>
      <w:r w:rsidRPr="00081B73">
        <w:rPr>
          <w:rFonts w:ascii="Times New Roman" w:hAnsi="Times New Roman"/>
          <w:sz w:val="20"/>
          <w:szCs w:val="20"/>
          <w:lang w:val="bs-Latn-BA"/>
        </w:rPr>
        <w:br w:type="page"/>
      </w:r>
    </w:p>
    <w:p w:rsidR="00A131AD" w:rsidRPr="00081B73" w:rsidRDefault="00A131AD" w:rsidP="00677033">
      <w:pPr>
        <w:pStyle w:val="refererere"/>
        <w:rPr>
          <w:lang w:val="bs-Latn-BA"/>
        </w:rPr>
      </w:pPr>
      <w:r w:rsidRPr="00081B73">
        <w:rPr>
          <w:lang w:val="bs-Latn-BA"/>
        </w:rPr>
        <w:lastRenderedPageBreak/>
        <w:t>Tabl</w:t>
      </w:r>
      <w:r w:rsidR="00606974">
        <w:rPr>
          <w:lang w:val="bs-Latn-BA"/>
        </w:rPr>
        <w:t>ic</w:t>
      </w:r>
      <w:r w:rsidRPr="00081B73">
        <w:rPr>
          <w:lang w:val="bs-Latn-BA"/>
        </w:rPr>
        <w:t>a 4: Vodeća zarazna oboljenja za 2010</w:t>
      </w:r>
      <w:r w:rsidR="00606974">
        <w:rPr>
          <w:lang w:val="bs-Latn-BA"/>
        </w:rPr>
        <w:t>.</w:t>
      </w:r>
      <w:r w:rsidRPr="00081B73">
        <w:rPr>
          <w:lang w:val="bs-Latn-BA"/>
        </w:rPr>
        <w:t xml:space="preserve"> i 2015. godinu</w:t>
      </w:r>
    </w:p>
    <w:tbl>
      <w:tblPr>
        <w:tblW w:w="92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8"/>
        <w:gridCol w:w="2079"/>
        <w:gridCol w:w="981"/>
        <w:gridCol w:w="1015"/>
        <w:gridCol w:w="540"/>
        <w:gridCol w:w="1858"/>
        <w:gridCol w:w="1202"/>
        <w:gridCol w:w="1129"/>
      </w:tblGrid>
      <w:tr w:rsidR="00A131AD" w:rsidRPr="00081B73" w:rsidTr="001911A6">
        <w:trPr>
          <w:trHeight w:val="476"/>
          <w:jc w:val="center"/>
        </w:trPr>
        <w:tc>
          <w:tcPr>
            <w:tcW w:w="4543" w:type="dxa"/>
            <w:gridSpan w:val="4"/>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2010.</w:t>
            </w:r>
          </w:p>
        </w:tc>
        <w:tc>
          <w:tcPr>
            <w:tcW w:w="4729" w:type="dxa"/>
            <w:gridSpan w:val="4"/>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2015.</w:t>
            </w:r>
          </w:p>
        </w:tc>
      </w:tr>
      <w:tr w:rsidR="00A131AD" w:rsidRPr="00081B73" w:rsidTr="00677033">
        <w:trPr>
          <w:cantSplit/>
          <w:trHeight w:val="516"/>
          <w:jc w:val="center"/>
        </w:trPr>
        <w:tc>
          <w:tcPr>
            <w:tcW w:w="468" w:type="dxa"/>
            <w:shd w:val="clear" w:color="auto" w:fill="FFFF00"/>
            <w:textDirection w:val="btLr"/>
          </w:tcPr>
          <w:p w:rsidR="00A131AD" w:rsidRPr="00081B73" w:rsidRDefault="00A131AD" w:rsidP="000C0138">
            <w:pPr>
              <w:autoSpaceDE w:val="0"/>
              <w:autoSpaceDN w:val="0"/>
              <w:adjustRightInd w:val="0"/>
              <w:spacing w:line="276" w:lineRule="auto"/>
              <w:ind w:left="113" w:right="113"/>
              <w:rPr>
                <w:rFonts w:ascii="Times New Roman" w:hAnsi="Times New Roman"/>
                <w:color w:val="000000"/>
                <w:sz w:val="20"/>
                <w:szCs w:val="20"/>
                <w:lang w:val="bs-Latn-BA"/>
              </w:rPr>
            </w:pPr>
            <w:r w:rsidRPr="00081B73">
              <w:rPr>
                <w:rFonts w:ascii="Times New Roman" w:hAnsi="Times New Roman"/>
                <w:color w:val="000000"/>
                <w:sz w:val="20"/>
                <w:szCs w:val="20"/>
                <w:lang w:val="bs-Latn-BA"/>
              </w:rPr>
              <w:t>Rang</w:t>
            </w:r>
          </w:p>
        </w:tc>
        <w:tc>
          <w:tcPr>
            <w:tcW w:w="2079"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Bolest / stanje</w:t>
            </w:r>
          </w:p>
        </w:tc>
        <w:tc>
          <w:tcPr>
            <w:tcW w:w="981"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sz w:val="20"/>
                <w:szCs w:val="20"/>
                <w:lang w:val="bs-Latn-BA"/>
              </w:rPr>
              <w:t>Broj registriranih</w:t>
            </w:r>
          </w:p>
        </w:tc>
        <w:tc>
          <w:tcPr>
            <w:tcW w:w="1015"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Mb/</w:t>
            </w:r>
          </w:p>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100000</w:t>
            </w:r>
          </w:p>
        </w:tc>
        <w:tc>
          <w:tcPr>
            <w:tcW w:w="540" w:type="dxa"/>
            <w:shd w:val="clear" w:color="auto" w:fill="FFFF00"/>
            <w:textDirection w:val="btLr"/>
            <w:vAlign w:val="center"/>
          </w:tcPr>
          <w:p w:rsidR="00A131AD" w:rsidRPr="00081B73" w:rsidRDefault="00A131AD" w:rsidP="000C0138">
            <w:pPr>
              <w:autoSpaceDE w:val="0"/>
              <w:autoSpaceDN w:val="0"/>
              <w:adjustRightInd w:val="0"/>
              <w:spacing w:line="276" w:lineRule="auto"/>
              <w:ind w:left="113" w:right="113"/>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Rang</w:t>
            </w:r>
          </w:p>
        </w:tc>
        <w:tc>
          <w:tcPr>
            <w:tcW w:w="1858"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Bolest / stanje</w:t>
            </w:r>
          </w:p>
        </w:tc>
        <w:tc>
          <w:tcPr>
            <w:tcW w:w="1202"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sz w:val="20"/>
                <w:szCs w:val="20"/>
                <w:lang w:val="bs-Latn-BA"/>
              </w:rPr>
              <w:t>Broj registriranih</w:t>
            </w:r>
          </w:p>
        </w:tc>
        <w:tc>
          <w:tcPr>
            <w:tcW w:w="1129" w:type="dxa"/>
            <w:shd w:val="clear" w:color="auto" w:fill="FFFF00"/>
            <w:vAlign w:val="center"/>
          </w:tcPr>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Mb/</w:t>
            </w:r>
          </w:p>
          <w:p w:rsidR="00A131AD" w:rsidRPr="00081B73" w:rsidRDefault="00A131AD" w:rsidP="000C0138">
            <w:pPr>
              <w:autoSpaceDE w:val="0"/>
              <w:autoSpaceDN w:val="0"/>
              <w:adjustRightInd w:val="0"/>
              <w:spacing w:line="276" w:lineRule="auto"/>
              <w:jc w:val="center"/>
              <w:rPr>
                <w:rFonts w:ascii="Times New Roman" w:hAnsi="Times New Roman"/>
                <w:color w:val="000000"/>
                <w:sz w:val="20"/>
                <w:szCs w:val="20"/>
                <w:lang w:val="bs-Latn-BA"/>
              </w:rPr>
            </w:pPr>
            <w:r w:rsidRPr="00081B73">
              <w:rPr>
                <w:rFonts w:ascii="Times New Roman" w:hAnsi="Times New Roman"/>
                <w:color w:val="000000"/>
                <w:sz w:val="20"/>
                <w:szCs w:val="20"/>
                <w:lang w:val="bs-Latn-BA"/>
              </w:rPr>
              <w:t>100000</w:t>
            </w:r>
          </w:p>
        </w:tc>
      </w:tr>
      <w:tr w:rsidR="00A131AD" w:rsidRPr="00081B73" w:rsidTr="00677033">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1</w:t>
            </w:r>
          </w:p>
        </w:tc>
        <w:tc>
          <w:tcPr>
            <w:tcW w:w="2079"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Varicellae</w:t>
            </w:r>
          </w:p>
        </w:tc>
        <w:tc>
          <w:tcPr>
            <w:tcW w:w="981"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75</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93,37</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w:t>
            </w:r>
          </w:p>
        </w:tc>
        <w:tc>
          <w:tcPr>
            <w:tcW w:w="1858"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Ili/gripa</w:t>
            </w:r>
          </w:p>
        </w:tc>
        <w:tc>
          <w:tcPr>
            <w:tcW w:w="1202"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331</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425,69</w:t>
            </w:r>
          </w:p>
        </w:tc>
      </w:tr>
      <w:tr w:rsidR="00A131AD" w:rsidRPr="00081B73" w:rsidTr="00677033">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2</w:t>
            </w:r>
          </w:p>
        </w:tc>
        <w:tc>
          <w:tcPr>
            <w:tcW w:w="2079"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Enterocol.ac.</w:t>
            </w:r>
          </w:p>
        </w:tc>
        <w:tc>
          <w:tcPr>
            <w:tcW w:w="981"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63</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78,43</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2</w:t>
            </w:r>
          </w:p>
        </w:tc>
        <w:tc>
          <w:tcPr>
            <w:tcW w:w="1858"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Varicellae</w:t>
            </w:r>
          </w:p>
        </w:tc>
        <w:tc>
          <w:tcPr>
            <w:tcW w:w="1202"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199</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255,93</w:t>
            </w:r>
          </w:p>
        </w:tc>
      </w:tr>
      <w:tr w:rsidR="00A131AD" w:rsidRPr="00081B73" w:rsidTr="00677033">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3</w:t>
            </w:r>
          </w:p>
        </w:tc>
        <w:tc>
          <w:tcPr>
            <w:tcW w:w="2079"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Salmonellosis</w:t>
            </w:r>
          </w:p>
        </w:tc>
        <w:tc>
          <w:tcPr>
            <w:tcW w:w="981"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13</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16,18</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3</w:t>
            </w:r>
          </w:p>
        </w:tc>
        <w:tc>
          <w:tcPr>
            <w:tcW w:w="1858"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sz w:val="20"/>
                <w:szCs w:val="20"/>
              </w:rPr>
              <w:t>Enterocol.ac.</w:t>
            </w:r>
          </w:p>
        </w:tc>
        <w:tc>
          <w:tcPr>
            <w:tcW w:w="1202"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136</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174,90</w:t>
            </w:r>
          </w:p>
        </w:tc>
      </w:tr>
      <w:tr w:rsidR="00A131AD" w:rsidRPr="00081B73" w:rsidTr="00677033">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4</w:t>
            </w:r>
          </w:p>
        </w:tc>
        <w:tc>
          <w:tcPr>
            <w:tcW w:w="2079"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Herpes zoster</w:t>
            </w:r>
          </w:p>
        </w:tc>
        <w:tc>
          <w:tcPr>
            <w:tcW w:w="981"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8</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9,96</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4</w:t>
            </w:r>
          </w:p>
        </w:tc>
        <w:tc>
          <w:tcPr>
            <w:tcW w:w="1858"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sz w:val="20"/>
                <w:szCs w:val="20"/>
              </w:rPr>
              <w:t>Salmonellosis</w:t>
            </w:r>
          </w:p>
        </w:tc>
        <w:tc>
          <w:tcPr>
            <w:tcW w:w="1202"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8</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10,29</w:t>
            </w:r>
          </w:p>
        </w:tc>
      </w:tr>
      <w:tr w:rsidR="00A131AD" w:rsidRPr="00081B73" w:rsidTr="00677033">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5</w:t>
            </w:r>
          </w:p>
        </w:tc>
        <w:tc>
          <w:tcPr>
            <w:tcW w:w="2079" w:type="dxa"/>
            <w:vAlign w:val="bottom"/>
          </w:tcPr>
          <w:p w:rsidR="00A131AD" w:rsidRPr="00081B73" w:rsidRDefault="00A131AD" w:rsidP="000C0138">
            <w:pPr>
              <w:widowControl w:val="0"/>
              <w:autoSpaceDE w:val="0"/>
              <w:autoSpaceDN w:val="0"/>
              <w:adjustRightInd w:val="0"/>
              <w:spacing w:line="276" w:lineRule="auto"/>
              <w:rPr>
                <w:rFonts w:ascii="Times New Roman" w:hAnsi="Times New Roman"/>
                <w:sz w:val="20"/>
                <w:szCs w:val="20"/>
              </w:rPr>
            </w:pPr>
            <w:r w:rsidRPr="00081B73">
              <w:rPr>
                <w:rFonts w:ascii="Times New Roman" w:hAnsi="Times New Roman"/>
                <w:sz w:val="20"/>
                <w:szCs w:val="20"/>
              </w:rPr>
              <w:t>Influenza</w:t>
            </w:r>
          </w:p>
        </w:tc>
        <w:tc>
          <w:tcPr>
            <w:tcW w:w="981"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7</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8,71</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5</w:t>
            </w:r>
          </w:p>
        </w:tc>
        <w:tc>
          <w:tcPr>
            <w:tcW w:w="1858"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sz w:val="20"/>
                <w:szCs w:val="20"/>
              </w:rPr>
              <w:t>Herpes zoster</w:t>
            </w:r>
          </w:p>
        </w:tc>
        <w:tc>
          <w:tcPr>
            <w:tcW w:w="1202"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6</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7,72</w:t>
            </w:r>
          </w:p>
        </w:tc>
      </w:tr>
      <w:tr w:rsidR="00A131AD" w:rsidRPr="00081B73" w:rsidTr="00677033">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p>
        </w:tc>
        <w:tc>
          <w:tcPr>
            <w:tcW w:w="2079"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Ukupno 5 vodećih</w:t>
            </w:r>
          </w:p>
        </w:tc>
        <w:tc>
          <w:tcPr>
            <w:tcW w:w="981"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166</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206,66</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p>
        </w:tc>
        <w:tc>
          <w:tcPr>
            <w:tcW w:w="1858"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Ukupno 5 vodećih</w:t>
            </w:r>
          </w:p>
        </w:tc>
        <w:tc>
          <w:tcPr>
            <w:tcW w:w="1202"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680</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874,5</w:t>
            </w:r>
          </w:p>
        </w:tc>
      </w:tr>
      <w:tr w:rsidR="00A131AD" w:rsidRPr="00081B73" w:rsidTr="00677033">
        <w:trPr>
          <w:jc w:val="center"/>
        </w:trPr>
        <w:tc>
          <w:tcPr>
            <w:tcW w:w="468"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p>
        </w:tc>
        <w:tc>
          <w:tcPr>
            <w:tcW w:w="2079" w:type="dxa"/>
          </w:tcPr>
          <w:p w:rsidR="00A131AD" w:rsidRPr="00081B73" w:rsidRDefault="00A131AD" w:rsidP="000C0138">
            <w:pPr>
              <w:autoSpaceDE w:val="0"/>
              <w:autoSpaceDN w:val="0"/>
              <w:adjustRightInd w:val="0"/>
              <w:spacing w:line="276" w:lineRule="auto"/>
              <w:rPr>
                <w:rFonts w:ascii="Times New Roman" w:hAnsi="Times New Roman"/>
                <w:color w:val="000000"/>
                <w:sz w:val="20"/>
                <w:szCs w:val="20"/>
                <w:lang w:val="bs-Latn-BA"/>
              </w:rPr>
            </w:pPr>
            <w:r w:rsidRPr="00081B73">
              <w:rPr>
                <w:rFonts w:ascii="Times New Roman" w:hAnsi="Times New Roman"/>
                <w:color w:val="000000"/>
                <w:sz w:val="20"/>
                <w:szCs w:val="20"/>
                <w:lang w:val="bs-Latn-BA"/>
              </w:rPr>
              <w:t>Sveukupno</w:t>
            </w:r>
          </w:p>
        </w:tc>
        <w:tc>
          <w:tcPr>
            <w:tcW w:w="981"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196</w:t>
            </w:r>
          </w:p>
        </w:tc>
        <w:tc>
          <w:tcPr>
            <w:tcW w:w="1015" w:type="dxa"/>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r w:rsidRPr="00081B73">
              <w:rPr>
                <w:rFonts w:ascii="Times New Roman" w:hAnsi="Times New Roman"/>
                <w:color w:val="000000"/>
                <w:sz w:val="20"/>
                <w:szCs w:val="20"/>
                <w:lang w:val="bs-Latn-BA"/>
              </w:rPr>
              <w:t>236,55</w:t>
            </w:r>
          </w:p>
        </w:tc>
        <w:tc>
          <w:tcPr>
            <w:tcW w:w="540" w:type="dxa"/>
            <w:vAlign w:val="center"/>
          </w:tcPr>
          <w:p w:rsidR="00A131AD" w:rsidRPr="00081B73" w:rsidRDefault="00A131AD" w:rsidP="000C0138">
            <w:pPr>
              <w:autoSpaceDE w:val="0"/>
              <w:autoSpaceDN w:val="0"/>
              <w:adjustRightInd w:val="0"/>
              <w:spacing w:line="276" w:lineRule="auto"/>
              <w:jc w:val="right"/>
              <w:rPr>
                <w:rFonts w:ascii="Times New Roman" w:hAnsi="Times New Roman"/>
                <w:color w:val="000000"/>
                <w:sz w:val="20"/>
                <w:szCs w:val="20"/>
                <w:lang w:val="bs-Latn-BA"/>
              </w:rPr>
            </w:pPr>
          </w:p>
        </w:tc>
        <w:tc>
          <w:tcPr>
            <w:tcW w:w="1858" w:type="dxa"/>
            <w:vAlign w:val="bottom"/>
          </w:tcPr>
          <w:p w:rsidR="00A131AD" w:rsidRPr="00081B73" w:rsidRDefault="00A131AD" w:rsidP="000C0138">
            <w:pPr>
              <w:spacing w:line="276" w:lineRule="auto"/>
              <w:rPr>
                <w:rFonts w:ascii="Times New Roman" w:hAnsi="Times New Roman"/>
                <w:color w:val="000000"/>
                <w:sz w:val="20"/>
                <w:szCs w:val="20"/>
              </w:rPr>
            </w:pPr>
            <w:r w:rsidRPr="00081B73">
              <w:rPr>
                <w:rFonts w:ascii="Times New Roman" w:hAnsi="Times New Roman"/>
                <w:color w:val="000000"/>
                <w:sz w:val="20"/>
                <w:szCs w:val="20"/>
              </w:rPr>
              <w:t>Ukupno prijavljeno</w:t>
            </w:r>
          </w:p>
        </w:tc>
        <w:tc>
          <w:tcPr>
            <w:tcW w:w="1202"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694</w:t>
            </w:r>
          </w:p>
        </w:tc>
        <w:tc>
          <w:tcPr>
            <w:tcW w:w="1129" w:type="dxa"/>
            <w:vAlign w:val="bottom"/>
          </w:tcPr>
          <w:p w:rsidR="00A131AD" w:rsidRPr="00081B73" w:rsidRDefault="00A131AD" w:rsidP="000C0138">
            <w:pPr>
              <w:spacing w:line="276" w:lineRule="auto"/>
              <w:jc w:val="center"/>
              <w:rPr>
                <w:rFonts w:ascii="Times New Roman" w:hAnsi="Times New Roman"/>
                <w:color w:val="000000"/>
                <w:sz w:val="20"/>
                <w:szCs w:val="20"/>
              </w:rPr>
            </w:pPr>
            <w:r w:rsidRPr="00081B73">
              <w:rPr>
                <w:rFonts w:ascii="Times New Roman" w:hAnsi="Times New Roman"/>
                <w:color w:val="000000"/>
                <w:sz w:val="20"/>
                <w:szCs w:val="20"/>
              </w:rPr>
              <w:t>892,52</w:t>
            </w:r>
          </w:p>
        </w:tc>
      </w:tr>
    </w:tbl>
    <w:p w:rsidR="00A131AD" w:rsidRPr="00081B73" w:rsidRDefault="00A131AD" w:rsidP="000C0138">
      <w:pPr>
        <w:pStyle w:val="Footer"/>
        <w:spacing w:line="276" w:lineRule="auto"/>
        <w:rPr>
          <w:rFonts w:ascii="Times New Roman" w:hAnsi="Times New Roman"/>
          <w:sz w:val="20"/>
          <w:szCs w:val="20"/>
          <w:lang w:val="bs-Latn-BA"/>
        </w:rPr>
      </w:pPr>
    </w:p>
    <w:p w:rsidR="00A131AD" w:rsidRPr="00081B73" w:rsidRDefault="00A131AD" w:rsidP="00677033">
      <w:pPr>
        <w:pStyle w:val="refererere"/>
        <w:rPr>
          <w:lang w:val="bs-Latn-BA"/>
        </w:rPr>
      </w:pPr>
      <w:r w:rsidRPr="00081B73">
        <w:rPr>
          <w:lang w:val="bs-Latn-BA"/>
        </w:rPr>
        <w:t>Tabl</w:t>
      </w:r>
      <w:r w:rsidR="00606974">
        <w:rPr>
          <w:lang w:val="bs-Latn-BA"/>
        </w:rPr>
        <w:t>ic</w:t>
      </w:r>
      <w:r w:rsidRPr="00081B73">
        <w:rPr>
          <w:lang w:val="bs-Latn-BA"/>
        </w:rPr>
        <w:t>a 5: Prevalenc</w:t>
      </w:r>
      <w:r w:rsidR="00606974">
        <w:rPr>
          <w:lang w:val="bs-Latn-BA"/>
        </w:rPr>
        <w:t>ij</w:t>
      </w:r>
      <w:r w:rsidRPr="00081B73">
        <w:rPr>
          <w:lang w:val="bs-Latn-BA"/>
        </w:rPr>
        <w:t>a nezaraznih bolesti za 2010</w:t>
      </w:r>
      <w:r w:rsidR="00606974">
        <w:rPr>
          <w:lang w:val="bs-Latn-BA"/>
        </w:rPr>
        <w:t>.</w:t>
      </w:r>
      <w:r w:rsidRPr="00081B73">
        <w:rPr>
          <w:lang w:val="bs-Latn-BA"/>
        </w:rPr>
        <w:t xml:space="preserve"> i 2015. godinu</w:t>
      </w:r>
    </w:p>
    <w:tbl>
      <w:tblPr>
        <w:tblW w:w="93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788"/>
        <w:gridCol w:w="2389"/>
        <w:gridCol w:w="2160"/>
      </w:tblGrid>
      <w:tr w:rsidR="00A131AD" w:rsidRPr="00081B73" w:rsidTr="001911A6">
        <w:trPr>
          <w:cantSplit/>
          <w:trHeight w:val="405"/>
        </w:trPr>
        <w:tc>
          <w:tcPr>
            <w:tcW w:w="4788" w:type="dxa"/>
            <w:vMerge w:val="restart"/>
            <w:shd w:val="clear" w:color="auto" w:fill="FFFF00"/>
            <w:vAlign w:val="center"/>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Bolest</w:t>
            </w:r>
          </w:p>
        </w:tc>
        <w:tc>
          <w:tcPr>
            <w:tcW w:w="2389"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2010.</w:t>
            </w:r>
          </w:p>
        </w:tc>
        <w:tc>
          <w:tcPr>
            <w:tcW w:w="2160"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2015.</w:t>
            </w:r>
          </w:p>
        </w:tc>
      </w:tr>
      <w:tr w:rsidR="00A131AD" w:rsidRPr="00081B73" w:rsidTr="001911A6">
        <w:trPr>
          <w:cantSplit/>
          <w:trHeight w:val="345"/>
        </w:trPr>
        <w:tc>
          <w:tcPr>
            <w:tcW w:w="4788" w:type="dxa"/>
            <w:vMerge/>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p>
        </w:tc>
        <w:tc>
          <w:tcPr>
            <w:tcW w:w="2389"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Morbiditet</w:t>
            </w:r>
            <w:r w:rsidRPr="00081B73">
              <w:rPr>
                <w:rFonts w:ascii="Times New Roman" w:hAnsi="Times New Roman"/>
                <w:bCs/>
                <w:sz w:val="20"/>
                <w:szCs w:val="20"/>
                <w:lang w:val="bs-Latn-BA"/>
              </w:rPr>
              <w:br/>
              <w:t>/10.000</w:t>
            </w:r>
          </w:p>
        </w:tc>
        <w:tc>
          <w:tcPr>
            <w:tcW w:w="2160" w:type="dxa"/>
            <w:shd w:val="clear" w:color="auto" w:fill="FFFF00"/>
            <w:vAlign w:val="center"/>
          </w:tcPr>
          <w:p w:rsidR="00A131AD" w:rsidRPr="00081B73" w:rsidRDefault="00A131AD" w:rsidP="000C0138">
            <w:pPr>
              <w:spacing w:line="276" w:lineRule="auto"/>
              <w:jc w:val="center"/>
              <w:rPr>
                <w:rFonts w:ascii="Times New Roman" w:hAnsi="Times New Roman"/>
                <w:bCs/>
                <w:sz w:val="20"/>
                <w:szCs w:val="20"/>
                <w:lang w:val="bs-Latn-BA"/>
              </w:rPr>
            </w:pPr>
            <w:r w:rsidRPr="00081B73">
              <w:rPr>
                <w:rFonts w:ascii="Times New Roman" w:hAnsi="Times New Roman"/>
                <w:bCs/>
                <w:sz w:val="20"/>
                <w:szCs w:val="20"/>
                <w:lang w:val="bs-Latn-BA"/>
              </w:rPr>
              <w:t>Morbiditet</w:t>
            </w:r>
            <w:r w:rsidRPr="00081B73">
              <w:rPr>
                <w:rFonts w:ascii="Times New Roman" w:hAnsi="Times New Roman"/>
                <w:bCs/>
                <w:sz w:val="20"/>
                <w:szCs w:val="20"/>
                <w:lang w:val="bs-Latn-BA"/>
              </w:rPr>
              <w:br/>
              <w:t>/10.000</w:t>
            </w:r>
          </w:p>
        </w:tc>
      </w:tr>
      <w:tr w:rsidR="00A131AD" w:rsidRPr="00081B73" w:rsidTr="001911A6">
        <w:tc>
          <w:tcPr>
            <w:tcW w:w="478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Kardiovaskularne (I00-I99)</w:t>
            </w:r>
          </w:p>
        </w:tc>
        <w:tc>
          <w:tcPr>
            <w:tcW w:w="2389"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332,2</w:t>
            </w:r>
          </w:p>
        </w:tc>
        <w:tc>
          <w:tcPr>
            <w:tcW w:w="216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534,0</w:t>
            </w:r>
          </w:p>
        </w:tc>
      </w:tr>
      <w:tr w:rsidR="00A131AD" w:rsidRPr="00081B73" w:rsidTr="001911A6">
        <w:tc>
          <w:tcPr>
            <w:tcW w:w="478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Maligne neoplazme (C00-C97)</w:t>
            </w:r>
          </w:p>
        </w:tc>
        <w:tc>
          <w:tcPr>
            <w:tcW w:w="2389"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25,1</w:t>
            </w:r>
          </w:p>
        </w:tc>
        <w:tc>
          <w:tcPr>
            <w:tcW w:w="216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17,6</w:t>
            </w:r>
          </w:p>
        </w:tc>
      </w:tr>
      <w:tr w:rsidR="00A131AD" w:rsidRPr="00081B73" w:rsidTr="001911A6">
        <w:tc>
          <w:tcPr>
            <w:tcW w:w="478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Diabetes mellitus (E10-E14)</w:t>
            </w:r>
          </w:p>
        </w:tc>
        <w:tc>
          <w:tcPr>
            <w:tcW w:w="2389"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66,7</w:t>
            </w:r>
          </w:p>
        </w:tc>
        <w:tc>
          <w:tcPr>
            <w:tcW w:w="216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84,4</w:t>
            </w:r>
          </w:p>
        </w:tc>
      </w:tr>
      <w:tr w:rsidR="00A131AD" w:rsidRPr="00081B73" w:rsidTr="001911A6">
        <w:tc>
          <w:tcPr>
            <w:tcW w:w="4788" w:type="dxa"/>
          </w:tcPr>
          <w:p w:rsidR="00A131AD" w:rsidRPr="00081B73" w:rsidRDefault="00606974" w:rsidP="000C0138">
            <w:pPr>
              <w:spacing w:line="276" w:lineRule="auto"/>
              <w:rPr>
                <w:rFonts w:ascii="Times New Roman" w:hAnsi="Times New Roman"/>
                <w:sz w:val="20"/>
                <w:szCs w:val="20"/>
                <w:lang w:val="bs-Latn-BA"/>
              </w:rPr>
            </w:pPr>
            <w:r>
              <w:rPr>
                <w:rFonts w:ascii="Times New Roman" w:hAnsi="Times New Roman"/>
                <w:sz w:val="20"/>
                <w:szCs w:val="20"/>
                <w:lang w:val="bs-Latn-BA"/>
              </w:rPr>
              <w:t>K</w:t>
            </w:r>
            <w:r w:rsidR="00A131AD" w:rsidRPr="00081B73">
              <w:rPr>
                <w:rFonts w:ascii="Times New Roman" w:hAnsi="Times New Roman"/>
                <w:sz w:val="20"/>
                <w:szCs w:val="20"/>
                <w:lang w:val="bs-Latn-BA"/>
              </w:rPr>
              <w:t>ronične plućne opstruktivne (J40-J46)</w:t>
            </w:r>
          </w:p>
        </w:tc>
        <w:tc>
          <w:tcPr>
            <w:tcW w:w="2389"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51,7</w:t>
            </w:r>
          </w:p>
        </w:tc>
        <w:tc>
          <w:tcPr>
            <w:tcW w:w="2160" w:type="dxa"/>
          </w:tcPr>
          <w:p w:rsidR="00A131AD" w:rsidRPr="00081B73" w:rsidRDefault="00A131AD" w:rsidP="000C0138">
            <w:pPr>
              <w:tabs>
                <w:tab w:val="left" w:pos="390"/>
              </w:tabs>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114,7</w:t>
            </w:r>
          </w:p>
        </w:tc>
      </w:tr>
      <w:tr w:rsidR="00A131AD" w:rsidRPr="00081B73" w:rsidTr="001911A6">
        <w:tc>
          <w:tcPr>
            <w:tcW w:w="478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Mentalne (F00-F99)</w:t>
            </w:r>
          </w:p>
        </w:tc>
        <w:tc>
          <w:tcPr>
            <w:tcW w:w="2389"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81,2</w:t>
            </w:r>
          </w:p>
        </w:tc>
        <w:tc>
          <w:tcPr>
            <w:tcW w:w="216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164,7</w:t>
            </w:r>
          </w:p>
        </w:tc>
      </w:tr>
      <w:tr w:rsidR="00A131AD" w:rsidRPr="00081B73" w:rsidTr="001911A6">
        <w:tc>
          <w:tcPr>
            <w:tcW w:w="4788" w:type="dxa"/>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Koštano-mišićne (M00-M99)</w:t>
            </w:r>
          </w:p>
        </w:tc>
        <w:tc>
          <w:tcPr>
            <w:tcW w:w="2389"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158,1</w:t>
            </w:r>
          </w:p>
        </w:tc>
        <w:tc>
          <w:tcPr>
            <w:tcW w:w="2160" w:type="dxa"/>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290,3</w:t>
            </w:r>
          </w:p>
        </w:tc>
      </w:tr>
    </w:tbl>
    <w:p w:rsidR="00A131AD" w:rsidRPr="00081B73" w:rsidRDefault="00A131AD" w:rsidP="000C0138">
      <w:pPr>
        <w:spacing w:line="276" w:lineRule="auto"/>
        <w:rPr>
          <w:rFonts w:ascii="Times New Roman" w:hAnsi="Times New Roman"/>
          <w:sz w:val="20"/>
          <w:szCs w:val="20"/>
          <w:lang w:val="bs-Latn-BA"/>
        </w:rPr>
      </w:pPr>
    </w:p>
    <w:p w:rsidR="00A131AD" w:rsidRPr="00081B73" w:rsidRDefault="00A131AD" w:rsidP="00677033">
      <w:pPr>
        <w:pStyle w:val="refererere"/>
        <w:rPr>
          <w:lang w:val="bs-Latn-BA"/>
        </w:rPr>
      </w:pPr>
      <w:r w:rsidRPr="00081B73">
        <w:rPr>
          <w:lang w:val="bs-Latn-BA"/>
        </w:rPr>
        <w:t>Tabl</w:t>
      </w:r>
      <w:r w:rsidR="00606974">
        <w:rPr>
          <w:lang w:val="bs-Latn-BA"/>
        </w:rPr>
        <w:t>ic</w:t>
      </w:r>
      <w:r w:rsidRPr="00081B73">
        <w:rPr>
          <w:lang w:val="bs-Latn-BA"/>
        </w:rPr>
        <w:t>a 6:  Okolinski zdravstveni indikatori</w:t>
      </w:r>
    </w:p>
    <w:tbl>
      <w:tblPr>
        <w:tblW w:w="93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68"/>
        <w:gridCol w:w="1969"/>
        <w:gridCol w:w="1622"/>
        <w:gridCol w:w="1401"/>
        <w:gridCol w:w="1401"/>
        <w:gridCol w:w="1571"/>
      </w:tblGrid>
      <w:tr w:rsidR="00A131AD" w:rsidRPr="00081B73" w:rsidTr="001911A6">
        <w:trPr>
          <w:cantSplit/>
        </w:trPr>
        <w:tc>
          <w:tcPr>
            <w:tcW w:w="1368" w:type="dxa"/>
            <w:vMerge w:val="restart"/>
            <w:shd w:val="clear" w:color="auto" w:fill="FFFF00"/>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Kanton 10</w:t>
            </w:r>
          </w:p>
        </w:tc>
        <w:tc>
          <w:tcPr>
            <w:tcW w:w="1969" w:type="dxa"/>
            <w:shd w:val="clear" w:color="auto" w:fill="FFFF00"/>
            <w:vAlign w:val="center"/>
          </w:tcPr>
          <w:p w:rsidR="00A131AD" w:rsidRPr="00081B73" w:rsidRDefault="00A131AD" w:rsidP="00606974">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 xml:space="preserve">% stanovništva priključen na </w:t>
            </w:r>
            <w:r w:rsidR="00606974">
              <w:rPr>
                <w:rFonts w:ascii="Times New Roman" w:hAnsi="Times New Roman"/>
                <w:sz w:val="20"/>
                <w:szCs w:val="20"/>
                <w:lang w:val="bs-Latn-BA"/>
              </w:rPr>
              <w:t>središnji</w:t>
            </w:r>
            <w:r w:rsidRPr="00081B73">
              <w:rPr>
                <w:rFonts w:ascii="Times New Roman" w:hAnsi="Times New Roman"/>
                <w:sz w:val="20"/>
                <w:szCs w:val="20"/>
                <w:lang w:val="bs-Latn-BA"/>
              </w:rPr>
              <w:t xml:space="preserve"> s</w:t>
            </w:r>
            <w:r w:rsidR="00606974">
              <w:rPr>
                <w:rFonts w:ascii="Times New Roman" w:hAnsi="Times New Roman"/>
                <w:sz w:val="20"/>
                <w:szCs w:val="20"/>
                <w:lang w:val="bs-Latn-BA"/>
              </w:rPr>
              <w:t>ustav</w:t>
            </w:r>
            <w:r w:rsidRPr="00081B73">
              <w:rPr>
                <w:rFonts w:ascii="Times New Roman" w:hAnsi="Times New Roman"/>
                <w:sz w:val="20"/>
                <w:szCs w:val="20"/>
                <w:lang w:val="bs-Latn-BA"/>
              </w:rPr>
              <w:t xml:space="preserve"> vodo</w:t>
            </w:r>
            <w:r w:rsidR="00606974">
              <w:rPr>
                <w:rFonts w:ascii="Times New Roman" w:hAnsi="Times New Roman"/>
                <w:sz w:val="20"/>
                <w:szCs w:val="20"/>
                <w:lang w:val="bs-Latn-BA"/>
              </w:rPr>
              <w:t>opskrbe</w:t>
            </w:r>
          </w:p>
        </w:tc>
        <w:tc>
          <w:tcPr>
            <w:tcW w:w="1622" w:type="dxa"/>
            <w:shd w:val="clear" w:color="auto" w:fill="FFFF00"/>
            <w:vAlign w:val="center"/>
          </w:tcPr>
          <w:p w:rsidR="00A131AD" w:rsidRPr="00081B73" w:rsidRDefault="00A131AD" w:rsidP="00606974">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 stanovništva priključen na kanalizaci</w:t>
            </w:r>
            <w:r w:rsidR="00606974">
              <w:rPr>
                <w:rFonts w:ascii="Times New Roman" w:hAnsi="Times New Roman"/>
                <w:sz w:val="20"/>
                <w:szCs w:val="20"/>
                <w:lang w:val="bs-Latn-BA"/>
              </w:rPr>
              <w:t xml:space="preserve">jski </w:t>
            </w:r>
            <w:r w:rsidRPr="00081B73">
              <w:rPr>
                <w:rFonts w:ascii="Times New Roman" w:hAnsi="Times New Roman"/>
                <w:sz w:val="20"/>
                <w:szCs w:val="20"/>
                <w:lang w:val="bs-Latn-BA"/>
              </w:rPr>
              <w:t>s</w:t>
            </w:r>
            <w:r w:rsidR="00606974">
              <w:rPr>
                <w:rFonts w:ascii="Times New Roman" w:hAnsi="Times New Roman"/>
                <w:sz w:val="20"/>
                <w:szCs w:val="20"/>
                <w:lang w:val="bs-Latn-BA"/>
              </w:rPr>
              <w:t>ustav</w:t>
            </w:r>
          </w:p>
        </w:tc>
        <w:tc>
          <w:tcPr>
            <w:tcW w:w="1401" w:type="dxa"/>
            <w:shd w:val="clear" w:color="auto" w:fill="FFFF00"/>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Mjerenje koncentracije SO</w:t>
            </w:r>
            <w:r w:rsidRPr="00081B73">
              <w:rPr>
                <w:rFonts w:ascii="Times New Roman" w:hAnsi="Times New Roman"/>
                <w:sz w:val="20"/>
                <w:szCs w:val="20"/>
                <w:vertAlign w:val="subscript"/>
                <w:lang w:val="bs-Latn-BA"/>
              </w:rPr>
              <w:t>2</w:t>
            </w:r>
            <w:r w:rsidRPr="00081B73">
              <w:rPr>
                <w:rFonts w:ascii="Times New Roman" w:hAnsi="Times New Roman"/>
                <w:sz w:val="20"/>
                <w:szCs w:val="20"/>
                <w:lang w:val="bs-Latn-BA"/>
              </w:rPr>
              <w:t xml:space="preserve"> u zraku</w:t>
            </w:r>
          </w:p>
        </w:tc>
        <w:tc>
          <w:tcPr>
            <w:tcW w:w="1401" w:type="dxa"/>
            <w:shd w:val="clear" w:color="auto" w:fill="FFFF00"/>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Mjerenje koncentracije NO</w:t>
            </w:r>
            <w:r w:rsidRPr="00081B73">
              <w:rPr>
                <w:rFonts w:ascii="Times New Roman" w:hAnsi="Times New Roman"/>
                <w:sz w:val="20"/>
                <w:szCs w:val="20"/>
                <w:vertAlign w:val="subscript"/>
                <w:lang w:val="bs-Latn-BA"/>
              </w:rPr>
              <w:t>2</w:t>
            </w:r>
            <w:r w:rsidRPr="00081B73">
              <w:rPr>
                <w:rFonts w:ascii="Times New Roman" w:hAnsi="Times New Roman"/>
                <w:sz w:val="20"/>
                <w:szCs w:val="20"/>
                <w:lang w:val="bs-Latn-BA"/>
              </w:rPr>
              <w:t xml:space="preserve"> u zraku</w:t>
            </w:r>
          </w:p>
        </w:tc>
        <w:tc>
          <w:tcPr>
            <w:tcW w:w="1571" w:type="dxa"/>
            <w:shd w:val="clear" w:color="auto" w:fill="FFFF00"/>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Mjerenje koncentracije dima u zraku</w:t>
            </w:r>
          </w:p>
        </w:tc>
      </w:tr>
      <w:tr w:rsidR="00A131AD" w:rsidRPr="00081B73" w:rsidTr="001911A6">
        <w:trPr>
          <w:cantSplit/>
          <w:trHeight w:val="431"/>
        </w:trPr>
        <w:tc>
          <w:tcPr>
            <w:tcW w:w="1368" w:type="dxa"/>
            <w:vMerge/>
            <w:vAlign w:val="center"/>
          </w:tcPr>
          <w:p w:rsidR="00A131AD" w:rsidRPr="00081B73" w:rsidRDefault="00A131AD" w:rsidP="000C0138">
            <w:pPr>
              <w:spacing w:line="276" w:lineRule="auto"/>
              <w:jc w:val="center"/>
              <w:rPr>
                <w:rFonts w:ascii="Times New Roman" w:hAnsi="Times New Roman"/>
                <w:sz w:val="20"/>
                <w:szCs w:val="20"/>
                <w:lang w:val="bs-Latn-BA"/>
              </w:rPr>
            </w:pPr>
          </w:p>
        </w:tc>
        <w:tc>
          <w:tcPr>
            <w:tcW w:w="1969" w:type="dxa"/>
            <w:vAlign w:val="center"/>
          </w:tcPr>
          <w:p w:rsidR="00A131AD" w:rsidRPr="00081B73" w:rsidRDefault="00A131AD" w:rsidP="000C0138">
            <w:pPr>
              <w:spacing w:line="276" w:lineRule="auto"/>
              <w:jc w:val="center"/>
              <w:rPr>
                <w:rFonts w:ascii="Times New Roman" w:hAnsi="Times New Roman"/>
                <w:sz w:val="20"/>
                <w:szCs w:val="20"/>
                <w:lang w:val="bs-Latn-BA"/>
              </w:rPr>
            </w:pPr>
          </w:p>
        </w:tc>
        <w:tc>
          <w:tcPr>
            <w:tcW w:w="1622" w:type="dxa"/>
            <w:vAlign w:val="center"/>
          </w:tcPr>
          <w:p w:rsidR="00A131AD" w:rsidRPr="00081B73" w:rsidRDefault="00A131AD" w:rsidP="000C0138">
            <w:pPr>
              <w:spacing w:line="276" w:lineRule="auto"/>
              <w:jc w:val="center"/>
              <w:rPr>
                <w:rFonts w:ascii="Times New Roman" w:hAnsi="Times New Roman"/>
                <w:sz w:val="20"/>
                <w:szCs w:val="20"/>
                <w:lang w:val="bs-Latn-BA"/>
              </w:rPr>
            </w:pPr>
          </w:p>
        </w:tc>
        <w:tc>
          <w:tcPr>
            <w:tcW w:w="1401" w:type="dxa"/>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ne mjeri se</w:t>
            </w:r>
          </w:p>
        </w:tc>
        <w:tc>
          <w:tcPr>
            <w:tcW w:w="1401" w:type="dxa"/>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ne mjeri se</w:t>
            </w:r>
          </w:p>
        </w:tc>
        <w:tc>
          <w:tcPr>
            <w:tcW w:w="1571" w:type="dxa"/>
            <w:vAlign w:val="center"/>
          </w:tcPr>
          <w:p w:rsidR="00A131AD" w:rsidRPr="00081B73" w:rsidRDefault="00A131AD" w:rsidP="000C0138">
            <w:pPr>
              <w:spacing w:line="276" w:lineRule="auto"/>
              <w:jc w:val="center"/>
              <w:rPr>
                <w:rFonts w:ascii="Times New Roman" w:hAnsi="Times New Roman"/>
                <w:sz w:val="20"/>
                <w:szCs w:val="20"/>
                <w:lang w:val="bs-Latn-BA"/>
              </w:rPr>
            </w:pPr>
            <w:r w:rsidRPr="00081B73">
              <w:rPr>
                <w:rFonts w:ascii="Times New Roman" w:hAnsi="Times New Roman"/>
                <w:sz w:val="20"/>
                <w:szCs w:val="20"/>
                <w:lang w:val="bs-Latn-BA"/>
              </w:rPr>
              <w:t>ne mjeri se</w:t>
            </w:r>
          </w:p>
        </w:tc>
      </w:tr>
    </w:tbl>
    <w:p w:rsidR="00A131AD" w:rsidRPr="00081B73" w:rsidRDefault="00A131AD" w:rsidP="000C0138">
      <w:pPr>
        <w:spacing w:line="276" w:lineRule="auto"/>
        <w:rPr>
          <w:rFonts w:ascii="Times New Roman" w:hAnsi="Times New Roman"/>
          <w:sz w:val="20"/>
          <w:szCs w:val="20"/>
          <w:lang w:val="bs-Latn-BA"/>
        </w:rPr>
      </w:pPr>
    </w:p>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Tabl</w:t>
      </w:r>
      <w:r w:rsidR="00606974">
        <w:rPr>
          <w:rFonts w:ascii="Times New Roman" w:hAnsi="Times New Roman"/>
          <w:sz w:val="20"/>
          <w:szCs w:val="20"/>
          <w:lang w:val="bs-Latn-BA"/>
        </w:rPr>
        <w:t>ic</w:t>
      </w:r>
      <w:r w:rsidRPr="00081B73">
        <w:rPr>
          <w:rFonts w:ascii="Times New Roman" w:hAnsi="Times New Roman"/>
          <w:sz w:val="20"/>
          <w:szCs w:val="20"/>
          <w:lang w:val="bs-Latn-BA"/>
        </w:rPr>
        <w:t>a 7: Zdravstvena zaštita za 2010 i  2015. godinu</w:t>
      </w: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01"/>
        <w:gridCol w:w="8"/>
        <w:gridCol w:w="3807"/>
        <w:gridCol w:w="2279"/>
        <w:gridCol w:w="2293"/>
      </w:tblGrid>
      <w:tr w:rsidR="00A131AD" w:rsidRPr="00081B73" w:rsidTr="001911A6">
        <w:trPr>
          <w:trHeight w:val="509"/>
        </w:trPr>
        <w:tc>
          <w:tcPr>
            <w:tcW w:w="4716" w:type="dxa"/>
            <w:gridSpan w:val="3"/>
            <w:shd w:val="clear" w:color="auto" w:fill="FFFF00"/>
            <w:vAlign w:val="center"/>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sz w:val="20"/>
                <w:szCs w:val="20"/>
                <w:lang w:val="bs-Latn-BA"/>
              </w:rPr>
              <w:t>Broj</w:t>
            </w:r>
          </w:p>
        </w:tc>
        <w:tc>
          <w:tcPr>
            <w:tcW w:w="2279"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2010.</w:t>
            </w:r>
          </w:p>
        </w:tc>
        <w:tc>
          <w:tcPr>
            <w:tcW w:w="2293" w:type="dxa"/>
            <w:shd w:val="clear" w:color="auto" w:fill="FFFF00"/>
          </w:tcPr>
          <w:p w:rsidR="00A131AD" w:rsidRPr="00081B73" w:rsidRDefault="00A131AD" w:rsidP="000C0138">
            <w:pPr>
              <w:spacing w:line="276" w:lineRule="auto"/>
              <w:jc w:val="center"/>
              <w:rPr>
                <w:rFonts w:ascii="Times New Roman" w:hAnsi="Times New Roman"/>
                <w:b/>
                <w:bCs/>
                <w:sz w:val="20"/>
                <w:szCs w:val="20"/>
                <w:lang w:val="bs-Latn-BA"/>
              </w:rPr>
            </w:pPr>
            <w:r w:rsidRPr="00081B73">
              <w:rPr>
                <w:rFonts w:ascii="Times New Roman" w:hAnsi="Times New Roman"/>
                <w:b/>
                <w:bCs/>
                <w:sz w:val="20"/>
                <w:szCs w:val="20"/>
                <w:lang w:val="bs-Latn-BA"/>
              </w:rPr>
              <w:t>2015.</w:t>
            </w:r>
          </w:p>
        </w:tc>
      </w:tr>
      <w:tr w:rsidR="00A131AD" w:rsidRPr="00081B73" w:rsidTr="001911A6">
        <w:trPr>
          <w:cantSplit/>
        </w:trPr>
        <w:tc>
          <w:tcPr>
            <w:tcW w:w="909" w:type="dxa"/>
            <w:gridSpan w:val="2"/>
            <w:vMerge w:val="restart"/>
            <w:tcBorders>
              <w:top w:val="single" w:sz="4" w:space="0" w:color="auto"/>
              <w:left w:val="single" w:sz="4" w:space="0" w:color="auto"/>
              <w:bottom w:val="nil"/>
              <w:right w:val="single" w:sz="4" w:space="0" w:color="auto"/>
            </w:tcBorders>
            <w:vAlign w:val="bottom"/>
          </w:tcPr>
          <w:p w:rsidR="00A131AD" w:rsidRPr="00081B73" w:rsidRDefault="00A131AD" w:rsidP="000C0138">
            <w:pPr>
              <w:pStyle w:val="NormalWeb"/>
              <w:spacing w:before="0" w:beforeAutospacing="0" w:after="0" w:afterAutospacing="0" w:line="276" w:lineRule="auto"/>
              <w:rPr>
                <w:sz w:val="20"/>
                <w:szCs w:val="20"/>
                <w:lang w:val="bs-Latn-BA"/>
              </w:rPr>
            </w:pPr>
            <w:r w:rsidRPr="00081B73">
              <w:rPr>
                <w:sz w:val="20"/>
                <w:szCs w:val="20"/>
                <w:lang w:val="bs-Latn-BA"/>
              </w:rPr>
              <w:t>PZZ</w:t>
            </w:r>
          </w:p>
        </w:tc>
        <w:tc>
          <w:tcPr>
            <w:tcW w:w="3807" w:type="dxa"/>
            <w:tcBorders>
              <w:left w:val="single" w:sz="4" w:space="0" w:color="auto"/>
            </w:tcBorders>
          </w:tcPr>
          <w:p w:rsidR="00A131AD" w:rsidRPr="00081B73" w:rsidRDefault="00A131AD" w:rsidP="000C0138">
            <w:pPr>
              <w:pStyle w:val="NormalWeb"/>
              <w:spacing w:before="0" w:beforeAutospacing="0" w:after="0" w:afterAutospacing="0" w:line="276" w:lineRule="auto"/>
              <w:rPr>
                <w:sz w:val="20"/>
                <w:szCs w:val="20"/>
                <w:lang w:val="bs-Latn-BA"/>
              </w:rPr>
            </w:pPr>
            <w:r w:rsidRPr="00081B73">
              <w:rPr>
                <w:sz w:val="20"/>
                <w:szCs w:val="20"/>
                <w:lang w:val="bs-Latn-BA"/>
              </w:rPr>
              <w:t>ordinacije PZZ</w:t>
            </w:r>
          </w:p>
        </w:tc>
        <w:tc>
          <w:tcPr>
            <w:tcW w:w="2279" w:type="dxa"/>
            <w:vAlign w:val="center"/>
          </w:tcPr>
          <w:p w:rsidR="00A131AD" w:rsidRPr="00081B73" w:rsidRDefault="00A131AD" w:rsidP="000C0138">
            <w:pPr>
              <w:pStyle w:val="NormalWeb"/>
              <w:spacing w:line="276" w:lineRule="auto"/>
              <w:jc w:val="right"/>
              <w:rPr>
                <w:sz w:val="20"/>
                <w:szCs w:val="20"/>
                <w:lang w:val="bs-Latn-BA"/>
              </w:rPr>
            </w:pPr>
            <w:r w:rsidRPr="00081B73">
              <w:rPr>
                <w:sz w:val="20"/>
                <w:szCs w:val="20"/>
                <w:lang w:val="bs-Latn-BA"/>
              </w:rPr>
              <w:t>31</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29</w:t>
            </w:r>
          </w:p>
        </w:tc>
      </w:tr>
      <w:tr w:rsidR="00A131AD" w:rsidRPr="00081B73" w:rsidTr="001911A6">
        <w:trPr>
          <w:cantSplit/>
        </w:trPr>
        <w:tc>
          <w:tcPr>
            <w:tcW w:w="909" w:type="dxa"/>
            <w:gridSpan w:val="2"/>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07" w:type="dxa"/>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stomatološke ordinacije/stolice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17</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14</w:t>
            </w:r>
          </w:p>
        </w:tc>
      </w:tr>
      <w:tr w:rsidR="00A131AD" w:rsidRPr="00081B73" w:rsidTr="001911A6">
        <w:trPr>
          <w:cantSplit/>
        </w:trPr>
        <w:tc>
          <w:tcPr>
            <w:tcW w:w="909" w:type="dxa"/>
            <w:gridSpan w:val="2"/>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07" w:type="dxa"/>
            <w:tcBorders>
              <w:left w:val="single" w:sz="4" w:space="0" w:color="auto"/>
            </w:tcBorders>
          </w:tcPr>
          <w:p w:rsidR="00A131AD" w:rsidRPr="00081B73" w:rsidRDefault="00606974" w:rsidP="000C0138">
            <w:pPr>
              <w:spacing w:line="276" w:lineRule="auto"/>
              <w:rPr>
                <w:rFonts w:ascii="Times New Roman" w:hAnsi="Times New Roman"/>
                <w:sz w:val="20"/>
                <w:szCs w:val="20"/>
                <w:lang w:val="bs-Latn-BA"/>
              </w:rPr>
            </w:pPr>
            <w:r>
              <w:rPr>
                <w:rFonts w:ascii="Times New Roman" w:hAnsi="Times New Roman"/>
                <w:sz w:val="20"/>
                <w:szCs w:val="20"/>
                <w:lang w:val="bs-Latn-BA"/>
              </w:rPr>
              <w:t>ljekarne</w:t>
            </w:r>
            <w:r w:rsidR="00A131AD" w:rsidRPr="00081B73">
              <w:rPr>
                <w:rFonts w:ascii="Times New Roman" w:hAnsi="Times New Roman"/>
                <w:sz w:val="20"/>
                <w:szCs w:val="20"/>
                <w:lang w:val="bs-Latn-BA"/>
              </w:rPr>
              <w:t xml:space="preserve"> u javnom sektoru</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0</w:t>
            </w:r>
          </w:p>
        </w:tc>
      </w:tr>
      <w:tr w:rsidR="00A131AD" w:rsidRPr="00081B73" w:rsidTr="001911A6">
        <w:trPr>
          <w:cantSplit/>
        </w:trPr>
        <w:tc>
          <w:tcPr>
            <w:tcW w:w="901" w:type="dxa"/>
            <w:vMerge w:val="restart"/>
            <w:tcBorders>
              <w:top w:val="nil"/>
              <w:left w:val="single" w:sz="4" w:space="0" w:color="auto"/>
              <w:bottom w:val="nil"/>
              <w:right w:val="single" w:sz="4" w:space="0" w:color="auto"/>
            </w:tcBorders>
            <w:vAlign w:val="center"/>
          </w:tcPr>
          <w:p w:rsidR="00A131AD" w:rsidRPr="00081B73" w:rsidRDefault="00A131AD" w:rsidP="000C0138">
            <w:pPr>
              <w:spacing w:line="276" w:lineRule="auto"/>
              <w:jc w:val="left"/>
              <w:rPr>
                <w:rFonts w:ascii="Times New Roman" w:hAnsi="Times New Roman"/>
                <w:sz w:val="20"/>
                <w:szCs w:val="20"/>
                <w:lang w:val="bs-Latn-BA"/>
              </w:rPr>
            </w:pPr>
          </w:p>
        </w:tc>
        <w:tc>
          <w:tcPr>
            <w:tcW w:w="381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dr medicine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30</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38</w:t>
            </w:r>
          </w:p>
        </w:tc>
      </w:tr>
      <w:tr w:rsidR="00A131AD" w:rsidRPr="00081B73" w:rsidTr="001911A6">
        <w:trPr>
          <w:cantSplit/>
        </w:trPr>
        <w:tc>
          <w:tcPr>
            <w:tcW w:w="901" w:type="dxa"/>
            <w:vMerge/>
            <w:tcBorders>
              <w:top w:val="nil"/>
              <w:left w:val="single" w:sz="4" w:space="0" w:color="auto"/>
              <w:bottom w:val="nil"/>
              <w:right w:val="single" w:sz="4" w:space="0" w:color="auto"/>
            </w:tcBorders>
            <w:vAlign w:val="center"/>
          </w:tcPr>
          <w:p w:rsidR="00A131AD" w:rsidRPr="00081B73" w:rsidRDefault="00A131AD" w:rsidP="000C0138">
            <w:pPr>
              <w:spacing w:line="276" w:lineRule="auto"/>
              <w:jc w:val="left"/>
              <w:rPr>
                <w:rFonts w:ascii="Times New Roman" w:hAnsi="Times New Roman"/>
                <w:sz w:val="20"/>
                <w:szCs w:val="20"/>
                <w:lang w:val="bs-Latn-BA"/>
              </w:rPr>
            </w:pPr>
          </w:p>
        </w:tc>
        <w:tc>
          <w:tcPr>
            <w:tcW w:w="381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zdravstveni tehničari/sestre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62</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56</w:t>
            </w:r>
          </w:p>
        </w:tc>
      </w:tr>
      <w:tr w:rsidR="00A131AD" w:rsidRPr="00081B73" w:rsidTr="001911A6">
        <w:trPr>
          <w:cantSplit/>
        </w:trPr>
        <w:tc>
          <w:tcPr>
            <w:tcW w:w="901" w:type="dxa"/>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1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dr stomatologije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21</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20</w:t>
            </w:r>
          </w:p>
        </w:tc>
      </w:tr>
      <w:tr w:rsidR="00A131AD" w:rsidRPr="00081B73" w:rsidTr="001911A6">
        <w:trPr>
          <w:cantSplit/>
        </w:trPr>
        <w:tc>
          <w:tcPr>
            <w:tcW w:w="901" w:type="dxa"/>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1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stomatološki tehničari/sestre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23</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21</w:t>
            </w:r>
          </w:p>
        </w:tc>
      </w:tr>
      <w:tr w:rsidR="00A131AD" w:rsidRPr="00081B73" w:rsidTr="001911A6">
        <w:trPr>
          <w:cantSplit/>
        </w:trPr>
        <w:tc>
          <w:tcPr>
            <w:tcW w:w="901" w:type="dxa"/>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1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magistri farmacije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1</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w:t>
            </w:r>
          </w:p>
        </w:tc>
      </w:tr>
      <w:tr w:rsidR="00A131AD" w:rsidRPr="00081B73" w:rsidTr="001911A6">
        <w:trPr>
          <w:cantSplit/>
        </w:trPr>
        <w:tc>
          <w:tcPr>
            <w:tcW w:w="901" w:type="dxa"/>
            <w:vMerge/>
            <w:tcBorders>
              <w:top w:val="nil"/>
              <w:left w:val="single" w:sz="4" w:space="0" w:color="auto"/>
              <w:bottom w:val="nil"/>
              <w:right w:val="single" w:sz="4" w:space="0" w:color="auto"/>
            </w:tcBorders>
          </w:tcPr>
          <w:p w:rsidR="00A131AD" w:rsidRPr="00081B73" w:rsidRDefault="00A131AD" w:rsidP="000C0138">
            <w:pPr>
              <w:spacing w:line="276" w:lineRule="auto"/>
              <w:rPr>
                <w:rFonts w:ascii="Times New Roman" w:hAnsi="Times New Roman"/>
                <w:sz w:val="20"/>
                <w:szCs w:val="20"/>
                <w:lang w:val="bs-Latn-BA"/>
              </w:rPr>
            </w:pPr>
          </w:p>
        </w:tc>
        <w:tc>
          <w:tcPr>
            <w:tcW w:w="3815" w:type="dxa"/>
            <w:gridSpan w:val="2"/>
            <w:tcBorders>
              <w:left w:val="single" w:sz="4" w:space="0" w:color="auto"/>
            </w:tcBorders>
          </w:tcPr>
          <w:p w:rsidR="00A131AD" w:rsidRPr="00081B73" w:rsidRDefault="00A131AD" w:rsidP="000C0138">
            <w:pPr>
              <w:spacing w:line="276" w:lineRule="auto"/>
              <w:rPr>
                <w:rFonts w:ascii="Times New Roman" w:hAnsi="Times New Roman"/>
                <w:sz w:val="20"/>
                <w:szCs w:val="20"/>
                <w:lang w:val="bs-Latn-BA"/>
              </w:rPr>
            </w:pPr>
            <w:r w:rsidRPr="00081B73">
              <w:rPr>
                <w:rFonts w:ascii="Times New Roman" w:hAnsi="Times New Roman"/>
                <w:sz w:val="20"/>
                <w:szCs w:val="20"/>
                <w:lang w:val="bs-Latn-BA"/>
              </w:rPr>
              <w:t>farmaceutski tehničari</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4</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0</w:t>
            </w:r>
          </w:p>
        </w:tc>
      </w:tr>
      <w:tr w:rsidR="00A131AD" w:rsidRPr="00081B73" w:rsidTr="00677033">
        <w:trPr>
          <w:trHeight w:val="283"/>
        </w:trPr>
        <w:tc>
          <w:tcPr>
            <w:tcW w:w="901" w:type="dxa"/>
            <w:vAlign w:val="center"/>
          </w:tcPr>
          <w:p w:rsidR="00A131AD" w:rsidRPr="00081B73" w:rsidRDefault="00A131AD" w:rsidP="000C0138">
            <w:pPr>
              <w:spacing w:line="276" w:lineRule="auto"/>
              <w:jc w:val="left"/>
              <w:rPr>
                <w:rFonts w:ascii="Times New Roman" w:hAnsi="Times New Roman"/>
                <w:sz w:val="20"/>
                <w:szCs w:val="20"/>
                <w:lang w:val="bs-Latn-BA"/>
              </w:rPr>
            </w:pPr>
            <w:r w:rsidRPr="00081B73">
              <w:rPr>
                <w:rFonts w:ascii="Times New Roman" w:hAnsi="Times New Roman"/>
                <w:sz w:val="20"/>
                <w:szCs w:val="20"/>
                <w:lang w:val="bs-Latn-BA"/>
              </w:rPr>
              <w:t>Bolnice</w:t>
            </w:r>
          </w:p>
        </w:tc>
        <w:tc>
          <w:tcPr>
            <w:tcW w:w="3815" w:type="dxa"/>
            <w:gridSpan w:val="2"/>
            <w:vAlign w:val="center"/>
          </w:tcPr>
          <w:p w:rsidR="00A131AD" w:rsidRPr="00081B73" w:rsidRDefault="00A131AD" w:rsidP="000C0138">
            <w:pPr>
              <w:spacing w:line="276" w:lineRule="auto"/>
              <w:jc w:val="left"/>
              <w:rPr>
                <w:rFonts w:ascii="Times New Roman" w:hAnsi="Times New Roman"/>
                <w:sz w:val="20"/>
                <w:szCs w:val="20"/>
                <w:lang w:val="bs-Latn-BA"/>
              </w:rPr>
            </w:pPr>
            <w:r w:rsidRPr="00081B73">
              <w:rPr>
                <w:rFonts w:ascii="Times New Roman" w:hAnsi="Times New Roman"/>
                <w:sz w:val="20"/>
                <w:szCs w:val="20"/>
                <w:lang w:val="bs-Latn-BA"/>
              </w:rPr>
              <w:t>bolničke postelje</w:t>
            </w:r>
          </w:p>
        </w:tc>
        <w:tc>
          <w:tcPr>
            <w:tcW w:w="2279"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218</w:t>
            </w:r>
          </w:p>
        </w:tc>
        <w:tc>
          <w:tcPr>
            <w:tcW w:w="2293" w:type="dxa"/>
            <w:vAlign w:val="center"/>
          </w:tcPr>
          <w:p w:rsidR="00A131AD" w:rsidRPr="00081B73" w:rsidRDefault="00A131AD" w:rsidP="000C0138">
            <w:pPr>
              <w:spacing w:line="276" w:lineRule="auto"/>
              <w:jc w:val="right"/>
              <w:rPr>
                <w:rFonts w:ascii="Times New Roman" w:hAnsi="Times New Roman"/>
                <w:sz w:val="20"/>
                <w:szCs w:val="20"/>
                <w:lang w:val="bs-Latn-BA"/>
              </w:rPr>
            </w:pPr>
            <w:r w:rsidRPr="00081B73">
              <w:rPr>
                <w:rFonts w:ascii="Times New Roman" w:hAnsi="Times New Roman"/>
                <w:sz w:val="20"/>
                <w:szCs w:val="20"/>
                <w:lang w:val="bs-Latn-BA"/>
              </w:rPr>
              <w:t>217</w:t>
            </w:r>
          </w:p>
        </w:tc>
      </w:tr>
    </w:tbl>
    <w:p w:rsidR="00081B73" w:rsidRDefault="00081B73" w:rsidP="000C0138">
      <w:pPr>
        <w:spacing w:line="276" w:lineRule="auto"/>
        <w:rPr>
          <w:rFonts w:ascii="Times New Roman" w:hAnsi="Times New Roman"/>
          <w:lang w:val="bs-Latn-BA"/>
        </w:rPr>
      </w:pPr>
    </w:p>
    <w:p w:rsidR="00081B73" w:rsidRDefault="00081B73">
      <w:pPr>
        <w:spacing w:after="160" w:line="259" w:lineRule="auto"/>
        <w:jc w:val="left"/>
        <w:rPr>
          <w:rFonts w:ascii="Times New Roman" w:hAnsi="Times New Roman"/>
          <w:lang w:val="bs-Latn-BA"/>
        </w:rPr>
      </w:pPr>
      <w:r>
        <w:rPr>
          <w:rFonts w:ascii="Times New Roman" w:hAnsi="Times New Roman"/>
          <w:lang w:val="bs-Latn-BA"/>
        </w:rPr>
        <w:br w:type="page"/>
      </w:r>
    </w:p>
    <w:p w:rsidR="0075440C" w:rsidRDefault="00E558FA" w:rsidP="0082015E">
      <w:pPr>
        <w:pStyle w:val="Poglavlje1"/>
      </w:pPr>
      <w:bookmarkStart w:id="352" w:name="_Toc456095942"/>
      <w:r>
        <w:lastRenderedPageBreak/>
        <w:t>ZAKLJUČC</w:t>
      </w:r>
      <w:r w:rsidR="0075440C">
        <w:t>I</w:t>
      </w:r>
      <w:bookmarkEnd w:id="352"/>
    </w:p>
    <w:p w:rsidR="00096B44" w:rsidRPr="00096B44" w:rsidRDefault="00096B44" w:rsidP="00096B44">
      <w:pPr>
        <w:tabs>
          <w:tab w:val="left" w:pos="550"/>
        </w:tabs>
        <w:spacing w:before="120" w:line="276" w:lineRule="auto"/>
        <w:rPr>
          <w:rFonts w:ascii="Times New Roman" w:hAnsi="Times New Roman"/>
          <w:i/>
          <w:noProof/>
          <w:lang w:val="hr-HR" w:eastAsia="de-DE"/>
        </w:rPr>
      </w:pPr>
      <w:r w:rsidRPr="00096B44">
        <w:rPr>
          <w:rFonts w:ascii="Times New Roman" w:hAnsi="Times New Roman"/>
          <w:noProof/>
          <w:lang w:val="hr-HR" w:eastAsia="de-DE"/>
        </w:rPr>
        <w:t>Pokazatelji zdravstvenog stanja stanovništva i organizacije zdravstvene zaštite u  Federaciji BiH u ovom izvješ</w:t>
      </w:r>
      <w:r w:rsidR="00606974">
        <w:rPr>
          <w:rFonts w:ascii="Times New Roman" w:hAnsi="Times New Roman"/>
          <w:noProof/>
          <w:lang w:val="hr-HR" w:eastAsia="de-DE"/>
        </w:rPr>
        <w:t>ću</w:t>
      </w:r>
      <w:r w:rsidRPr="00096B44">
        <w:rPr>
          <w:rFonts w:ascii="Times New Roman" w:hAnsi="Times New Roman"/>
          <w:noProof/>
          <w:lang w:val="hr-HR" w:eastAsia="de-DE"/>
        </w:rPr>
        <w:t xml:space="preserve"> se odnose na javni sektor zdravstvene zaštite i prikazani su za </w:t>
      </w:r>
      <w:r w:rsidR="00606974">
        <w:rPr>
          <w:rFonts w:ascii="Times New Roman" w:hAnsi="Times New Roman"/>
          <w:noProof/>
          <w:lang w:val="hr-HR" w:eastAsia="de-DE"/>
        </w:rPr>
        <w:t xml:space="preserve">razdoblje </w:t>
      </w:r>
      <w:r w:rsidRPr="00096B44">
        <w:rPr>
          <w:rFonts w:ascii="Times New Roman" w:hAnsi="Times New Roman"/>
          <w:noProof/>
          <w:lang w:val="hr-HR" w:eastAsia="de-DE"/>
        </w:rPr>
        <w:t>od 2010.</w:t>
      </w:r>
      <w:r w:rsidR="00606974">
        <w:rPr>
          <w:rFonts w:ascii="Times New Roman" w:hAnsi="Times New Roman"/>
          <w:noProof/>
          <w:lang w:val="hr-HR" w:eastAsia="de-DE"/>
        </w:rPr>
        <w:t xml:space="preserve"> do </w:t>
      </w:r>
      <w:r w:rsidRPr="00096B44">
        <w:rPr>
          <w:rFonts w:ascii="Times New Roman" w:hAnsi="Times New Roman"/>
          <w:noProof/>
          <w:lang w:val="hr-HR" w:eastAsia="de-DE"/>
        </w:rPr>
        <w:t>2015. godine.</w:t>
      </w:r>
    </w:p>
    <w:p w:rsidR="00096B44" w:rsidRPr="00096B44" w:rsidRDefault="00096B44" w:rsidP="00096B44">
      <w:pPr>
        <w:tabs>
          <w:tab w:val="left" w:pos="550"/>
        </w:tabs>
        <w:spacing w:before="120" w:line="276" w:lineRule="auto"/>
        <w:rPr>
          <w:rFonts w:ascii="Times New Roman" w:hAnsi="Times New Roman"/>
          <w:b/>
          <w:noProof/>
          <w:lang w:val="hr-HR" w:eastAsia="de-DE"/>
        </w:rPr>
      </w:pPr>
      <w:r w:rsidRPr="00096B44">
        <w:rPr>
          <w:rFonts w:ascii="Times New Roman" w:hAnsi="Times New Roman"/>
          <w:b/>
          <w:noProof/>
          <w:lang w:val="hr-HR" w:eastAsia="de-DE"/>
        </w:rPr>
        <w:t xml:space="preserve">Demografija </w:t>
      </w:r>
    </w:p>
    <w:p w:rsidR="00096B44" w:rsidRPr="00096B44" w:rsidRDefault="00096B44" w:rsidP="00E558FA">
      <w:pPr>
        <w:numPr>
          <w:ilvl w:val="0"/>
          <w:numId w:val="19"/>
        </w:numPr>
        <w:tabs>
          <w:tab w:val="left" w:pos="550"/>
        </w:tabs>
        <w:spacing w:before="120" w:line="276" w:lineRule="auto"/>
        <w:rPr>
          <w:rFonts w:ascii="Times New Roman" w:hAnsi="Times New Roman"/>
          <w:i/>
          <w:noProof/>
          <w:lang w:val="hr-HR" w:eastAsia="de-DE"/>
        </w:rPr>
      </w:pPr>
      <w:r w:rsidRPr="00096B44">
        <w:rPr>
          <w:rFonts w:ascii="Times New Roman" w:hAnsi="Times New Roman"/>
          <w:noProof/>
          <w:lang w:val="hr-HR" w:eastAsia="de-DE"/>
        </w:rPr>
        <w:t>Bilježi se  trend starenja stanovništva, praćen kontinuiranim padom stope nataliteta, porasta stop</w:t>
      </w:r>
      <w:r w:rsidR="00392609">
        <w:rPr>
          <w:rFonts w:ascii="Times New Roman" w:hAnsi="Times New Roman"/>
          <w:noProof/>
          <w:lang w:val="hr-HR" w:eastAsia="de-DE"/>
        </w:rPr>
        <w:t>e</w:t>
      </w:r>
      <w:r w:rsidRPr="00096B44">
        <w:rPr>
          <w:rFonts w:ascii="Times New Roman" w:hAnsi="Times New Roman"/>
          <w:noProof/>
          <w:lang w:val="hr-HR" w:eastAsia="de-DE"/>
        </w:rPr>
        <w:t xml:space="preserve"> općeg mortaliteta, što za posljedicu ima  negativnu  vrijednost stope prirodnog prira</w:t>
      </w:r>
      <w:r w:rsidR="00392609">
        <w:rPr>
          <w:rFonts w:ascii="Times New Roman" w:hAnsi="Times New Roman"/>
          <w:noProof/>
          <w:lang w:val="hr-HR" w:eastAsia="de-DE"/>
        </w:rPr>
        <w:t>sta</w:t>
      </w:r>
      <w:r w:rsidRPr="00096B44">
        <w:rPr>
          <w:rFonts w:ascii="Times New Roman" w:hAnsi="Times New Roman"/>
          <w:noProof/>
          <w:lang w:val="hr-HR" w:eastAsia="de-DE"/>
        </w:rPr>
        <w:t xml:space="preserve">  na čak</w:t>
      </w:r>
      <w:r w:rsidR="00E558FA">
        <w:rPr>
          <w:rFonts w:ascii="Times New Roman" w:hAnsi="Times New Roman"/>
          <w:noProof/>
          <w:lang w:val="hr-HR" w:eastAsia="de-DE"/>
        </w:rPr>
        <w:t xml:space="preserve"> devet kantona u Federaciji BiH sa izuzetkom K</w:t>
      </w:r>
      <w:r w:rsidRPr="00096B44">
        <w:rPr>
          <w:rFonts w:ascii="Times New Roman" w:hAnsi="Times New Roman"/>
          <w:noProof/>
          <w:lang w:val="hr-HR" w:eastAsia="de-DE"/>
        </w:rPr>
        <w:t>antona Sarajevo.</w:t>
      </w:r>
    </w:p>
    <w:p w:rsidR="00096B44" w:rsidRPr="00096B44" w:rsidRDefault="00096B44" w:rsidP="00096B44">
      <w:pPr>
        <w:tabs>
          <w:tab w:val="left" w:pos="550"/>
        </w:tabs>
        <w:spacing w:before="120" w:line="276" w:lineRule="auto"/>
        <w:rPr>
          <w:rFonts w:ascii="Times New Roman" w:hAnsi="Times New Roman"/>
          <w:b/>
          <w:noProof/>
          <w:lang w:val="hr-HR" w:eastAsia="de-DE"/>
        </w:rPr>
      </w:pPr>
      <w:r w:rsidRPr="00096B44">
        <w:rPr>
          <w:rFonts w:ascii="Times New Roman" w:hAnsi="Times New Roman"/>
          <w:b/>
          <w:noProof/>
          <w:lang w:val="hr-HR" w:eastAsia="de-DE"/>
        </w:rPr>
        <w:t>Uzroci smrtnosti i obol</w:t>
      </w:r>
      <w:r w:rsidR="00392609">
        <w:rPr>
          <w:rFonts w:ascii="Times New Roman" w:hAnsi="Times New Roman"/>
          <w:b/>
          <w:noProof/>
          <w:lang w:val="hr-HR" w:eastAsia="de-DE"/>
        </w:rPr>
        <w:t>i</w:t>
      </w:r>
      <w:r w:rsidRPr="00096B44">
        <w:rPr>
          <w:rFonts w:ascii="Times New Roman" w:hAnsi="Times New Roman"/>
          <w:b/>
          <w:noProof/>
          <w:lang w:val="hr-HR" w:eastAsia="de-DE"/>
        </w:rPr>
        <w:t xml:space="preserve">jevanja </w:t>
      </w:r>
    </w:p>
    <w:p w:rsidR="00096B44" w:rsidRPr="00096B44" w:rsidRDefault="00096B44" w:rsidP="00096B44">
      <w:pPr>
        <w:numPr>
          <w:ilvl w:val="0"/>
          <w:numId w:val="19"/>
        </w:numPr>
        <w:tabs>
          <w:tab w:val="left" w:pos="550"/>
        </w:tabs>
        <w:spacing w:before="120"/>
        <w:rPr>
          <w:rFonts w:ascii="Times New Roman" w:hAnsi="Times New Roman"/>
          <w:noProof/>
          <w:lang w:val="hr-HR" w:eastAsia="de-DE"/>
        </w:rPr>
      </w:pPr>
      <w:r w:rsidRPr="00096B44">
        <w:rPr>
          <w:rFonts w:ascii="Times New Roman" w:hAnsi="Times New Roman"/>
          <w:noProof/>
          <w:lang w:val="hr-HR" w:eastAsia="de-DE"/>
        </w:rPr>
        <w:t>Kao i prethodnih godina, vodeći uzroci umiranja stanovništva Federacije BiH su oboljenja kardiovaskularnog s</w:t>
      </w:r>
      <w:r w:rsidR="00392609">
        <w:rPr>
          <w:rFonts w:ascii="Times New Roman" w:hAnsi="Times New Roman"/>
          <w:noProof/>
          <w:lang w:val="hr-HR" w:eastAsia="de-DE"/>
        </w:rPr>
        <w:t>ustava</w:t>
      </w:r>
      <w:r w:rsidRPr="00096B44">
        <w:rPr>
          <w:rFonts w:ascii="Times New Roman" w:hAnsi="Times New Roman"/>
          <w:noProof/>
          <w:lang w:val="hr-HR" w:eastAsia="de-DE"/>
        </w:rPr>
        <w:t xml:space="preserve"> i maligne neoplazme.</w:t>
      </w:r>
    </w:p>
    <w:p w:rsidR="00096B44" w:rsidRPr="00E558FA" w:rsidRDefault="00096B44" w:rsidP="00096B44">
      <w:pPr>
        <w:numPr>
          <w:ilvl w:val="0"/>
          <w:numId w:val="19"/>
        </w:numPr>
        <w:tabs>
          <w:tab w:val="left" w:pos="550"/>
        </w:tabs>
        <w:spacing w:before="120"/>
        <w:rPr>
          <w:rFonts w:ascii="Times New Roman" w:hAnsi="Times New Roman"/>
          <w:i/>
          <w:noProof/>
          <w:lang w:val="hr-HR" w:eastAsia="de-DE"/>
        </w:rPr>
      </w:pPr>
      <w:r w:rsidRPr="00E558FA">
        <w:rPr>
          <w:rFonts w:ascii="Times New Roman" w:hAnsi="Times New Roman"/>
          <w:noProof/>
          <w:lang w:val="hr-HR" w:eastAsia="de-DE"/>
        </w:rPr>
        <w:t>U obol</w:t>
      </w:r>
      <w:r w:rsidR="00392609">
        <w:rPr>
          <w:rFonts w:ascii="Times New Roman" w:hAnsi="Times New Roman"/>
          <w:noProof/>
          <w:lang w:val="hr-HR" w:eastAsia="de-DE"/>
        </w:rPr>
        <w:t>i</w:t>
      </w:r>
      <w:r w:rsidRPr="00E558FA">
        <w:rPr>
          <w:rFonts w:ascii="Times New Roman" w:hAnsi="Times New Roman"/>
          <w:noProof/>
          <w:lang w:val="hr-HR" w:eastAsia="de-DE"/>
        </w:rPr>
        <w:t xml:space="preserve">jevanju stanovništva dominiraju </w:t>
      </w:r>
      <w:r w:rsidR="00E558FA" w:rsidRPr="00E558FA">
        <w:rPr>
          <w:rFonts w:ascii="Times New Roman" w:hAnsi="Times New Roman"/>
          <w:noProof/>
          <w:lang w:val="hr-HR" w:eastAsia="de-DE"/>
        </w:rPr>
        <w:t xml:space="preserve">nezarazne bolesti. </w:t>
      </w:r>
      <w:r w:rsidRPr="00E558FA">
        <w:rPr>
          <w:rFonts w:ascii="Times New Roman" w:hAnsi="Times New Roman"/>
          <w:noProof/>
          <w:lang w:val="hr-HR" w:eastAsia="de-DE"/>
        </w:rPr>
        <w:t>Prema poda</w:t>
      </w:r>
      <w:r w:rsidR="00392609">
        <w:rPr>
          <w:rFonts w:ascii="Times New Roman" w:hAnsi="Times New Roman"/>
          <w:noProof/>
          <w:lang w:val="hr-HR" w:eastAsia="de-DE"/>
        </w:rPr>
        <w:t>t</w:t>
      </w:r>
      <w:r w:rsidRPr="00E558FA">
        <w:rPr>
          <w:rFonts w:ascii="Times New Roman" w:hAnsi="Times New Roman"/>
          <w:noProof/>
          <w:lang w:val="hr-HR" w:eastAsia="de-DE"/>
        </w:rPr>
        <w:t>cima populacijskog Registra za rak, najčešća lokalizacija raka kod muškaraca je rak pluća</w:t>
      </w:r>
      <w:r w:rsidR="00E558FA" w:rsidRPr="00E558FA">
        <w:rPr>
          <w:rFonts w:ascii="Times New Roman" w:hAnsi="Times New Roman"/>
          <w:noProof/>
          <w:lang w:val="hr-HR" w:eastAsia="de-DE"/>
        </w:rPr>
        <w:t>,</w:t>
      </w:r>
      <w:r w:rsidRPr="00E558FA">
        <w:rPr>
          <w:rFonts w:ascii="Times New Roman" w:hAnsi="Times New Roman"/>
          <w:noProof/>
          <w:lang w:val="hr-HR" w:eastAsia="de-DE"/>
        </w:rPr>
        <w:t xml:space="preserve"> a kod žena rak dojke. </w:t>
      </w:r>
    </w:p>
    <w:p w:rsidR="00096B44" w:rsidRPr="00E558FA" w:rsidRDefault="00E558FA" w:rsidP="00096B44">
      <w:pPr>
        <w:numPr>
          <w:ilvl w:val="0"/>
          <w:numId w:val="19"/>
        </w:numPr>
        <w:tabs>
          <w:tab w:val="left" w:pos="550"/>
        </w:tabs>
        <w:spacing w:before="120"/>
        <w:rPr>
          <w:rFonts w:ascii="Times New Roman" w:hAnsi="Times New Roman"/>
          <w:i/>
          <w:noProof/>
          <w:lang w:val="hr-HR" w:eastAsia="de-DE"/>
        </w:rPr>
      </w:pPr>
      <w:r>
        <w:rPr>
          <w:rFonts w:ascii="Times New Roman" w:hAnsi="Times New Roman"/>
          <w:noProof/>
          <w:lang w:val="hr-HR" w:eastAsia="de-DE"/>
        </w:rPr>
        <w:t>Registruje se</w:t>
      </w:r>
      <w:r w:rsidR="00096B44" w:rsidRPr="00E558FA">
        <w:rPr>
          <w:rFonts w:ascii="Times New Roman" w:hAnsi="Times New Roman"/>
          <w:noProof/>
          <w:lang w:val="hr-HR" w:eastAsia="de-DE"/>
        </w:rPr>
        <w:t xml:space="preserve"> blagi trend rasta obolijevanja stanovništva  od mentalnih poremećaja i poremećaja ponašanja. </w:t>
      </w:r>
    </w:p>
    <w:p w:rsidR="00096B44" w:rsidRPr="00E558FA" w:rsidRDefault="00096B44" w:rsidP="00096B44">
      <w:pPr>
        <w:rPr>
          <w:rFonts w:ascii="Times New Roman" w:hAnsi="Times New Roman"/>
          <w:lang w:val="sl-SI"/>
        </w:rPr>
      </w:pPr>
    </w:p>
    <w:p w:rsidR="00096B44" w:rsidRPr="00096B44" w:rsidRDefault="00E558FA" w:rsidP="00096B44">
      <w:pPr>
        <w:numPr>
          <w:ilvl w:val="0"/>
          <w:numId w:val="19"/>
        </w:numPr>
        <w:contextualSpacing/>
        <w:rPr>
          <w:rFonts w:ascii="Times New Roman" w:hAnsi="Times New Roman"/>
          <w:lang w:val="sl-SI"/>
        </w:rPr>
      </w:pPr>
      <w:r>
        <w:rPr>
          <w:rFonts w:ascii="Times New Roman" w:hAnsi="Times New Roman"/>
          <w:lang w:val="sl-SI"/>
        </w:rPr>
        <w:t xml:space="preserve">U morbiditetu od zaraznih bolesti </w:t>
      </w:r>
      <w:r w:rsidR="00096B44" w:rsidRPr="00096B44">
        <w:rPr>
          <w:rFonts w:ascii="Times New Roman" w:hAnsi="Times New Roman"/>
          <w:lang w:val="sl-SI"/>
        </w:rPr>
        <w:t xml:space="preserve">dominiraju gripa/bolesti sličnih gripi, </w:t>
      </w:r>
      <w:r w:rsidR="00096B44" w:rsidRPr="00096B44">
        <w:rPr>
          <w:rFonts w:ascii="Times New Roman" w:hAnsi="Times New Roman"/>
          <w:lang w:val="pl-PL"/>
        </w:rPr>
        <w:t>varičele, streptokokna angina, TBC respiratornog sustava, morbili, scarl</w:t>
      </w:r>
      <w:r w:rsidR="000F37BF">
        <w:rPr>
          <w:rFonts w:ascii="Times New Roman" w:hAnsi="Times New Roman"/>
          <w:lang w:val="pl-PL"/>
        </w:rPr>
        <w:t>atina i infektivna mononukleoza</w:t>
      </w:r>
      <w:r w:rsidR="00096B44" w:rsidRPr="00096B44">
        <w:rPr>
          <w:rFonts w:ascii="Times New Roman" w:hAnsi="Times New Roman"/>
          <w:lang w:val="pl-PL"/>
        </w:rPr>
        <w:t xml:space="preserve">, akutni enterokolitis i skabijes. </w:t>
      </w:r>
    </w:p>
    <w:p w:rsidR="00096B44" w:rsidRPr="00096B44" w:rsidRDefault="00096B44" w:rsidP="00096B44">
      <w:pPr>
        <w:rPr>
          <w:rFonts w:ascii="Times New Roman" w:eastAsia="MS Mincho" w:hAnsi="Times New Roman"/>
          <w:lang w:val="bs-Latn-BA" w:eastAsia="bs-Latn-BA"/>
        </w:rPr>
      </w:pPr>
    </w:p>
    <w:p w:rsidR="00096B44" w:rsidRPr="00096B44" w:rsidRDefault="000F37BF" w:rsidP="00096B44">
      <w:pPr>
        <w:numPr>
          <w:ilvl w:val="0"/>
          <w:numId w:val="19"/>
        </w:numPr>
        <w:contextualSpacing/>
        <w:rPr>
          <w:rFonts w:ascii="Times New Roman" w:eastAsia="MS Mincho" w:hAnsi="Times New Roman"/>
          <w:lang w:val="bs-Latn-BA" w:eastAsia="bs-Latn-BA"/>
        </w:rPr>
      </w:pPr>
      <w:r>
        <w:rPr>
          <w:rFonts w:ascii="Times New Roman" w:eastAsia="MS Mincho" w:hAnsi="Times New Roman"/>
          <w:lang w:val="bs-Latn-BA" w:eastAsia="bs-Latn-BA"/>
        </w:rPr>
        <w:t>Održavaju se stope  HIV-a manje</w:t>
      </w:r>
      <w:r w:rsidR="00096B44" w:rsidRPr="00096B44">
        <w:rPr>
          <w:rFonts w:ascii="Times New Roman" w:eastAsia="MS Mincho" w:hAnsi="Times New Roman"/>
          <w:lang w:val="bs-Latn-BA" w:eastAsia="bs-Latn-BA"/>
        </w:rPr>
        <w:t xml:space="preserve"> o</w:t>
      </w:r>
      <w:r>
        <w:rPr>
          <w:rFonts w:ascii="Times New Roman" w:eastAsia="MS Mincho" w:hAnsi="Times New Roman"/>
          <w:lang w:val="bs-Latn-BA" w:eastAsia="bs-Latn-BA"/>
        </w:rPr>
        <w:t>d 1% u općoj populaciji i manje</w:t>
      </w:r>
      <w:r w:rsidR="00096B44" w:rsidRPr="00096B44">
        <w:rPr>
          <w:rFonts w:ascii="Times New Roman" w:eastAsia="MS Mincho" w:hAnsi="Times New Roman"/>
          <w:lang w:val="bs-Latn-BA" w:eastAsia="bs-Latn-BA"/>
        </w:rPr>
        <w:t xml:space="preserve"> od 5% u bilo kojoj grupi pod povećanim rizikom. </w:t>
      </w:r>
    </w:p>
    <w:p w:rsidR="00096B44" w:rsidRPr="00096B44" w:rsidRDefault="00096B44" w:rsidP="00096B44">
      <w:pPr>
        <w:rPr>
          <w:rFonts w:ascii="Times New Roman" w:hAnsi="Times New Roman"/>
        </w:rPr>
      </w:pPr>
    </w:p>
    <w:p w:rsidR="00096B44" w:rsidRPr="00096B44" w:rsidRDefault="00096B44" w:rsidP="00096B44">
      <w:pPr>
        <w:numPr>
          <w:ilvl w:val="0"/>
          <w:numId w:val="19"/>
        </w:numPr>
        <w:contextualSpacing/>
        <w:rPr>
          <w:rFonts w:ascii="Times New Roman" w:hAnsi="Times New Roman"/>
        </w:rPr>
      </w:pPr>
      <w:r w:rsidRPr="00096B44">
        <w:rPr>
          <w:rFonts w:ascii="Times New Roman" w:hAnsi="Times New Roman"/>
        </w:rPr>
        <w:t xml:space="preserve">Evidentiran je niži obuhvat </w:t>
      </w:r>
      <w:r w:rsidR="00392609">
        <w:rPr>
          <w:rFonts w:ascii="Times New Roman" w:hAnsi="Times New Roman"/>
        </w:rPr>
        <w:t>cjepljenjem</w:t>
      </w:r>
      <w:r w:rsidRPr="00096B44">
        <w:rPr>
          <w:rFonts w:ascii="Times New Roman" w:hAnsi="Times New Roman"/>
        </w:rPr>
        <w:t xml:space="preserve"> u 2015. godini u odnosu na prethodne godine, što vodi ka padu kvaliteta kolektivnog imuniteta populacije protiv određenih zaraznih bolesti i prijeti ponovnim sporadičnim ili epidemijskim javljanjem </w:t>
      </w:r>
      <w:r w:rsidR="00392609">
        <w:rPr>
          <w:rFonts w:ascii="Times New Roman" w:hAnsi="Times New Roman"/>
        </w:rPr>
        <w:t>cjepivom</w:t>
      </w:r>
      <w:r w:rsidRPr="00096B44">
        <w:rPr>
          <w:rFonts w:ascii="Times New Roman" w:hAnsi="Times New Roman"/>
        </w:rPr>
        <w:t>-preventabilnih bolesti</w:t>
      </w:r>
    </w:p>
    <w:p w:rsidR="00096B44" w:rsidRPr="00096B44" w:rsidRDefault="00096B44" w:rsidP="00096B44">
      <w:pPr>
        <w:rPr>
          <w:rFonts w:ascii="Times New Roman" w:hAnsi="Times New Roman"/>
        </w:rPr>
      </w:pPr>
    </w:p>
    <w:p w:rsidR="00096B44" w:rsidRPr="00096B44" w:rsidRDefault="00096B44" w:rsidP="00096B44">
      <w:pPr>
        <w:numPr>
          <w:ilvl w:val="0"/>
          <w:numId w:val="19"/>
        </w:numPr>
        <w:contextualSpacing/>
        <w:rPr>
          <w:rFonts w:ascii="Times New Roman" w:hAnsi="Times New Roman"/>
        </w:rPr>
      </w:pPr>
      <w:r w:rsidRPr="00096B44">
        <w:rPr>
          <w:rFonts w:ascii="Times New Roman" w:hAnsi="Times New Roman"/>
        </w:rPr>
        <w:t>Zbog ograničene nabavne moći u 2015.</w:t>
      </w:r>
      <w:r w:rsidR="000F37BF">
        <w:rPr>
          <w:rFonts w:ascii="Times New Roman" w:hAnsi="Times New Roman"/>
        </w:rPr>
        <w:t xml:space="preserve"> godini</w:t>
      </w:r>
      <w:r w:rsidRPr="00096B44">
        <w:rPr>
          <w:rFonts w:ascii="Times New Roman" w:hAnsi="Times New Roman"/>
        </w:rPr>
        <w:t xml:space="preserve">, kao i u </w:t>
      </w:r>
      <w:r w:rsidR="000F37BF">
        <w:rPr>
          <w:rFonts w:ascii="Times New Roman" w:hAnsi="Times New Roman"/>
        </w:rPr>
        <w:t>prethodnoj godini,</w:t>
      </w:r>
      <w:r w:rsidRPr="00096B44">
        <w:rPr>
          <w:rFonts w:ascii="Times New Roman" w:hAnsi="Times New Roman"/>
        </w:rPr>
        <w:t xml:space="preserve"> Federacija BiH se suočila s problemom nabave kombiniranih cjepiva.</w:t>
      </w:r>
    </w:p>
    <w:p w:rsidR="00096B44" w:rsidRPr="00096B44" w:rsidRDefault="00096B44" w:rsidP="00096B44">
      <w:pPr>
        <w:rPr>
          <w:rFonts w:ascii="Times New Roman" w:hAnsi="Times New Roman"/>
        </w:rPr>
      </w:pPr>
    </w:p>
    <w:p w:rsidR="00096B44" w:rsidRPr="00096B44" w:rsidRDefault="00096B44" w:rsidP="00096B44">
      <w:pPr>
        <w:numPr>
          <w:ilvl w:val="0"/>
          <w:numId w:val="19"/>
        </w:numPr>
        <w:autoSpaceDE w:val="0"/>
        <w:autoSpaceDN w:val="0"/>
        <w:adjustRightInd w:val="0"/>
        <w:rPr>
          <w:rFonts w:ascii="Times New Roman" w:eastAsia="Calibri" w:hAnsi="Times New Roman"/>
          <w:color w:val="000000"/>
          <w:lang w:val="bs-Latn-BA"/>
        </w:rPr>
      </w:pPr>
      <w:r w:rsidRPr="00096B44">
        <w:rPr>
          <w:rFonts w:ascii="Times New Roman" w:eastAsia="Calibri" w:hAnsi="Times New Roman"/>
          <w:lang w:val="bs-Latn-BA"/>
        </w:rPr>
        <w:t>Poda</w:t>
      </w:r>
      <w:r w:rsidR="00392609">
        <w:rPr>
          <w:rFonts w:ascii="Times New Roman" w:eastAsia="Calibri" w:hAnsi="Times New Roman"/>
          <w:lang w:val="bs-Latn-BA"/>
        </w:rPr>
        <w:t>t</w:t>
      </w:r>
      <w:r w:rsidRPr="00096B44">
        <w:rPr>
          <w:rFonts w:ascii="Times New Roman" w:eastAsia="Calibri" w:hAnsi="Times New Roman"/>
          <w:lang w:val="bs-Latn-BA"/>
        </w:rPr>
        <w:t>ci ukazuju na loše stanje oralnog zdravlja stanovništva u F</w:t>
      </w:r>
      <w:r w:rsidR="000F37BF">
        <w:rPr>
          <w:rFonts w:ascii="Times New Roman" w:eastAsia="Calibri" w:hAnsi="Times New Roman"/>
          <w:lang w:val="bs-Latn-BA"/>
        </w:rPr>
        <w:t xml:space="preserve">ederaciji </w:t>
      </w:r>
      <w:r w:rsidRPr="00096B44">
        <w:rPr>
          <w:rFonts w:ascii="Times New Roman" w:eastAsia="Calibri" w:hAnsi="Times New Roman"/>
          <w:lang w:val="bs-Latn-BA"/>
        </w:rPr>
        <w:t>BiH, što je posebno zabrinjavajuće kada su u pitanju djeca, kod kojih su, kao i kod odraslih,</w:t>
      </w:r>
      <w:r w:rsidRPr="00096B44">
        <w:rPr>
          <w:rFonts w:ascii="Times New Roman" w:eastAsia="Calibri" w:hAnsi="Times New Roman"/>
          <w:color w:val="000000"/>
          <w:lang w:val="bs-Latn-BA"/>
        </w:rPr>
        <w:t xml:space="preserve"> vodeća oboljenja bili zubni karijes i oboljenja zubne pulpe i periapikalnog tkiva.</w:t>
      </w:r>
    </w:p>
    <w:p w:rsidR="00096B44" w:rsidRPr="00096B44" w:rsidRDefault="00096B44" w:rsidP="00096B44">
      <w:pPr>
        <w:spacing w:line="276" w:lineRule="auto"/>
        <w:rPr>
          <w:rFonts w:ascii="Times New Roman" w:eastAsia="Calibri" w:hAnsi="Times New Roman"/>
          <w:color w:val="000000"/>
          <w:lang w:val="bs-Latn-BA"/>
        </w:rPr>
      </w:pPr>
    </w:p>
    <w:p w:rsidR="00096B44" w:rsidRPr="00096B44" w:rsidRDefault="00096B44" w:rsidP="00096B44">
      <w:pPr>
        <w:tabs>
          <w:tab w:val="left" w:pos="550"/>
        </w:tabs>
        <w:spacing w:before="120" w:line="276" w:lineRule="auto"/>
        <w:rPr>
          <w:rFonts w:ascii="Times New Roman" w:hAnsi="Times New Roman"/>
          <w:b/>
          <w:noProof/>
          <w:lang w:val="hr-HR" w:eastAsia="de-DE"/>
        </w:rPr>
      </w:pPr>
      <w:r w:rsidRPr="00096B44">
        <w:rPr>
          <w:rFonts w:ascii="Times New Roman" w:hAnsi="Times New Roman"/>
          <w:b/>
          <w:noProof/>
          <w:lang w:val="hr-HR" w:eastAsia="de-DE"/>
        </w:rPr>
        <w:t xml:space="preserve">Životni stil i ponašanje </w:t>
      </w:r>
    </w:p>
    <w:p w:rsidR="00096B44" w:rsidRPr="00096B44" w:rsidRDefault="000F37BF" w:rsidP="00096B44">
      <w:pPr>
        <w:numPr>
          <w:ilvl w:val="0"/>
          <w:numId w:val="20"/>
        </w:numPr>
        <w:tabs>
          <w:tab w:val="left" w:pos="550"/>
        </w:tabs>
        <w:spacing w:before="120"/>
        <w:rPr>
          <w:rFonts w:ascii="Times New Roman" w:hAnsi="Times New Roman"/>
          <w:i/>
          <w:noProof/>
          <w:lang w:val="hr-HR" w:eastAsia="de-DE"/>
        </w:rPr>
      </w:pPr>
      <w:r>
        <w:rPr>
          <w:rFonts w:ascii="Times New Roman" w:hAnsi="Times New Roman"/>
          <w:noProof/>
          <w:lang w:val="hr-HR" w:eastAsia="de-DE"/>
        </w:rPr>
        <w:t>P</w:t>
      </w:r>
      <w:r w:rsidR="00096B44" w:rsidRPr="00096B44">
        <w:rPr>
          <w:rFonts w:ascii="Times New Roman" w:hAnsi="Times New Roman"/>
          <w:noProof/>
          <w:lang w:val="hr-HR" w:eastAsia="de-DE"/>
        </w:rPr>
        <w:t>osebno izraženi rizi</w:t>
      </w:r>
      <w:r w:rsidR="00392609">
        <w:rPr>
          <w:rFonts w:ascii="Times New Roman" w:hAnsi="Times New Roman"/>
          <w:noProof/>
          <w:lang w:val="hr-HR" w:eastAsia="de-DE"/>
        </w:rPr>
        <w:t>čni čimbenici</w:t>
      </w:r>
      <w:r w:rsidR="00096B44" w:rsidRPr="00096B44">
        <w:rPr>
          <w:rFonts w:ascii="Times New Roman" w:hAnsi="Times New Roman"/>
          <w:noProof/>
          <w:lang w:val="hr-HR" w:eastAsia="de-DE"/>
        </w:rPr>
        <w:t xml:space="preserve"> vezani za životni stil i ponašanje </w:t>
      </w:r>
      <w:r>
        <w:rPr>
          <w:rFonts w:ascii="Times New Roman" w:hAnsi="Times New Roman"/>
          <w:noProof/>
          <w:lang w:val="hr-HR" w:eastAsia="de-DE"/>
        </w:rPr>
        <w:t>su</w:t>
      </w:r>
      <w:r w:rsidR="00096B44" w:rsidRPr="00096B44">
        <w:rPr>
          <w:rFonts w:ascii="Times New Roman" w:hAnsi="Times New Roman"/>
          <w:noProof/>
          <w:lang w:val="hr-HR" w:eastAsia="de-DE"/>
        </w:rPr>
        <w:t xml:space="preserve"> konzumiranje duhana i alkohola u populaci</w:t>
      </w:r>
      <w:r w:rsidR="00392609">
        <w:rPr>
          <w:rFonts w:ascii="Times New Roman" w:hAnsi="Times New Roman"/>
          <w:noProof/>
          <w:lang w:val="hr-HR" w:eastAsia="de-DE"/>
        </w:rPr>
        <w:t>jskoj</w:t>
      </w:r>
      <w:r w:rsidR="00096B44" w:rsidRPr="00096B44">
        <w:rPr>
          <w:rFonts w:ascii="Times New Roman" w:hAnsi="Times New Roman"/>
          <w:noProof/>
          <w:lang w:val="hr-HR" w:eastAsia="de-DE"/>
        </w:rPr>
        <w:t xml:space="preserve"> skupini odraslog stanovništva</w:t>
      </w:r>
      <w:r>
        <w:rPr>
          <w:rFonts w:ascii="Times New Roman" w:hAnsi="Times New Roman"/>
          <w:noProof/>
          <w:lang w:val="hr-HR" w:eastAsia="de-DE"/>
        </w:rPr>
        <w:t>.</w:t>
      </w:r>
      <w:r w:rsidR="00096B44" w:rsidRPr="00096B44">
        <w:rPr>
          <w:rFonts w:ascii="Times New Roman" w:hAnsi="Times New Roman"/>
          <w:noProof/>
          <w:lang w:val="hr-HR" w:eastAsia="de-DE"/>
        </w:rPr>
        <w:t xml:space="preserve"> </w:t>
      </w:r>
    </w:p>
    <w:p w:rsidR="00096B44" w:rsidRPr="00096B44" w:rsidRDefault="00096B44" w:rsidP="00096B44">
      <w:pPr>
        <w:rPr>
          <w:rFonts w:ascii="Times New Roman" w:eastAsia="Calibri" w:hAnsi="Times New Roman"/>
          <w:color w:val="000000"/>
          <w:lang w:val="bs-Latn-BA"/>
        </w:rPr>
      </w:pPr>
    </w:p>
    <w:p w:rsidR="00096B44" w:rsidRPr="00096B44" w:rsidRDefault="00096B44" w:rsidP="00096B44">
      <w:pPr>
        <w:numPr>
          <w:ilvl w:val="0"/>
          <w:numId w:val="20"/>
        </w:numPr>
        <w:contextualSpacing/>
        <w:rPr>
          <w:rFonts w:ascii="Times New Roman" w:hAnsi="Times New Roman"/>
          <w:lang w:val="hr-HR"/>
        </w:rPr>
      </w:pPr>
      <w:r w:rsidRPr="00096B44">
        <w:rPr>
          <w:rFonts w:ascii="Times New Roman" w:eastAsia="Calibri" w:hAnsi="Times New Roman"/>
          <w:color w:val="000000"/>
          <w:lang w:val="bs-Latn-BA"/>
        </w:rPr>
        <w:t>P</w:t>
      </w:r>
      <w:r w:rsidRPr="00096B44">
        <w:rPr>
          <w:rFonts w:ascii="Times New Roman" w:hAnsi="Times New Roman"/>
          <w:lang w:val="hr-HR"/>
        </w:rPr>
        <w:t xml:space="preserve">rehrambene navike u populaciji odraslih u Federaciji </w:t>
      </w:r>
      <w:r w:rsidR="000F37BF">
        <w:rPr>
          <w:rFonts w:ascii="Times New Roman" w:hAnsi="Times New Roman"/>
          <w:lang w:val="hr-HR"/>
        </w:rPr>
        <w:t>BiH</w:t>
      </w:r>
      <w:r w:rsidRPr="00096B44">
        <w:rPr>
          <w:rFonts w:ascii="Times New Roman" w:hAnsi="Times New Roman"/>
          <w:lang w:val="hr-HR"/>
        </w:rPr>
        <w:t xml:space="preserve"> pokazuju nezadovoljavajuće trendove gled</w:t>
      </w:r>
      <w:r w:rsidR="00392609">
        <w:rPr>
          <w:rFonts w:ascii="Times New Roman" w:hAnsi="Times New Roman"/>
          <w:lang w:val="hr-HR"/>
        </w:rPr>
        <w:t>e</w:t>
      </w:r>
      <w:r w:rsidRPr="00096B44">
        <w:rPr>
          <w:rFonts w:ascii="Times New Roman" w:hAnsi="Times New Roman"/>
          <w:lang w:val="hr-HR"/>
        </w:rPr>
        <w:t xml:space="preserve"> niske konzumacije voća i povrća kod odraslog stanovništva i </w:t>
      </w:r>
      <w:r w:rsidRPr="00096B44">
        <w:rPr>
          <w:rFonts w:ascii="Times New Roman" w:eastAsia="Calibri" w:hAnsi="Times New Roman"/>
        </w:rPr>
        <w:t>visok unos soli</w:t>
      </w:r>
      <w:r w:rsidRPr="00096B44">
        <w:rPr>
          <w:rFonts w:eastAsia="Calibri"/>
        </w:rPr>
        <w:t xml:space="preserve">. </w:t>
      </w:r>
    </w:p>
    <w:p w:rsidR="00096B44" w:rsidRPr="00096B44" w:rsidRDefault="00096B44" w:rsidP="00096B44">
      <w:pPr>
        <w:autoSpaceDE w:val="0"/>
        <w:autoSpaceDN w:val="0"/>
        <w:adjustRightInd w:val="0"/>
        <w:rPr>
          <w:rFonts w:ascii="Times New Roman" w:hAnsi="Times New Roman"/>
          <w:lang w:val="hr-HR"/>
        </w:rPr>
      </w:pPr>
    </w:p>
    <w:p w:rsidR="00096B44" w:rsidRPr="00096B44" w:rsidRDefault="00096B44" w:rsidP="00096B44">
      <w:pPr>
        <w:numPr>
          <w:ilvl w:val="0"/>
          <w:numId w:val="20"/>
        </w:numPr>
        <w:autoSpaceDE w:val="0"/>
        <w:autoSpaceDN w:val="0"/>
        <w:adjustRightInd w:val="0"/>
        <w:contextualSpacing/>
        <w:rPr>
          <w:rFonts w:ascii="Times New Roman" w:hAnsi="Times New Roman"/>
          <w:noProof/>
          <w:lang w:val="hr-HR" w:eastAsia="de-DE"/>
        </w:rPr>
      </w:pPr>
      <w:r w:rsidRPr="00096B44">
        <w:rPr>
          <w:rFonts w:ascii="Times New Roman" w:hAnsi="Times New Roman"/>
          <w:lang w:val="hr-HR"/>
        </w:rPr>
        <w:t xml:space="preserve">Visok procenat </w:t>
      </w:r>
      <w:r w:rsidR="00392609">
        <w:rPr>
          <w:rFonts w:ascii="Times New Roman" w:hAnsi="Times New Roman"/>
          <w:lang w:val="hr-HR"/>
        </w:rPr>
        <w:t>tjelesno</w:t>
      </w:r>
      <w:r w:rsidRPr="00096B44">
        <w:rPr>
          <w:rFonts w:ascii="Times New Roman" w:hAnsi="Times New Roman"/>
          <w:lang w:val="hr-HR"/>
        </w:rPr>
        <w:t xml:space="preserve"> neaktivnog stanovništva predstavlja prominentan rizi</w:t>
      </w:r>
      <w:r w:rsidR="00392609">
        <w:rPr>
          <w:rFonts w:ascii="Times New Roman" w:hAnsi="Times New Roman"/>
          <w:lang w:val="hr-HR"/>
        </w:rPr>
        <w:t>čni čimbenik</w:t>
      </w:r>
      <w:r w:rsidRPr="00096B44">
        <w:rPr>
          <w:rFonts w:ascii="Times New Roman" w:hAnsi="Times New Roman"/>
          <w:lang w:val="hr-HR"/>
        </w:rPr>
        <w:t xml:space="preserve"> u populaciji odraslih. </w:t>
      </w:r>
    </w:p>
    <w:p w:rsidR="00096B44" w:rsidRPr="00096B44" w:rsidRDefault="00096B44" w:rsidP="00096B44">
      <w:pPr>
        <w:autoSpaceDE w:val="0"/>
        <w:autoSpaceDN w:val="0"/>
        <w:adjustRightInd w:val="0"/>
        <w:spacing w:line="276" w:lineRule="auto"/>
        <w:rPr>
          <w:rFonts w:ascii="Times New Roman" w:hAnsi="Times New Roman"/>
          <w:color w:val="FF0000"/>
        </w:rPr>
      </w:pPr>
    </w:p>
    <w:p w:rsidR="00096B44" w:rsidRPr="00096B44" w:rsidRDefault="00096B44" w:rsidP="00096B44">
      <w:pPr>
        <w:autoSpaceDE w:val="0"/>
        <w:autoSpaceDN w:val="0"/>
        <w:adjustRightInd w:val="0"/>
        <w:spacing w:line="276" w:lineRule="auto"/>
        <w:rPr>
          <w:rFonts w:ascii="Times New Roman" w:hAnsi="Times New Roman"/>
          <w:b/>
        </w:rPr>
      </w:pPr>
    </w:p>
    <w:p w:rsidR="00096B44" w:rsidRPr="00096B44" w:rsidRDefault="00096B44" w:rsidP="00096B44">
      <w:pPr>
        <w:autoSpaceDE w:val="0"/>
        <w:autoSpaceDN w:val="0"/>
        <w:adjustRightInd w:val="0"/>
        <w:spacing w:line="276" w:lineRule="auto"/>
        <w:rPr>
          <w:rFonts w:ascii="Times New Roman" w:hAnsi="Times New Roman"/>
          <w:b/>
        </w:rPr>
      </w:pPr>
    </w:p>
    <w:p w:rsidR="00096B44" w:rsidRDefault="00096B44" w:rsidP="00096B44">
      <w:pPr>
        <w:autoSpaceDE w:val="0"/>
        <w:autoSpaceDN w:val="0"/>
        <w:adjustRightInd w:val="0"/>
        <w:spacing w:line="276" w:lineRule="auto"/>
        <w:rPr>
          <w:rFonts w:ascii="Times New Roman" w:hAnsi="Times New Roman"/>
          <w:b/>
        </w:rPr>
      </w:pPr>
    </w:p>
    <w:p w:rsidR="003E3695" w:rsidRPr="00096B44" w:rsidRDefault="003E3695" w:rsidP="00096B44">
      <w:pPr>
        <w:autoSpaceDE w:val="0"/>
        <w:autoSpaceDN w:val="0"/>
        <w:adjustRightInd w:val="0"/>
        <w:spacing w:line="276" w:lineRule="auto"/>
        <w:rPr>
          <w:rFonts w:ascii="Times New Roman" w:hAnsi="Times New Roman"/>
          <w:b/>
        </w:rPr>
      </w:pPr>
    </w:p>
    <w:p w:rsidR="00096B44" w:rsidRPr="00096B44" w:rsidRDefault="00096B44" w:rsidP="00096B44">
      <w:pPr>
        <w:autoSpaceDE w:val="0"/>
        <w:autoSpaceDN w:val="0"/>
        <w:adjustRightInd w:val="0"/>
        <w:spacing w:line="276" w:lineRule="auto"/>
        <w:rPr>
          <w:rFonts w:ascii="Times New Roman" w:hAnsi="Times New Roman"/>
          <w:b/>
        </w:rPr>
      </w:pPr>
      <w:r w:rsidRPr="00096B44">
        <w:rPr>
          <w:rFonts w:ascii="Times New Roman" w:hAnsi="Times New Roman"/>
          <w:b/>
        </w:rPr>
        <w:lastRenderedPageBreak/>
        <w:t xml:space="preserve">Okoliš i zdravlje </w:t>
      </w:r>
    </w:p>
    <w:p w:rsidR="00096B44" w:rsidRPr="00096B44" w:rsidRDefault="00096B44" w:rsidP="00096B44">
      <w:pPr>
        <w:autoSpaceDE w:val="0"/>
        <w:autoSpaceDN w:val="0"/>
        <w:adjustRightInd w:val="0"/>
        <w:spacing w:line="276" w:lineRule="auto"/>
        <w:rPr>
          <w:rFonts w:ascii="Times New Roman" w:hAnsi="Times New Roman"/>
        </w:rPr>
      </w:pPr>
    </w:p>
    <w:p w:rsidR="00096B44" w:rsidRPr="00096B44" w:rsidRDefault="00096B44" w:rsidP="00096B44">
      <w:pPr>
        <w:spacing w:line="276" w:lineRule="auto"/>
        <w:rPr>
          <w:rFonts w:ascii="Times New Roman" w:hAnsi="Times New Roman"/>
          <w:noProof/>
          <w:lang w:val="hr-HR" w:eastAsia="de-DE"/>
        </w:rPr>
      </w:pPr>
    </w:p>
    <w:p w:rsidR="00096B44" w:rsidRPr="00096B44" w:rsidRDefault="00392609" w:rsidP="00096B44">
      <w:pPr>
        <w:numPr>
          <w:ilvl w:val="0"/>
          <w:numId w:val="21"/>
        </w:numPr>
        <w:contextualSpacing/>
        <w:rPr>
          <w:rFonts w:ascii="Times New Roman" w:hAnsi="Times New Roman"/>
        </w:rPr>
      </w:pPr>
      <w:r>
        <w:rPr>
          <w:rFonts w:ascii="Times New Roman" w:hAnsi="Times New Roman"/>
        </w:rPr>
        <w:t>Onečišćena</w:t>
      </w:r>
      <w:r w:rsidR="00096B44" w:rsidRPr="00096B44">
        <w:rPr>
          <w:rFonts w:ascii="Times New Roman" w:hAnsi="Times New Roman"/>
          <w:lang w:val="bs-Latn-BA"/>
        </w:rPr>
        <w:t xml:space="preserve"> </w:t>
      </w:r>
      <w:r w:rsidR="00096B44" w:rsidRPr="00096B44">
        <w:rPr>
          <w:rFonts w:ascii="Times New Roman" w:hAnsi="Times New Roman"/>
        </w:rPr>
        <w:t>voda</w:t>
      </w:r>
      <w:r w:rsidR="00096B44" w:rsidRPr="00096B44">
        <w:rPr>
          <w:rFonts w:ascii="Times New Roman" w:hAnsi="Times New Roman"/>
          <w:lang w:val="bs-Latn-BA"/>
        </w:rPr>
        <w:t xml:space="preserve">, </w:t>
      </w:r>
      <w:r w:rsidR="00096B44" w:rsidRPr="00096B44">
        <w:rPr>
          <w:rFonts w:ascii="Times New Roman" w:hAnsi="Times New Roman"/>
        </w:rPr>
        <w:t>hrana</w:t>
      </w:r>
      <w:r w:rsidR="00096B44" w:rsidRPr="00096B44">
        <w:rPr>
          <w:rFonts w:ascii="Times New Roman" w:hAnsi="Times New Roman"/>
          <w:lang w:val="bs-Latn-BA"/>
        </w:rPr>
        <w:t xml:space="preserve">, </w:t>
      </w:r>
      <w:r w:rsidR="00096B44" w:rsidRPr="00096B44">
        <w:rPr>
          <w:rFonts w:ascii="Times New Roman" w:hAnsi="Times New Roman"/>
        </w:rPr>
        <w:t>zrak</w:t>
      </w:r>
      <w:r w:rsidR="00096B44" w:rsidRPr="00096B44">
        <w:rPr>
          <w:rFonts w:ascii="Times New Roman" w:hAnsi="Times New Roman"/>
          <w:lang w:val="bs-Latn-BA"/>
        </w:rPr>
        <w:t xml:space="preserve"> </w:t>
      </w:r>
      <w:r w:rsidR="00096B44" w:rsidRPr="00096B44">
        <w:rPr>
          <w:rFonts w:ascii="Times New Roman" w:hAnsi="Times New Roman"/>
        </w:rPr>
        <w:t>i</w:t>
      </w:r>
      <w:r w:rsidR="00096B44" w:rsidRPr="00096B44">
        <w:rPr>
          <w:rFonts w:ascii="Times New Roman" w:hAnsi="Times New Roman"/>
          <w:lang w:val="bs-Latn-BA"/>
        </w:rPr>
        <w:t xml:space="preserve"> </w:t>
      </w:r>
      <w:r w:rsidR="00096B44" w:rsidRPr="00096B44">
        <w:rPr>
          <w:rFonts w:ascii="Times New Roman" w:hAnsi="Times New Roman"/>
        </w:rPr>
        <w:t>otpadne</w:t>
      </w:r>
      <w:r w:rsidR="00096B44" w:rsidRPr="00096B44">
        <w:rPr>
          <w:rFonts w:ascii="Times New Roman" w:hAnsi="Times New Roman"/>
          <w:lang w:val="bs-Latn-BA"/>
        </w:rPr>
        <w:t xml:space="preserve"> </w:t>
      </w:r>
      <w:r w:rsidR="00096B44" w:rsidRPr="00096B44">
        <w:rPr>
          <w:rFonts w:ascii="Times New Roman" w:hAnsi="Times New Roman"/>
        </w:rPr>
        <w:t>materije</w:t>
      </w:r>
      <w:r w:rsidR="00096B44" w:rsidRPr="00096B44">
        <w:rPr>
          <w:rFonts w:ascii="Times New Roman" w:hAnsi="Times New Roman"/>
          <w:lang w:val="bs-Latn-BA"/>
        </w:rPr>
        <w:t xml:space="preserve"> </w:t>
      </w:r>
      <w:r w:rsidR="00096B44" w:rsidRPr="00096B44">
        <w:rPr>
          <w:rFonts w:ascii="Times New Roman" w:hAnsi="Times New Roman"/>
        </w:rPr>
        <w:t>spadaju</w:t>
      </w:r>
      <w:r w:rsidR="00096B44" w:rsidRPr="00096B44">
        <w:rPr>
          <w:rFonts w:ascii="Times New Roman" w:hAnsi="Times New Roman"/>
          <w:lang w:val="bs-Latn-BA"/>
        </w:rPr>
        <w:t xml:space="preserve"> </w:t>
      </w:r>
      <w:r w:rsidR="00096B44" w:rsidRPr="00096B44">
        <w:rPr>
          <w:rFonts w:ascii="Times New Roman" w:hAnsi="Times New Roman"/>
        </w:rPr>
        <w:t>u</w:t>
      </w:r>
      <w:r w:rsidR="00096B44" w:rsidRPr="00096B44">
        <w:rPr>
          <w:rFonts w:ascii="Times New Roman" w:hAnsi="Times New Roman"/>
          <w:lang w:val="bs-Latn-BA"/>
        </w:rPr>
        <w:t xml:space="preserve"> </w:t>
      </w:r>
      <w:r w:rsidR="00096B44" w:rsidRPr="00096B44">
        <w:rPr>
          <w:rFonts w:ascii="Times New Roman" w:hAnsi="Times New Roman"/>
        </w:rPr>
        <w:t>vode</w:t>
      </w:r>
      <w:r w:rsidR="00096B44" w:rsidRPr="00096B44">
        <w:rPr>
          <w:rFonts w:ascii="Times New Roman" w:hAnsi="Times New Roman"/>
          <w:lang w:val="bs-Latn-BA"/>
        </w:rPr>
        <w:t>ć</w:t>
      </w:r>
      <w:r w:rsidR="00096B44" w:rsidRPr="00096B44">
        <w:rPr>
          <w:rFonts w:ascii="Times New Roman" w:hAnsi="Times New Roman"/>
        </w:rPr>
        <w:t xml:space="preserve">e ekokoške </w:t>
      </w:r>
      <w:r>
        <w:rPr>
          <w:rFonts w:ascii="Times New Roman" w:hAnsi="Times New Roman"/>
        </w:rPr>
        <w:t>čimbenike</w:t>
      </w:r>
      <w:r w:rsidR="00096B44" w:rsidRPr="00096B44">
        <w:rPr>
          <w:rFonts w:ascii="Times New Roman" w:hAnsi="Times New Roman"/>
        </w:rPr>
        <w:t xml:space="preserve"> koji zahtjevaju </w:t>
      </w:r>
      <w:r>
        <w:rPr>
          <w:rFonts w:ascii="Times New Roman" w:hAnsi="Times New Roman"/>
        </w:rPr>
        <w:t>učinkovitiji</w:t>
      </w:r>
      <w:r w:rsidR="00096B44" w:rsidRPr="00096B44">
        <w:rPr>
          <w:rFonts w:ascii="Times New Roman" w:hAnsi="Times New Roman"/>
          <w:lang w:val="bs-Latn-BA"/>
        </w:rPr>
        <w:t xml:space="preserve"> </w:t>
      </w:r>
      <w:r w:rsidR="00096B44" w:rsidRPr="00096B44">
        <w:rPr>
          <w:rFonts w:ascii="Times New Roman" w:hAnsi="Times New Roman"/>
        </w:rPr>
        <w:t>javnozdravstveni nadzor</w:t>
      </w:r>
      <w:r w:rsidR="00096B44" w:rsidRPr="00096B44">
        <w:rPr>
          <w:rFonts w:ascii="Times New Roman" w:hAnsi="Times New Roman"/>
          <w:lang w:val="bs-Latn-BA"/>
        </w:rPr>
        <w:t xml:space="preserve">. </w:t>
      </w:r>
    </w:p>
    <w:p w:rsidR="00096B44" w:rsidRPr="00096B44" w:rsidRDefault="00096B44" w:rsidP="00096B44">
      <w:pPr>
        <w:rPr>
          <w:rFonts w:ascii="Times New Roman" w:hAnsi="Times New Roman"/>
          <w:lang w:val="bs-Latn-BA"/>
        </w:rPr>
      </w:pPr>
    </w:p>
    <w:p w:rsidR="00096B44" w:rsidRPr="00096B44" w:rsidRDefault="00096B44" w:rsidP="00096B44">
      <w:pPr>
        <w:numPr>
          <w:ilvl w:val="0"/>
          <w:numId w:val="21"/>
        </w:numPr>
        <w:contextualSpacing/>
        <w:rPr>
          <w:rFonts w:ascii="Times New Roman" w:hAnsi="Times New Roman"/>
          <w:iCs/>
        </w:rPr>
      </w:pPr>
      <w:r w:rsidRPr="00096B44">
        <w:rPr>
          <w:rFonts w:ascii="Times New Roman" w:hAnsi="Times New Roman"/>
          <w:iCs/>
        </w:rPr>
        <w:t xml:space="preserve">Mjerenja </w:t>
      </w:r>
      <w:r w:rsidR="00392609">
        <w:rPr>
          <w:rFonts w:ascii="Times New Roman" w:hAnsi="Times New Roman"/>
          <w:iCs/>
        </w:rPr>
        <w:t>onečišćenja zraka</w:t>
      </w:r>
      <w:r w:rsidRPr="00096B44">
        <w:rPr>
          <w:rFonts w:ascii="Times New Roman" w:hAnsi="Times New Roman"/>
          <w:iCs/>
        </w:rPr>
        <w:t xml:space="preserve"> t</w:t>
      </w:r>
      <w:r w:rsidR="00392609">
        <w:rPr>
          <w:rFonts w:ascii="Times New Roman" w:hAnsi="Times New Roman"/>
          <w:iCs/>
        </w:rPr>
        <w:t>ije</w:t>
      </w:r>
      <w:r w:rsidRPr="00096B44">
        <w:rPr>
          <w:rFonts w:ascii="Times New Roman" w:hAnsi="Times New Roman"/>
          <w:iCs/>
        </w:rPr>
        <w:t>kom 2015. godine su pokazal</w:t>
      </w:r>
      <w:r w:rsidR="00392609">
        <w:rPr>
          <w:rFonts w:ascii="Times New Roman" w:hAnsi="Times New Roman"/>
          <w:iCs/>
        </w:rPr>
        <w:t>a</w:t>
      </w:r>
      <w:r w:rsidRPr="00096B44">
        <w:rPr>
          <w:rFonts w:ascii="Times New Roman" w:hAnsi="Times New Roman"/>
          <w:iCs/>
        </w:rPr>
        <w:t xml:space="preserve"> najveće </w:t>
      </w:r>
      <w:r w:rsidR="00392609">
        <w:rPr>
          <w:rFonts w:ascii="Times New Roman" w:hAnsi="Times New Roman"/>
          <w:iCs/>
        </w:rPr>
        <w:t>onečišćenje</w:t>
      </w:r>
      <w:r w:rsidRPr="00096B44">
        <w:rPr>
          <w:rFonts w:ascii="Times New Roman" w:hAnsi="Times New Roman"/>
          <w:iCs/>
        </w:rPr>
        <w:t xml:space="preserve"> t</w:t>
      </w:r>
      <w:r w:rsidR="00392609">
        <w:rPr>
          <w:rFonts w:ascii="Times New Roman" w:hAnsi="Times New Roman"/>
          <w:iCs/>
        </w:rPr>
        <w:t>ije</w:t>
      </w:r>
      <w:r w:rsidRPr="00096B44">
        <w:rPr>
          <w:rFonts w:ascii="Times New Roman" w:hAnsi="Times New Roman"/>
          <w:iCs/>
        </w:rPr>
        <w:t xml:space="preserve">kom </w:t>
      </w:r>
      <w:r w:rsidR="00392609">
        <w:rPr>
          <w:rFonts w:ascii="Times New Roman" w:hAnsi="Times New Roman"/>
          <w:iCs/>
        </w:rPr>
        <w:t>studenog</w:t>
      </w:r>
      <w:r w:rsidRPr="00096B44">
        <w:rPr>
          <w:rFonts w:ascii="Times New Roman" w:hAnsi="Times New Roman"/>
          <w:iCs/>
        </w:rPr>
        <w:t xml:space="preserve"> i </w:t>
      </w:r>
      <w:r w:rsidR="00392609">
        <w:rPr>
          <w:rFonts w:ascii="Times New Roman" w:hAnsi="Times New Roman"/>
          <w:iCs/>
        </w:rPr>
        <w:t>prosinca</w:t>
      </w:r>
      <w:r w:rsidRPr="00096B44">
        <w:rPr>
          <w:rFonts w:ascii="Times New Roman" w:hAnsi="Times New Roman"/>
          <w:iCs/>
        </w:rPr>
        <w:t xml:space="preserve"> registr</w:t>
      </w:r>
      <w:r w:rsidR="00392609">
        <w:rPr>
          <w:rFonts w:ascii="Times New Roman" w:hAnsi="Times New Roman"/>
          <w:iCs/>
        </w:rPr>
        <w:t>irano</w:t>
      </w:r>
      <w:r w:rsidRPr="00096B44">
        <w:rPr>
          <w:rFonts w:ascii="Times New Roman" w:hAnsi="Times New Roman"/>
          <w:iCs/>
        </w:rPr>
        <w:t xml:space="preserve"> u Sarajevu, Zenici i Tuzli. </w:t>
      </w:r>
      <w:r w:rsidRPr="00096B44">
        <w:rPr>
          <w:rFonts w:ascii="Times New Roman" w:hAnsi="Times New Roman"/>
        </w:rPr>
        <w:t>Ne postoji monitoring kvaliteta zraka unut</w:t>
      </w:r>
      <w:r w:rsidR="00392609">
        <w:rPr>
          <w:rFonts w:ascii="Times New Roman" w:hAnsi="Times New Roman"/>
        </w:rPr>
        <w:t>a</w:t>
      </w:r>
      <w:r w:rsidRPr="00096B44">
        <w:rPr>
          <w:rFonts w:ascii="Times New Roman" w:hAnsi="Times New Roman"/>
        </w:rPr>
        <w:t xml:space="preserve">rnjeg prostora. </w:t>
      </w:r>
    </w:p>
    <w:p w:rsidR="00096B44" w:rsidRPr="00096B44" w:rsidRDefault="00096B44" w:rsidP="00096B44">
      <w:pPr>
        <w:rPr>
          <w:rFonts w:ascii="Times New Roman" w:hAnsi="Times New Roman"/>
        </w:rPr>
      </w:pPr>
    </w:p>
    <w:p w:rsidR="00096B44" w:rsidRPr="00096B44" w:rsidRDefault="00096B44" w:rsidP="00096B44">
      <w:pPr>
        <w:numPr>
          <w:ilvl w:val="0"/>
          <w:numId w:val="21"/>
        </w:numPr>
        <w:contextualSpacing/>
        <w:rPr>
          <w:rFonts w:ascii="Times New Roman" w:hAnsi="Times New Roman"/>
        </w:rPr>
      </w:pPr>
      <w:r w:rsidRPr="00096B44">
        <w:rPr>
          <w:rFonts w:ascii="Times New Roman" w:hAnsi="Times New Roman"/>
        </w:rPr>
        <w:t xml:space="preserve">Nepropisno uklanjanje opasnih otpadnih materija, naročito industrijskog i medicinskog otpada, još uvijek predstavlja jednu od najozbiljnijih prijetnji zdravlju stanovništva, pri čemu se na  komunalnim </w:t>
      </w:r>
      <w:r w:rsidR="00392609">
        <w:rPr>
          <w:rFonts w:ascii="Times New Roman" w:hAnsi="Times New Roman"/>
        </w:rPr>
        <w:t>odlagalištima otpada</w:t>
      </w:r>
      <w:r w:rsidRPr="00096B44">
        <w:rPr>
          <w:rFonts w:ascii="Times New Roman" w:hAnsi="Times New Roman"/>
        </w:rPr>
        <w:t xml:space="preserve"> još uvijek odlaže značajan udio potencijalno infektivnog, </w:t>
      </w:r>
      <w:r w:rsidR="00392609">
        <w:rPr>
          <w:rFonts w:ascii="Times New Roman" w:hAnsi="Times New Roman"/>
        </w:rPr>
        <w:t>k</w:t>
      </w:r>
      <w:r w:rsidRPr="00096B44">
        <w:rPr>
          <w:rFonts w:ascii="Times New Roman" w:hAnsi="Times New Roman"/>
        </w:rPr>
        <w:t xml:space="preserve">emijskog i farmaceutskog otpada iz zdravstvenih ustanova. Također, još uvijek se bilježi problem uljevanja tečnih otpadnih </w:t>
      </w:r>
      <w:r w:rsidR="00392609">
        <w:rPr>
          <w:rFonts w:ascii="Times New Roman" w:hAnsi="Times New Roman"/>
        </w:rPr>
        <w:t>tvari</w:t>
      </w:r>
      <w:r w:rsidRPr="00096B44">
        <w:rPr>
          <w:rFonts w:ascii="Times New Roman" w:hAnsi="Times New Roman"/>
        </w:rPr>
        <w:t xml:space="preserve"> u vodotoke bez prethodnog prečišćavanja.</w:t>
      </w:r>
    </w:p>
    <w:p w:rsidR="00096B44" w:rsidRPr="00096B44" w:rsidRDefault="00096B44" w:rsidP="00096B44">
      <w:pPr>
        <w:ind w:left="720"/>
        <w:contextualSpacing/>
        <w:rPr>
          <w:rFonts w:ascii="Times New Roman" w:hAnsi="Times New Roman"/>
        </w:rPr>
      </w:pPr>
    </w:p>
    <w:p w:rsidR="00096B44" w:rsidRPr="00096B44" w:rsidRDefault="00096B44" w:rsidP="00096B44">
      <w:pPr>
        <w:numPr>
          <w:ilvl w:val="0"/>
          <w:numId w:val="21"/>
        </w:numPr>
        <w:tabs>
          <w:tab w:val="left" w:pos="550"/>
        </w:tabs>
        <w:spacing w:before="120" w:line="276" w:lineRule="auto"/>
        <w:rPr>
          <w:rFonts w:ascii="Times New Roman" w:hAnsi="Times New Roman"/>
          <w:i/>
          <w:noProof/>
          <w:lang w:val="hr-HR" w:eastAsia="de-DE"/>
        </w:rPr>
      </w:pPr>
      <w:r w:rsidRPr="00096B44">
        <w:rPr>
          <w:rFonts w:ascii="Times New Roman" w:hAnsi="Times New Roman"/>
          <w:noProof/>
          <w:lang w:val="hr-HR" w:eastAsia="de-DE"/>
        </w:rPr>
        <w:t xml:space="preserve">   Bilježi se trend porasta </w:t>
      </w:r>
      <w:r w:rsidR="00392609">
        <w:rPr>
          <w:rFonts w:ascii="Times New Roman" w:hAnsi="Times New Roman"/>
          <w:noProof/>
          <w:lang w:val="hr-HR" w:eastAsia="de-DE"/>
        </w:rPr>
        <w:t>prometnih</w:t>
      </w:r>
      <w:r w:rsidRPr="00096B44">
        <w:rPr>
          <w:rFonts w:ascii="Times New Roman" w:hAnsi="Times New Roman"/>
          <w:noProof/>
          <w:lang w:val="hr-HR" w:eastAsia="de-DE"/>
        </w:rPr>
        <w:t xml:space="preserve"> nezgoda u Federaciji BiH u odnosu na prethodne godine, s trendom smanjenja broja poginulih osoba a porast broja ozlijeđenih osoba u </w:t>
      </w:r>
      <w:r w:rsidR="00392609">
        <w:rPr>
          <w:rFonts w:ascii="Times New Roman" w:hAnsi="Times New Roman"/>
          <w:noProof/>
          <w:lang w:val="hr-HR" w:eastAsia="de-DE"/>
        </w:rPr>
        <w:t xml:space="preserve">prometnim </w:t>
      </w:r>
      <w:r w:rsidRPr="00096B44">
        <w:rPr>
          <w:rFonts w:ascii="Times New Roman" w:hAnsi="Times New Roman"/>
          <w:noProof/>
          <w:lang w:val="hr-HR" w:eastAsia="de-DE"/>
        </w:rPr>
        <w:t xml:space="preserve">nezgodama. </w:t>
      </w:r>
    </w:p>
    <w:p w:rsidR="00096B44" w:rsidRPr="00096B44" w:rsidRDefault="00096B44" w:rsidP="00096B44">
      <w:pPr>
        <w:ind w:left="360"/>
        <w:rPr>
          <w:rFonts w:ascii="Times New Roman" w:hAnsi="Times New Roman"/>
        </w:rPr>
      </w:pPr>
    </w:p>
    <w:p w:rsidR="00096B44" w:rsidRPr="00096B44" w:rsidRDefault="00096B44" w:rsidP="00096B44">
      <w:pPr>
        <w:autoSpaceDE w:val="0"/>
        <w:autoSpaceDN w:val="0"/>
        <w:adjustRightInd w:val="0"/>
        <w:spacing w:line="276" w:lineRule="auto"/>
        <w:rPr>
          <w:rFonts w:ascii="Times New Roman" w:eastAsia="Calibri" w:hAnsi="Times New Roman"/>
          <w:b/>
          <w:lang w:val="bs-Latn-BA"/>
        </w:rPr>
      </w:pPr>
    </w:p>
    <w:p w:rsidR="00096B44" w:rsidRPr="00096B44" w:rsidRDefault="00096B44" w:rsidP="00096B44">
      <w:pPr>
        <w:autoSpaceDE w:val="0"/>
        <w:autoSpaceDN w:val="0"/>
        <w:adjustRightInd w:val="0"/>
        <w:spacing w:line="276" w:lineRule="auto"/>
        <w:rPr>
          <w:rFonts w:ascii="Times New Roman" w:eastAsia="Calibri" w:hAnsi="Times New Roman"/>
          <w:b/>
          <w:lang w:val="bs-Latn-BA"/>
        </w:rPr>
      </w:pPr>
      <w:r w:rsidRPr="00096B44">
        <w:rPr>
          <w:rFonts w:ascii="Times New Roman" w:eastAsia="Calibri" w:hAnsi="Times New Roman"/>
          <w:b/>
          <w:lang w:val="bs-Latn-BA"/>
        </w:rPr>
        <w:t xml:space="preserve">Organizacija zdravstvene zaštite </w:t>
      </w:r>
    </w:p>
    <w:p w:rsidR="00096B44" w:rsidRPr="00096B44" w:rsidRDefault="00096B44" w:rsidP="00096B44">
      <w:pPr>
        <w:autoSpaceDE w:val="0"/>
        <w:autoSpaceDN w:val="0"/>
        <w:adjustRightInd w:val="0"/>
        <w:spacing w:line="276" w:lineRule="auto"/>
        <w:rPr>
          <w:rFonts w:ascii="Times New Roman" w:eastAsia="Calibri" w:hAnsi="Times New Roman"/>
          <w:lang w:val="bs-Latn-BA"/>
        </w:rPr>
      </w:pPr>
    </w:p>
    <w:p w:rsidR="00096B44" w:rsidRPr="00096B44" w:rsidRDefault="00096B44" w:rsidP="00096B44">
      <w:pPr>
        <w:numPr>
          <w:ilvl w:val="0"/>
          <w:numId w:val="22"/>
        </w:numPr>
        <w:autoSpaceDE w:val="0"/>
        <w:autoSpaceDN w:val="0"/>
        <w:adjustRightInd w:val="0"/>
        <w:rPr>
          <w:rFonts w:ascii="Times New Roman" w:eastAsia="Calibri" w:hAnsi="Times New Roman"/>
          <w:lang w:val="bs-Latn-BA"/>
        </w:rPr>
      </w:pPr>
      <w:r w:rsidRPr="00096B44">
        <w:rPr>
          <w:rFonts w:ascii="Times New Roman" w:eastAsia="Calibri" w:hAnsi="Times New Roman"/>
          <w:lang w:val="bs-Latn-BA"/>
        </w:rPr>
        <w:t>Bilježi</w:t>
      </w:r>
      <w:r w:rsidR="000F37BF">
        <w:rPr>
          <w:rFonts w:ascii="Times New Roman" w:eastAsia="Calibri" w:hAnsi="Times New Roman"/>
          <w:lang w:val="bs-Latn-BA"/>
        </w:rPr>
        <w:t xml:space="preserve"> se povećanje broja ukupno </w:t>
      </w:r>
      <w:r w:rsidR="00392609">
        <w:rPr>
          <w:rFonts w:ascii="Times New Roman" w:eastAsia="Calibri" w:hAnsi="Times New Roman"/>
          <w:lang w:val="bs-Latn-BA"/>
        </w:rPr>
        <w:t>u</w:t>
      </w:r>
      <w:r w:rsidR="000F37BF">
        <w:rPr>
          <w:rFonts w:ascii="Times New Roman" w:eastAsia="Calibri" w:hAnsi="Times New Roman"/>
          <w:lang w:val="bs-Latn-BA"/>
        </w:rPr>
        <w:t>poslenih</w:t>
      </w:r>
      <w:r w:rsidRPr="00096B44">
        <w:rPr>
          <w:rFonts w:ascii="Times New Roman" w:eastAsia="Calibri" w:hAnsi="Times New Roman"/>
          <w:lang w:val="bs-Latn-BA"/>
        </w:rPr>
        <w:t xml:space="preserve"> u zdravstvenim ustanovama u javnom sektoru u Federaciji BiH u odnosu na prethodne godine. Skoro tri četvrtine </w:t>
      </w:r>
      <w:r w:rsidR="00392609">
        <w:rPr>
          <w:rFonts w:ascii="Times New Roman" w:eastAsia="Calibri" w:hAnsi="Times New Roman"/>
          <w:lang w:val="bs-Latn-BA"/>
        </w:rPr>
        <w:t>u</w:t>
      </w:r>
      <w:r w:rsidRPr="00096B44">
        <w:rPr>
          <w:rFonts w:ascii="Times New Roman" w:eastAsia="Calibri" w:hAnsi="Times New Roman"/>
          <w:lang w:val="bs-Latn-BA"/>
        </w:rPr>
        <w:t>poslenih pr</w:t>
      </w:r>
      <w:r w:rsidR="000F37BF">
        <w:rPr>
          <w:rFonts w:ascii="Times New Roman" w:eastAsia="Calibri" w:hAnsi="Times New Roman"/>
          <w:lang w:val="bs-Latn-BA"/>
        </w:rPr>
        <w:t xml:space="preserve">edstavljaju zdravstveni </w:t>
      </w:r>
      <w:r w:rsidR="00392609">
        <w:rPr>
          <w:rFonts w:ascii="Times New Roman" w:eastAsia="Calibri" w:hAnsi="Times New Roman"/>
          <w:lang w:val="bs-Latn-BA"/>
        </w:rPr>
        <w:t>djelatnici</w:t>
      </w:r>
      <w:r w:rsidRPr="00096B44">
        <w:rPr>
          <w:rFonts w:ascii="Times New Roman" w:eastAsia="Calibri" w:hAnsi="Times New Roman"/>
          <w:lang w:val="bs-Latn-BA"/>
        </w:rPr>
        <w:t>, 1,5% čine zdravstveni s</w:t>
      </w:r>
      <w:r w:rsidR="00392609">
        <w:rPr>
          <w:rFonts w:ascii="Times New Roman" w:eastAsia="Calibri" w:hAnsi="Times New Roman"/>
          <w:lang w:val="bs-Latn-BA"/>
        </w:rPr>
        <w:t>u</w:t>
      </w:r>
      <w:r w:rsidRPr="00096B44">
        <w:rPr>
          <w:rFonts w:ascii="Times New Roman" w:eastAsia="Calibri" w:hAnsi="Times New Roman"/>
          <w:lang w:val="bs-Latn-BA"/>
        </w:rPr>
        <w:t>radnici</w:t>
      </w:r>
      <w:r w:rsidR="000F37BF">
        <w:rPr>
          <w:rFonts w:ascii="Times New Roman" w:eastAsia="Calibri" w:hAnsi="Times New Roman"/>
          <w:lang w:val="bs-Latn-BA"/>
        </w:rPr>
        <w:t>,</w:t>
      </w:r>
      <w:r w:rsidRPr="00096B44">
        <w:rPr>
          <w:rFonts w:ascii="Times New Roman" w:eastAsia="Calibri" w:hAnsi="Times New Roman"/>
          <w:lang w:val="bs-Latn-BA"/>
        </w:rPr>
        <w:t xml:space="preserve"> a preko</w:t>
      </w:r>
      <w:r w:rsidR="000F37BF">
        <w:rPr>
          <w:rFonts w:ascii="Times New Roman" w:eastAsia="Calibri" w:hAnsi="Times New Roman"/>
          <w:lang w:val="bs-Latn-BA"/>
        </w:rPr>
        <w:t xml:space="preserve"> četvrtine</w:t>
      </w:r>
      <w:r w:rsidRPr="00096B44">
        <w:rPr>
          <w:rFonts w:ascii="Times New Roman" w:eastAsia="Calibri" w:hAnsi="Times New Roman"/>
          <w:lang w:val="bs-Latn-BA"/>
        </w:rPr>
        <w:t xml:space="preserve"> admninistrativno-tehničko osoblje. </w:t>
      </w:r>
    </w:p>
    <w:p w:rsidR="00096B44" w:rsidRPr="00096B44" w:rsidRDefault="00096B44" w:rsidP="00096B44">
      <w:pPr>
        <w:rPr>
          <w:rFonts w:ascii="Times New Roman" w:hAnsi="Times New Roman"/>
        </w:rPr>
      </w:pPr>
    </w:p>
    <w:p w:rsidR="00096B44" w:rsidRPr="00096B44" w:rsidRDefault="00096B44" w:rsidP="00096B44">
      <w:pPr>
        <w:numPr>
          <w:ilvl w:val="0"/>
          <w:numId w:val="22"/>
        </w:numPr>
        <w:contextualSpacing/>
        <w:rPr>
          <w:rFonts w:ascii="Times New Roman" w:hAnsi="Times New Roman"/>
        </w:rPr>
      </w:pPr>
      <w:r w:rsidRPr="00096B44">
        <w:rPr>
          <w:rFonts w:ascii="Times New Roman" w:hAnsi="Times New Roman"/>
        </w:rPr>
        <w:t>Starosna struktura doktora medicine u FBiH je nepovoljna,</w:t>
      </w:r>
      <w:r w:rsidR="000F37BF">
        <w:rPr>
          <w:rFonts w:ascii="Times New Roman" w:hAnsi="Times New Roman"/>
        </w:rPr>
        <w:t xml:space="preserve"> pri čemu je preko polovine </w:t>
      </w:r>
      <w:r w:rsidRPr="00096B44">
        <w:rPr>
          <w:rFonts w:ascii="Times New Roman" w:hAnsi="Times New Roman"/>
        </w:rPr>
        <w:t xml:space="preserve"> ukupnih  doktora medicine starosti 45-54 i 55 i više godina. Povećani udio doktora</w:t>
      </w:r>
      <w:r w:rsidR="000F37BF">
        <w:rPr>
          <w:rFonts w:ascii="Times New Roman" w:hAnsi="Times New Roman"/>
        </w:rPr>
        <w:t xml:space="preserve"> medicine starosti preko 55 godina</w:t>
      </w:r>
      <w:r w:rsidRPr="00096B44">
        <w:rPr>
          <w:rFonts w:ascii="Times New Roman" w:hAnsi="Times New Roman"/>
        </w:rPr>
        <w:t xml:space="preserve"> posebno se bilježi među specijalistima medicine rada, r</w:t>
      </w:r>
      <w:r w:rsidR="000F37BF">
        <w:rPr>
          <w:rFonts w:ascii="Times New Roman" w:hAnsi="Times New Roman"/>
        </w:rPr>
        <w:t>adiologije,  pneumoftiziologije</w:t>
      </w:r>
      <w:r w:rsidRPr="00096B44">
        <w:rPr>
          <w:rFonts w:ascii="Times New Roman" w:hAnsi="Times New Roman"/>
        </w:rPr>
        <w:t>, pedijatrije i obiteljske medicine.</w:t>
      </w:r>
    </w:p>
    <w:p w:rsidR="00096B44" w:rsidRPr="00096B44" w:rsidRDefault="00096B44" w:rsidP="00096B44">
      <w:pPr>
        <w:autoSpaceDE w:val="0"/>
        <w:autoSpaceDN w:val="0"/>
        <w:adjustRightInd w:val="0"/>
        <w:rPr>
          <w:rFonts w:ascii="Times New Roman" w:eastAsia="Calibri" w:hAnsi="Times New Roman"/>
          <w:lang w:val="bs-Latn-BA"/>
        </w:rPr>
      </w:pPr>
    </w:p>
    <w:p w:rsidR="00096B44" w:rsidRPr="00096B44" w:rsidRDefault="00096B44" w:rsidP="00096B44">
      <w:pPr>
        <w:numPr>
          <w:ilvl w:val="0"/>
          <w:numId w:val="22"/>
        </w:numPr>
        <w:autoSpaceDE w:val="0"/>
        <w:autoSpaceDN w:val="0"/>
        <w:adjustRightInd w:val="0"/>
        <w:rPr>
          <w:rFonts w:ascii="Times New Roman" w:eastAsia="Calibri" w:hAnsi="Times New Roman"/>
          <w:lang w:val="bs-Latn-BA"/>
        </w:rPr>
      </w:pPr>
      <w:r w:rsidRPr="00096B44">
        <w:rPr>
          <w:rFonts w:ascii="Times New Roman" w:eastAsia="Calibri" w:hAnsi="Times New Roman"/>
          <w:lang w:val="bs-Latn-BA"/>
        </w:rPr>
        <w:t>Iako je reforma s</w:t>
      </w:r>
      <w:r w:rsidR="00392609">
        <w:rPr>
          <w:rFonts w:ascii="Times New Roman" w:eastAsia="Calibri" w:hAnsi="Times New Roman"/>
          <w:lang w:val="bs-Latn-BA"/>
        </w:rPr>
        <w:t>ustava</w:t>
      </w:r>
      <w:r w:rsidRPr="00096B44">
        <w:rPr>
          <w:rFonts w:ascii="Times New Roman" w:eastAsia="Calibri" w:hAnsi="Times New Roman"/>
          <w:lang w:val="bs-Latn-BA"/>
        </w:rPr>
        <w:t xml:space="preserve"> zdravstva u Federaciji BiH bazirana na jačanju primarne zdravstvene zaštite poda</w:t>
      </w:r>
      <w:r w:rsidR="00392609">
        <w:rPr>
          <w:rFonts w:ascii="Times New Roman" w:eastAsia="Calibri" w:hAnsi="Times New Roman"/>
          <w:lang w:val="bs-Latn-BA"/>
        </w:rPr>
        <w:t>t</w:t>
      </w:r>
      <w:r w:rsidRPr="00096B44">
        <w:rPr>
          <w:rFonts w:ascii="Times New Roman" w:eastAsia="Calibri" w:hAnsi="Times New Roman"/>
          <w:lang w:val="bs-Latn-BA"/>
        </w:rPr>
        <w:t xml:space="preserve">ci ukazuju na još uvijek prisutne razlike u dostupnosti stanovništvu po kantonima Federacije BiH, što se odnosi i na stomatološku zaštitu. </w:t>
      </w:r>
    </w:p>
    <w:p w:rsidR="00096B44" w:rsidRPr="00096B44" w:rsidRDefault="00096B44" w:rsidP="00096B44">
      <w:pPr>
        <w:autoSpaceDE w:val="0"/>
        <w:autoSpaceDN w:val="0"/>
        <w:adjustRightInd w:val="0"/>
        <w:rPr>
          <w:rFonts w:ascii="Times New Roman" w:eastAsia="Calibri" w:hAnsi="Times New Roman"/>
          <w:lang w:val="bs-Latn-BA"/>
        </w:rPr>
      </w:pPr>
    </w:p>
    <w:p w:rsidR="00096B44" w:rsidRPr="00096B44" w:rsidRDefault="00096B44" w:rsidP="00096B44">
      <w:pPr>
        <w:numPr>
          <w:ilvl w:val="0"/>
          <w:numId w:val="22"/>
        </w:numPr>
        <w:autoSpaceDE w:val="0"/>
        <w:autoSpaceDN w:val="0"/>
        <w:adjustRightInd w:val="0"/>
        <w:rPr>
          <w:rFonts w:ascii="Times New Roman" w:eastAsia="Calibri" w:hAnsi="Times New Roman"/>
          <w:lang w:val="bs-Latn-BA"/>
        </w:rPr>
      </w:pPr>
      <w:r w:rsidRPr="00096B44">
        <w:rPr>
          <w:rFonts w:ascii="Times New Roman" w:eastAsia="Calibri" w:hAnsi="Times New Roman"/>
          <w:lang w:val="bs-Latn-BA"/>
        </w:rPr>
        <w:t xml:space="preserve">Suprotno strateškim opredjeljenjima, prema kojima se oko 80% svih zahtjeva za zdravstvenom zaštitom treba zadovoljiti na </w:t>
      </w:r>
      <w:r w:rsidR="00392609">
        <w:rPr>
          <w:rFonts w:ascii="Times New Roman" w:eastAsia="Calibri" w:hAnsi="Times New Roman"/>
          <w:lang w:val="bs-Latn-BA"/>
        </w:rPr>
        <w:t>razini</w:t>
      </w:r>
      <w:r w:rsidRPr="00096B44">
        <w:rPr>
          <w:rFonts w:ascii="Times New Roman" w:eastAsia="Calibri" w:hAnsi="Times New Roman"/>
          <w:lang w:val="bs-Latn-BA"/>
        </w:rPr>
        <w:t xml:space="preserve"> PZZ, u razdoblju 2010.-2015. godine zabilježeno je povećano upućivanje specijalistima. </w:t>
      </w:r>
    </w:p>
    <w:p w:rsidR="00096B44" w:rsidRPr="00096B44" w:rsidRDefault="00096B44" w:rsidP="00096B44">
      <w:pPr>
        <w:autoSpaceDE w:val="0"/>
        <w:autoSpaceDN w:val="0"/>
        <w:adjustRightInd w:val="0"/>
        <w:rPr>
          <w:rFonts w:ascii="Times New Roman" w:eastAsia="Calibri" w:hAnsi="Times New Roman"/>
          <w:lang w:val="bs-Latn-BA"/>
        </w:rPr>
      </w:pPr>
    </w:p>
    <w:p w:rsidR="00096B44" w:rsidRPr="00096B44" w:rsidRDefault="00096B44" w:rsidP="00096B44">
      <w:pPr>
        <w:numPr>
          <w:ilvl w:val="0"/>
          <w:numId w:val="22"/>
        </w:numPr>
        <w:autoSpaceDE w:val="0"/>
        <w:autoSpaceDN w:val="0"/>
        <w:adjustRightInd w:val="0"/>
        <w:rPr>
          <w:rFonts w:ascii="Times New Roman" w:eastAsia="Calibri" w:hAnsi="Times New Roman"/>
          <w:lang w:val="bs-Latn-BA"/>
        </w:rPr>
      </w:pPr>
      <w:r w:rsidRPr="00096B44">
        <w:rPr>
          <w:rFonts w:ascii="Times New Roman" w:eastAsia="Calibri" w:hAnsi="Times New Roman"/>
          <w:lang w:val="bs-Latn-BA"/>
        </w:rPr>
        <w:t>Evidentna je nedovoljna iskorištenost bolničkih kapaciteta, što ukazuje na potrebu njihove racionalizacije. Prosječna zauzetost postelja i dužina ležanja u bolnici u Federaciji BiH je u 2015. godini smanjena u odnosu na pre</w:t>
      </w:r>
      <w:r w:rsidR="00392609">
        <w:rPr>
          <w:rFonts w:ascii="Times New Roman" w:eastAsia="Calibri" w:hAnsi="Times New Roman"/>
          <w:lang w:val="bs-Latn-BA"/>
        </w:rPr>
        <w:t>t</w:t>
      </w:r>
      <w:r w:rsidRPr="00096B44">
        <w:rPr>
          <w:rFonts w:ascii="Times New Roman" w:eastAsia="Calibri" w:hAnsi="Times New Roman"/>
          <w:lang w:val="bs-Latn-BA"/>
        </w:rPr>
        <w:t>hodne godine.</w:t>
      </w:r>
    </w:p>
    <w:p w:rsidR="00096B44" w:rsidRPr="00096B44" w:rsidRDefault="00096B44" w:rsidP="00096B44">
      <w:pPr>
        <w:autoSpaceDE w:val="0"/>
        <w:autoSpaceDN w:val="0"/>
        <w:adjustRightInd w:val="0"/>
        <w:rPr>
          <w:rFonts w:ascii="Times New Roman" w:eastAsia="Calibri" w:hAnsi="Times New Roman"/>
          <w:lang w:val="bs-Latn-BA"/>
        </w:rPr>
      </w:pPr>
    </w:p>
    <w:p w:rsidR="00096B44" w:rsidRDefault="00096B44" w:rsidP="00096B44">
      <w:pPr>
        <w:numPr>
          <w:ilvl w:val="0"/>
          <w:numId w:val="22"/>
        </w:numPr>
        <w:autoSpaceDE w:val="0"/>
        <w:autoSpaceDN w:val="0"/>
        <w:adjustRightInd w:val="0"/>
        <w:rPr>
          <w:rFonts w:ascii="Times New Roman" w:eastAsia="Calibri" w:hAnsi="Times New Roman"/>
          <w:lang w:val="bs-Latn-BA"/>
        </w:rPr>
      </w:pPr>
      <w:r w:rsidRPr="00096B44">
        <w:rPr>
          <w:rFonts w:ascii="Times New Roman" w:eastAsia="Calibri" w:hAnsi="Times New Roman"/>
          <w:lang w:val="bs-Latn-BA"/>
        </w:rPr>
        <w:t xml:space="preserve">Nepostojanje sveobuhvatnih podataka iz privatnog sektora onemogućava potpuni uvid u zdravstveno stanje stanovništva i organizaciju zdravstvene zaštite u Federaciji BiH. </w:t>
      </w:r>
    </w:p>
    <w:p w:rsidR="008D72AE" w:rsidRDefault="008D72AE" w:rsidP="008D72AE">
      <w:pPr>
        <w:pStyle w:val="ListParagraph"/>
        <w:rPr>
          <w:rFonts w:ascii="Times New Roman" w:eastAsia="Calibri" w:hAnsi="Times New Roman"/>
          <w:lang w:val="bs-Latn-BA"/>
        </w:rPr>
      </w:pPr>
    </w:p>
    <w:p w:rsidR="008D72AE" w:rsidRPr="00096B44" w:rsidRDefault="008D72AE" w:rsidP="008D72AE">
      <w:pPr>
        <w:autoSpaceDE w:val="0"/>
        <w:autoSpaceDN w:val="0"/>
        <w:adjustRightInd w:val="0"/>
        <w:ind w:left="720"/>
        <w:rPr>
          <w:rFonts w:ascii="Times New Roman" w:eastAsia="Calibri" w:hAnsi="Times New Roman"/>
          <w:lang w:val="bs-Latn-BA"/>
        </w:rPr>
      </w:pPr>
    </w:p>
    <w:p w:rsidR="0082015E" w:rsidRDefault="0082015E" w:rsidP="0082015E">
      <w:pPr>
        <w:pStyle w:val="Poglavlje1"/>
      </w:pPr>
      <w:bookmarkStart w:id="353" w:name="_Toc456095943"/>
      <w:r>
        <w:lastRenderedPageBreak/>
        <w:t>PREPORUKE</w:t>
      </w:r>
      <w:bookmarkEnd w:id="353"/>
    </w:p>
    <w:p w:rsidR="00096B44" w:rsidRPr="008D72AE" w:rsidRDefault="00392609" w:rsidP="008D72AE">
      <w:pPr>
        <w:rPr>
          <w:rFonts w:ascii="Times New Roman" w:hAnsi="Times New Roman"/>
        </w:rPr>
      </w:pPr>
      <w:bookmarkStart w:id="354" w:name="_Toc456095688"/>
      <w:bookmarkStart w:id="355" w:name="_Toc456095753"/>
      <w:r>
        <w:rPr>
          <w:rFonts w:ascii="Times New Roman" w:hAnsi="Times New Roman"/>
        </w:rPr>
        <w:t>S</w:t>
      </w:r>
      <w:r w:rsidR="00096B44" w:rsidRPr="008D72AE">
        <w:rPr>
          <w:rFonts w:ascii="Times New Roman" w:hAnsi="Times New Roman"/>
        </w:rPr>
        <w:t xml:space="preserve"> ciljem unapređenja zdravlja stanovništva </w:t>
      </w:r>
      <w:r w:rsidR="00096B44" w:rsidRPr="008D72AE">
        <w:rPr>
          <w:rFonts w:ascii="Times New Roman" w:hAnsi="Times New Roman"/>
          <w:noProof/>
          <w:lang w:val="hr-HR" w:eastAsia="de-DE"/>
        </w:rPr>
        <w:t xml:space="preserve">i organizacije zdravstvene zaštite u Federaciji BiH neophodno je u budućem </w:t>
      </w:r>
      <w:r>
        <w:rPr>
          <w:rFonts w:ascii="Times New Roman" w:hAnsi="Times New Roman"/>
          <w:noProof/>
          <w:lang w:val="hr-HR" w:eastAsia="de-DE"/>
        </w:rPr>
        <w:t>razdoblju</w:t>
      </w:r>
      <w:r w:rsidR="00096B44" w:rsidRPr="008D72AE">
        <w:rPr>
          <w:rFonts w:ascii="Times New Roman" w:hAnsi="Times New Roman"/>
          <w:noProof/>
          <w:lang w:val="hr-HR" w:eastAsia="de-DE"/>
        </w:rPr>
        <w:t xml:space="preserve"> realizirati sljedeće intersektor</w:t>
      </w:r>
      <w:r>
        <w:rPr>
          <w:rFonts w:ascii="Times New Roman" w:hAnsi="Times New Roman"/>
          <w:noProof/>
          <w:lang w:val="hr-HR" w:eastAsia="de-DE"/>
        </w:rPr>
        <w:t>ske</w:t>
      </w:r>
      <w:r w:rsidR="00096B44" w:rsidRPr="008D72AE">
        <w:rPr>
          <w:rFonts w:ascii="Times New Roman" w:hAnsi="Times New Roman"/>
          <w:noProof/>
          <w:lang w:val="hr-HR" w:eastAsia="de-DE"/>
        </w:rPr>
        <w:t xml:space="preserve"> javno zdravstvene intervencije:</w:t>
      </w:r>
      <w:bookmarkEnd w:id="354"/>
      <w:bookmarkEnd w:id="355"/>
      <w:r w:rsidR="00096B44" w:rsidRPr="008D72AE">
        <w:rPr>
          <w:rFonts w:ascii="Times New Roman" w:hAnsi="Times New Roman"/>
          <w:noProof/>
          <w:lang w:val="hr-HR" w:eastAsia="de-DE"/>
        </w:rPr>
        <w:t xml:space="preserve"> </w:t>
      </w:r>
    </w:p>
    <w:p w:rsidR="00096B44" w:rsidRPr="00E44127" w:rsidRDefault="00096B44" w:rsidP="00096B44">
      <w:pPr>
        <w:pStyle w:val="TEKST"/>
        <w:rPr>
          <w:b/>
        </w:rPr>
      </w:pPr>
      <w:r w:rsidRPr="00E44127">
        <w:rPr>
          <w:b/>
        </w:rPr>
        <w:t xml:space="preserve">Demografija </w:t>
      </w:r>
    </w:p>
    <w:p w:rsidR="00096B44" w:rsidRPr="0082015E" w:rsidRDefault="00096B44" w:rsidP="00096B44">
      <w:pPr>
        <w:pStyle w:val="TEKST"/>
        <w:numPr>
          <w:ilvl w:val="0"/>
          <w:numId w:val="23"/>
        </w:numPr>
        <w:rPr>
          <w:i/>
        </w:rPr>
      </w:pPr>
      <w:r>
        <w:t xml:space="preserve">U suradnji zdravstvenog sektora, </w:t>
      </w:r>
      <w:r w:rsidRPr="0082015E">
        <w:t>sek</w:t>
      </w:r>
      <w:r>
        <w:t xml:space="preserve">tora za rad, socijalnu zaštitu i </w:t>
      </w:r>
      <w:r w:rsidRPr="0082015E">
        <w:t>sektor</w:t>
      </w:r>
      <w:r>
        <w:t>a finan</w:t>
      </w:r>
      <w:r w:rsidR="00392609">
        <w:t>c</w:t>
      </w:r>
      <w:r>
        <w:t xml:space="preserve">ija </w:t>
      </w:r>
      <w:r w:rsidRPr="0082015E">
        <w:t xml:space="preserve">neophodno je </w:t>
      </w:r>
      <w:r>
        <w:t>iniciranje izrade i</w:t>
      </w:r>
      <w:r w:rsidR="00C24C36">
        <w:t xml:space="preserve"> usvajanja dugoročne populaci</w:t>
      </w:r>
      <w:r w:rsidR="00392609">
        <w:t>jske</w:t>
      </w:r>
      <w:r>
        <w:t xml:space="preserve"> politike u Federaciji BiH. </w:t>
      </w:r>
    </w:p>
    <w:p w:rsidR="00096B44" w:rsidRDefault="00096B44" w:rsidP="00096B44">
      <w:pPr>
        <w:pStyle w:val="TEKST"/>
        <w:numPr>
          <w:ilvl w:val="0"/>
          <w:numId w:val="23"/>
        </w:numPr>
      </w:pPr>
      <w:r>
        <w:t>Neophodna je izrada i usvajanje politike i str</w:t>
      </w:r>
      <w:r w:rsidR="00392609">
        <w:t>a</w:t>
      </w:r>
      <w:r>
        <w:t xml:space="preserve">tegije unapređenja zdravlja i kvaliteta života starijih osoba, sa poromocijom širenja mreže centara za zdravo starenje u suradnji sa vladinim resornim ministarstvima, relevatnim međunarodnim organizacijama i lokalnom zajednicom.  </w:t>
      </w:r>
    </w:p>
    <w:p w:rsidR="00096B44" w:rsidRPr="007B41B5" w:rsidRDefault="00096B44" w:rsidP="00096B44">
      <w:pPr>
        <w:pStyle w:val="TEKST"/>
        <w:rPr>
          <w:b/>
        </w:rPr>
      </w:pPr>
      <w:r w:rsidRPr="007B41B5">
        <w:rPr>
          <w:b/>
        </w:rPr>
        <w:t>Uzroci smrtnosti i obol</w:t>
      </w:r>
      <w:r w:rsidR="00392609">
        <w:rPr>
          <w:b/>
        </w:rPr>
        <w:t>i</w:t>
      </w:r>
      <w:r w:rsidRPr="007B41B5">
        <w:rPr>
          <w:b/>
        </w:rPr>
        <w:t xml:space="preserve">jevanja </w:t>
      </w:r>
    </w:p>
    <w:p w:rsidR="00096B44" w:rsidRDefault="00096B44" w:rsidP="00096B44">
      <w:pPr>
        <w:pStyle w:val="TEKST"/>
        <w:numPr>
          <w:ilvl w:val="0"/>
          <w:numId w:val="25"/>
        </w:numPr>
        <w:spacing w:line="240" w:lineRule="auto"/>
      </w:pPr>
      <w:r>
        <w:t>Podrška razvoju s</w:t>
      </w:r>
      <w:r w:rsidR="00392609">
        <w:t>ustavnog</w:t>
      </w:r>
      <w:r>
        <w:t xml:space="preserve"> pristupa programima </w:t>
      </w:r>
      <w:r w:rsidRPr="0082015E">
        <w:t>prevencije</w:t>
      </w:r>
      <w:r>
        <w:t xml:space="preserve"> i nadzora vodećih </w:t>
      </w:r>
      <w:r w:rsidR="00392609">
        <w:t>čimbenika</w:t>
      </w:r>
      <w:r>
        <w:t xml:space="preserve"> rizika za </w:t>
      </w:r>
      <w:r w:rsidRPr="0082015E">
        <w:t xml:space="preserve"> najučestalij</w:t>
      </w:r>
      <w:r w:rsidR="00392609">
        <w:t>a</w:t>
      </w:r>
      <w:r w:rsidRPr="0082015E">
        <w:t xml:space="preserve"> oboljenja na </w:t>
      </w:r>
      <w:r w:rsidR="00392609">
        <w:t>razini</w:t>
      </w:r>
      <w:r w:rsidRPr="0082015E">
        <w:t xml:space="preserve"> FBiH, </w:t>
      </w:r>
      <w:r w:rsidR="00592244">
        <w:t>osobito</w:t>
      </w:r>
      <w:r w:rsidRPr="0082015E">
        <w:t xml:space="preserve"> kardiovaskularni</w:t>
      </w:r>
      <w:r>
        <w:t>h bolesti i malignih neoplazmi, kroz unapređenje evidencije,</w:t>
      </w:r>
      <w:r w:rsidR="00C24C36">
        <w:t xml:space="preserve"> dokumentacije i evaluacije, te</w:t>
      </w:r>
      <w:r>
        <w:t xml:space="preserve"> </w:t>
      </w:r>
      <w:r w:rsidR="00592244">
        <w:t>d</w:t>
      </w:r>
      <w:r>
        <w:t xml:space="preserve">ostupnost preventivnih zdravstvenih usluga na </w:t>
      </w:r>
      <w:r w:rsidR="00592244">
        <w:t>razini</w:t>
      </w:r>
      <w:r>
        <w:t xml:space="preserve"> PZZ/tima </w:t>
      </w:r>
      <w:r w:rsidR="00592244">
        <w:t>obiteljske medicine</w:t>
      </w:r>
      <w:r>
        <w:t>.</w:t>
      </w:r>
    </w:p>
    <w:p w:rsidR="00096B44" w:rsidRDefault="00096B44" w:rsidP="00096B44">
      <w:pPr>
        <w:pStyle w:val="TEKST"/>
        <w:numPr>
          <w:ilvl w:val="0"/>
          <w:numId w:val="25"/>
        </w:numPr>
        <w:spacing w:line="240" w:lineRule="auto"/>
      </w:pPr>
      <w:r>
        <w:t>Već</w:t>
      </w:r>
      <w:r w:rsidR="00592244">
        <w:t>i</w:t>
      </w:r>
      <w:r>
        <w:t xml:space="preserve"> </w:t>
      </w:r>
      <w:r w:rsidR="00592244">
        <w:t>udio</w:t>
      </w:r>
      <w:r>
        <w:t xml:space="preserve"> javnog zdravstva u iniciranje intersketor</w:t>
      </w:r>
      <w:r w:rsidR="00592244">
        <w:t>skih</w:t>
      </w:r>
      <w:r>
        <w:t xml:space="preserve"> promotivnih intervencija na </w:t>
      </w:r>
      <w:r w:rsidR="00592244">
        <w:t>razini</w:t>
      </w:r>
      <w:r>
        <w:t xml:space="preserve"> lokalne zajednice s ciljem promjene navika i ponašanja stanovništva ve</w:t>
      </w:r>
      <w:r w:rsidR="00C24C36">
        <w:t xml:space="preserve">zanih za vodeće </w:t>
      </w:r>
      <w:r w:rsidR="00592244">
        <w:t>čimbenike</w:t>
      </w:r>
      <w:r w:rsidR="00C24C36">
        <w:t xml:space="preserve"> rizika (</w:t>
      </w:r>
      <w:r>
        <w:t xml:space="preserve">pušenje, alkohol, nezdrava </w:t>
      </w:r>
      <w:r w:rsidR="00592244">
        <w:t>pre</w:t>
      </w:r>
      <w:r>
        <w:t xml:space="preserve">hrana, </w:t>
      </w:r>
      <w:r w:rsidR="00592244">
        <w:t>tjelesna</w:t>
      </w:r>
      <w:r>
        <w:t xml:space="preserve"> neaktivnost, mentalno zdravlje, oralno zdravlje)</w:t>
      </w:r>
      <w:r w:rsidR="00C24C36">
        <w:t>.</w:t>
      </w:r>
      <w:r>
        <w:t xml:space="preserve"> </w:t>
      </w:r>
    </w:p>
    <w:p w:rsidR="00096B44" w:rsidRDefault="00096B44" w:rsidP="00096B44">
      <w:pPr>
        <w:rPr>
          <w:rFonts w:ascii="Times New Roman" w:hAnsi="Times New Roman"/>
          <w:noProof/>
          <w:lang w:val="hr-HR" w:eastAsia="de-DE"/>
        </w:rPr>
      </w:pPr>
    </w:p>
    <w:p w:rsidR="00096B44" w:rsidRPr="00021055" w:rsidRDefault="00096B44" w:rsidP="00096B44">
      <w:pPr>
        <w:pStyle w:val="ListParagraph"/>
        <w:numPr>
          <w:ilvl w:val="0"/>
          <w:numId w:val="25"/>
        </w:numPr>
        <w:rPr>
          <w:rStyle w:val="Strong"/>
          <w:b w:val="0"/>
        </w:rPr>
      </w:pPr>
      <w:r w:rsidRPr="00021055">
        <w:rPr>
          <w:rStyle w:val="Strong"/>
          <w:b w:val="0"/>
        </w:rPr>
        <w:t xml:space="preserve">Jačanje nadzora nad zaraznm bolestima na svim </w:t>
      </w:r>
      <w:r w:rsidR="00592244">
        <w:rPr>
          <w:rStyle w:val="Strong"/>
          <w:b w:val="0"/>
        </w:rPr>
        <w:t>razinama</w:t>
      </w:r>
      <w:r w:rsidRPr="00021055">
        <w:rPr>
          <w:rStyle w:val="Strong"/>
          <w:b w:val="0"/>
        </w:rPr>
        <w:t xml:space="preserve"> (epidemiološkom, kliničkom, laboratorijskom), uz efektivno korištenje informacija za kontrolu javnozdravstvenih prijetnji, te osobito uspostaviti i jačati kapacitete ranog obavještavanja i uzbunjivanja (ALERT).</w:t>
      </w:r>
    </w:p>
    <w:p w:rsidR="00096B44" w:rsidRPr="00D17404" w:rsidRDefault="00096B44" w:rsidP="00096B44">
      <w:pPr>
        <w:pStyle w:val="TEKST"/>
        <w:numPr>
          <w:ilvl w:val="0"/>
          <w:numId w:val="25"/>
        </w:numPr>
        <w:spacing w:line="240" w:lineRule="auto"/>
        <w:rPr>
          <w:i/>
        </w:rPr>
      </w:pPr>
      <w:r>
        <w:t>Osiguranje kontinuiranih mehanizama finan</w:t>
      </w:r>
      <w:r w:rsidR="00592244">
        <w:t>c</w:t>
      </w:r>
      <w:r>
        <w:t xml:space="preserve">iranja za javnozdravstvene kampanje promocije zdravlja kroz </w:t>
      </w:r>
      <w:r w:rsidRPr="0082015E">
        <w:t>izdv</w:t>
      </w:r>
      <w:r w:rsidR="00C24C36">
        <w:t>ajanje  d</w:t>
      </w:r>
      <w:r>
        <w:t xml:space="preserve">ijela </w:t>
      </w:r>
      <w:r w:rsidRPr="0082015E">
        <w:t>sredstava iz akciza na visokotarifn</w:t>
      </w:r>
      <w:r>
        <w:t>u robu (duhan, alkohol i drugo).</w:t>
      </w:r>
    </w:p>
    <w:p w:rsidR="00096B44" w:rsidRDefault="00096B44" w:rsidP="00096B44">
      <w:pPr>
        <w:rPr>
          <w:rFonts w:ascii="Times New Roman" w:hAnsi="Times New Roman"/>
          <w:b/>
          <w:lang w:val="bs-Latn-BA"/>
        </w:rPr>
      </w:pPr>
    </w:p>
    <w:p w:rsidR="00096B44" w:rsidRPr="007B41B5" w:rsidRDefault="00096B44" w:rsidP="00096B44">
      <w:pPr>
        <w:rPr>
          <w:rFonts w:ascii="Times New Roman" w:hAnsi="Times New Roman"/>
          <w:b/>
          <w:lang w:val="bs-Latn-BA"/>
        </w:rPr>
      </w:pPr>
      <w:r w:rsidRPr="007B41B5">
        <w:rPr>
          <w:rFonts w:ascii="Times New Roman" w:hAnsi="Times New Roman"/>
          <w:b/>
          <w:lang w:val="bs-Latn-BA"/>
        </w:rPr>
        <w:t xml:space="preserve">Okoliš i zdravlje </w:t>
      </w:r>
    </w:p>
    <w:p w:rsidR="00096B44" w:rsidRDefault="00096B44" w:rsidP="00096B44">
      <w:pPr>
        <w:rPr>
          <w:rFonts w:ascii="Times New Roman" w:hAnsi="Times New Roman"/>
          <w:lang w:val="bs-Latn-BA"/>
        </w:rPr>
      </w:pPr>
    </w:p>
    <w:p w:rsidR="00096B44" w:rsidRPr="00D17404" w:rsidRDefault="00096B44" w:rsidP="00096B44">
      <w:pPr>
        <w:pStyle w:val="ListParagraph"/>
        <w:numPr>
          <w:ilvl w:val="0"/>
          <w:numId w:val="26"/>
        </w:numPr>
        <w:rPr>
          <w:rFonts w:ascii="Times New Roman" w:hAnsi="Times New Roman"/>
          <w:lang w:val="bs-Latn-BA"/>
        </w:rPr>
      </w:pPr>
      <w:r w:rsidRPr="00D17404">
        <w:rPr>
          <w:rFonts w:ascii="Times New Roman" w:hAnsi="Times New Roman"/>
          <w:lang w:val="bs-Latn-BA"/>
        </w:rPr>
        <w:t xml:space="preserve">Podrškom resornih ministarstva nastaviti aktivnosti na usklađivanju postojeće i donošenju nove zakonske regulative, politika i strategija vezanih za nadzor i kontrolu okolišnih </w:t>
      </w:r>
      <w:r w:rsidR="00592244">
        <w:rPr>
          <w:rFonts w:ascii="Times New Roman" w:hAnsi="Times New Roman"/>
          <w:lang w:val="bs-Latn-BA"/>
        </w:rPr>
        <w:t>čimbenika</w:t>
      </w:r>
      <w:r w:rsidRPr="00D17404">
        <w:rPr>
          <w:rFonts w:ascii="Times New Roman" w:hAnsi="Times New Roman"/>
          <w:lang w:val="bs-Latn-BA"/>
        </w:rPr>
        <w:t xml:space="preserve"> rizika i  </w:t>
      </w:r>
      <w:r w:rsidRPr="00D17404">
        <w:rPr>
          <w:rFonts w:ascii="Times New Roman" w:hAnsi="Times New Roman"/>
        </w:rPr>
        <w:t xml:space="preserve">mjera zaštite zdravlja ljudi i zaštita životne sredine od utjecaja </w:t>
      </w:r>
      <w:r w:rsidR="00592244">
        <w:rPr>
          <w:rFonts w:ascii="Times New Roman" w:hAnsi="Times New Roman"/>
        </w:rPr>
        <w:t>i</w:t>
      </w:r>
      <w:r w:rsidRPr="00D17404">
        <w:rPr>
          <w:rFonts w:ascii="Times New Roman" w:hAnsi="Times New Roman"/>
        </w:rPr>
        <w:t>onizirajučeg zračenja.</w:t>
      </w:r>
    </w:p>
    <w:p w:rsidR="00096B44" w:rsidRPr="00CA6B69" w:rsidRDefault="00096B44" w:rsidP="00096B44">
      <w:pPr>
        <w:rPr>
          <w:rFonts w:ascii="Times New Roman" w:hAnsi="Times New Roman"/>
          <w:lang w:val="bs-Latn-BA"/>
        </w:rPr>
      </w:pPr>
    </w:p>
    <w:p w:rsidR="00096B44" w:rsidRPr="00D17404" w:rsidRDefault="00096B44" w:rsidP="00096B44">
      <w:pPr>
        <w:pStyle w:val="ListParagraph"/>
        <w:numPr>
          <w:ilvl w:val="0"/>
          <w:numId w:val="26"/>
        </w:numPr>
        <w:rPr>
          <w:rFonts w:ascii="Times New Roman" w:hAnsi="Times New Roman"/>
          <w:lang w:val="bs-Latn-BA"/>
        </w:rPr>
      </w:pPr>
      <w:r w:rsidRPr="00D17404">
        <w:rPr>
          <w:rFonts w:ascii="Times New Roman" w:hAnsi="Times New Roman"/>
          <w:lang w:val="bs-Latn-BA"/>
        </w:rPr>
        <w:t>Nastavak aktivnosti na jačanju kontinuiranog i ciljanih monitoringa vode za piće, hrane,  predmeta op</w:t>
      </w:r>
      <w:r w:rsidR="00592244">
        <w:rPr>
          <w:rFonts w:ascii="Times New Roman" w:hAnsi="Times New Roman"/>
          <w:lang w:val="bs-Latn-BA"/>
        </w:rPr>
        <w:t>ć</w:t>
      </w:r>
      <w:r w:rsidRPr="00D17404">
        <w:rPr>
          <w:rFonts w:ascii="Times New Roman" w:hAnsi="Times New Roman"/>
          <w:lang w:val="bs-Latn-BA"/>
        </w:rPr>
        <w:t>e upor</w:t>
      </w:r>
      <w:r w:rsidR="00592244">
        <w:rPr>
          <w:rFonts w:ascii="Times New Roman" w:hAnsi="Times New Roman"/>
          <w:lang w:val="bs-Latn-BA"/>
        </w:rPr>
        <w:t>a</w:t>
      </w:r>
      <w:r w:rsidRPr="00D17404">
        <w:rPr>
          <w:rFonts w:ascii="Times New Roman" w:hAnsi="Times New Roman"/>
          <w:lang w:val="bs-Latn-BA"/>
        </w:rPr>
        <w:t xml:space="preserve">be na zdravstvenu ispravnost, kao i monitoringu kvaliteta površinskih voda, zraka i ostalih </w:t>
      </w:r>
      <w:r w:rsidR="00592244">
        <w:rPr>
          <w:rFonts w:ascii="Times New Roman" w:hAnsi="Times New Roman"/>
          <w:lang w:val="bs-Latn-BA"/>
        </w:rPr>
        <w:t>okolišnih čimbenika rizika</w:t>
      </w:r>
      <w:r w:rsidRPr="00D17404">
        <w:rPr>
          <w:rFonts w:ascii="Times New Roman" w:hAnsi="Times New Roman"/>
          <w:lang w:val="bs-Latn-BA"/>
        </w:rPr>
        <w:t>, u s</w:t>
      </w:r>
      <w:r w:rsidR="00592244">
        <w:rPr>
          <w:rFonts w:ascii="Times New Roman" w:hAnsi="Times New Roman"/>
          <w:lang w:val="bs-Latn-BA"/>
        </w:rPr>
        <w:t>u</w:t>
      </w:r>
      <w:r w:rsidRPr="00D17404">
        <w:rPr>
          <w:rFonts w:ascii="Times New Roman" w:hAnsi="Times New Roman"/>
          <w:lang w:val="bs-Latn-BA"/>
        </w:rPr>
        <w:t xml:space="preserve">radnji s relevantnim subjektima u zdravstvenom i izvan zdravstvenog sektora. </w:t>
      </w:r>
    </w:p>
    <w:p w:rsidR="00096B44" w:rsidRPr="00CA6B69" w:rsidRDefault="00096B44" w:rsidP="00096B44">
      <w:pPr>
        <w:rPr>
          <w:rFonts w:ascii="Times New Roman" w:hAnsi="Times New Roman"/>
          <w:lang w:val="bs-Latn-BA"/>
        </w:rPr>
      </w:pPr>
    </w:p>
    <w:p w:rsidR="00096B44" w:rsidRPr="00D17404" w:rsidRDefault="00C24C36" w:rsidP="00096B44">
      <w:pPr>
        <w:pStyle w:val="ListParagraph"/>
        <w:numPr>
          <w:ilvl w:val="0"/>
          <w:numId w:val="26"/>
        </w:numPr>
        <w:rPr>
          <w:rFonts w:ascii="Times New Roman" w:hAnsi="Times New Roman"/>
          <w:lang w:val="bs-Latn-BA"/>
        </w:rPr>
      </w:pPr>
      <w:r>
        <w:rPr>
          <w:rFonts w:ascii="Times New Roman" w:hAnsi="Times New Roman"/>
          <w:lang w:val="bs-Latn-BA"/>
        </w:rPr>
        <w:t>Podrška unapređenju</w:t>
      </w:r>
      <w:r w:rsidR="00096B44" w:rsidRPr="00D17404">
        <w:rPr>
          <w:rFonts w:ascii="Times New Roman" w:hAnsi="Times New Roman"/>
          <w:lang w:val="bs-Latn-BA"/>
        </w:rPr>
        <w:t xml:space="preserve"> laboratorijske opre</w:t>
      </w:r>
      <w:r>
        <w:rPr>
          <w:rFonts w:ascii="Times New Roman" w:hAnsi="Times New Roman"/>
          <w:lang w:val="bs-Latn-BA"/>
        </w:rPr>
        <w:t>me i prostora, te kontinuirane edukacije</w:t>
      </w:r>
      <w:r w:rsidR="00096B44" w:rsidRPr="00D17404">
        <w:rPr>
          <w:rFonts w:ascii="Times New Roman" w:hAnsi="Times New Roman"/>
          <w:lang w:val="bs-Latn-BA"/>
        </w:rPr>
        <w:t xml:space="preserve"> kadra laboratorija za ispitivanje zdravstvene ispravnosti hrane, vode za piće i predmeta op</w:t>
      </w:r>
      <w:r w:rsidR="00592244">
        <w:rPr>
          <w:rFonts w:ascii="Times New Roman" w:hAnsi="Times New Roman"/>
          <w:lang w:val="bs-Latn-BA"/>
        </w:rPr>
        <w:t>ć</w:t>
      </w:r>
      <w:r w:rsidR="00096B44" w:rsidRPr="00D17404">
        <w:rPr>
          <w:rFonts w:ascii="Times New Roman" w:hAnsi="Times New Roman"/>
          <w:lang w:val="bs-Latn-BA"/>
        </w:rPr>
        <w:t>e upor</w:t>
      </w:r>
      <w:r w:rsidR="00592244">
        <w:rPr>
          <w:rFonts w:ascii="Times New Roman" w:hAnsi="Times New Roman"/>
          <w:lang w:val="bs-Latn-BA"/>
        </w:rPr>
        <w:t>a</w:t>
      </w:r>
      <w:r w:rsidR="00096B44" w:rsidRPr="00D17404">
        <w:rPr>
          <w:rFonts w:ascii="Times New Roman" w:hAnsi="Times New Roman"/>
          <w:lang w:val="bs-Latn-BA"/>
        </w:rPr>
        <w:t xml:space="preserve">be pri zavodima za javno zdravstvo u Federaciji BiH. </w:t>
      </w:r>
    </w:p>
    <w:p w:rsidR="00096B44" w:rsidRPr="0082015E" w:rsidRDefault="00096B44" w:rsidP="00096B44">
      <w:pPr>
        <w:rPr>
          <w:rFonts w:ascii="Times New Roman" w:hAnsi="Times New Roman"/>
          <w:b/>
          <w:bCs/>
          <w:i/>
          <w:iCs/>
          <w:lang w:val="bs-Latn-BA" w:eastAsia="x-none"/>
        </w:rPr>
      </w:pPr>
    </w:p>
    <w:p w:rsidR="00096B44" w:rsidRDefault="00096B44" w:rsidP="00096B44">
      <w:pPr>
        <w:pStyle w:val="ListParagraph"/>
        <w:numPr>
          <w:ilvl w:val="0"/>
          <w:numId w:val="26"/>
        </w:numPr>
        <w:rPr>
          <w:rFonts w:ascii="Times New Roman" w:hAnsi="Times New Roman"/>
          <w:lang w:val="bs-Latn-BA"/>
        </w:rPr>
      </w:pPr>
      <w:r w:rsidRPr="00D17404">
        <w:rPr>
          <w:rFonts w:ascii="Times New Roman" w:hAnsi="Times New Roman"/>
          <w:lang w:val="bs-Latn-BA"/>
        </w:rPr>
        <w:t>Pod</w:t>
      </w:r>
      <w:r w:rsidR="00C24C36">
        <w:rPr>
          <w:rFonts w:ascii="Times New Roman" w:hAnsi="Times New Roman"/>
          <w:lang w:val="bs-Latn-BA"/>
        </w:rPr>
        <w:t xml:space="preserve">rška zavoda za javno zdravstvo </w:t>
      </w:r>
      <w:r w:rsidRPr="00D17404">
        <w:rPr>
          <w:rFonts w:ascii="Times New Roman" w:hAnsi="Times New Roman"/>
          <w:lang w:val="bs-Latn-BA"/>
        </w:rPr>
        <w:t xml:space="preserve">u provođenju edukacije osoblja (medicinskog i nemedicinskog) u zdravstvenim ustanovama o </w:t>
      </w:r>
      <w:r w:rsidR="0075437E">
        <w:rPr>
          <w:rFonts w:ascii="Times New Roman" w:hAnsi="Times New Roman"/>
          <w:lang w:val="bs-Latn-BA"/>
        </w:rPr>
        <w:t>načelima</w:t>
      </w:r>
      <w:r w:rsidRPr="00D17404">
        <w:rPr>
          <w:rFonts w:ascii="Times New Roman" w:hAnsi="Times New Roman"/>
          <w:lang w:val="bs-Latn-BA"/>
        </w:rPr>
        <w:t xml:space="preserve"> pravilnog upravljanja medicinskim otpadom. </w:t>
      </w:r>
    </w:p>
    <w:p w:rsidR="00096B44" w:rsidRPr="00D17404" w:rsidRDefault="00096B44" w:rsidP="00096B44">
      <w:pPr>
        <w:pStyle w:val="ListParagraph"/>
        <w:rPr>
          <w:rFonts w:ascii="Times New Roman" w:hAnsi="Times New Roman"/>
          <w:lang w:val="bs-Latn-BA"/>
        </w:rPr>
      </w:pPr>
    </w:p>
    <w:p w:rsidR="00096B44" w:rsidRPr="00D17404" w:rsidRDefault="001E1A02" w:rsidP="00096B44">
      <w:pPr>
        <w:pStyle w:val="ListParagraph"/>
        <w:numPr>
          <w:ilvl w:val="0"/>
          <w:numId w:val="26"/>
        </w:numPr>
        <w:rPr>
          <w:rFonts w:ascii="Times New Roman" w:hAnsi="Times New Roman"/>
          <w:lang w:val="bs-Latn-BA"/>
        </w:rPr>
      </w:pPr>
      <w:r>
        <w:rPr>
          <w:rFonts w:ascii="Times New Roman" w:hAnsi="Times New Roman"/>
          <w:lang w:val="bs-Latn-BA"/>
        </w:rPr>
        <w:t>Unapr</w:t>
      </w:r>
      <w:r w:rsidR="00096B44">
        <w:rPr>
          <w:rFonts w:ascii="Times New Roman" w:hAnsi="Times New Roman"/>
          <w:lang w:val="bs-Latn-BA"/>
        </w:rPr>
        <w:t>eđ</w:t>
      </w:r>
      <w:r w:rsidR="00C24C36">
        <w:rPr>
          <w:rFonts w:ascii="Times New Roman" w:hAnsi="Times New Roman"/>
          <w:lang w:val="bs-Latn-BA"/>
        </w:rPr>
        <w:t>e</w:t>
      </w:r>
      <w:r w:rsidR="00096B44">
        <w:rPr>
          <w:rFonts w:ascii="Times New Roman" w:hAnsi="Times New Roman"/>
          <w:lang w:val="bs-Latn-BA"/>
        </w:rPr>
        <w:t>nje intersektor</w:t>
      </w:r>
      <w:r w:rsidR="00592244">
        <w:rPr>
          <w:rFonts w:ascii="Times New Roman" w:hAnsi="Times New Roman"/>
          <w:lang w:val="bs-Latn-BA"/>
        </w:rPr>
        <w:t>ske</w:t>
      </w:r>
      <w:r w:rsidR="00096B44">
        <w:rPr>
          <w:rFonts w:ascii="Times New Roman" w:hAnsi="Times New Roman"/>
          <w:lang w:val="bs-Latn-BA"/>
        </w:rPr>
        <w:t xml:space="preserve"> suradnje zdravstvenog i drugih sektora u mjerama </w:t>
      </w:r>
      <w:r>
        <w:rPr>
          <w:rFonts w:ascii="Times New Roman" w:hAnsi="Times New Roman"/>
          <w:lang w:val="bs-Latn-BA"/>
        </w:rPr>
        <w:t xml:space="preserve">promocije zdravlja i </w:t>
      </w:r>
      <w:r w:rsidR="00096B44">
        <w:rPr>
          <w:rFonts w:ascii="Times New Roman" w:hAnsi="Times New Roman"/>
          <w:lang w:val="bs-Latn-BA"/>
        </w:rPr>
        <w:t>prevenci</w:t>
      </w:r>
      <w:r w:rsidR="00C24C36">
        <w:rPr>
          <w:rFonts w:ascii="Times New Roman" w:hAnsi="Times New Roman"/>
          <w:lang w:val="bs-Latn-BA"/>
        </w:rPr>
        <w:t>j</w:t>
      </w:r>
      <w:r w:rsidR="00096B44">
        <w:rPr>
          <w:rFonts w:ascii="Times New Roman" w:hAnsi="Times New Roman"/>
          <w:lang w:val="bs-Latn-BA"/>
        </w:rPr>
        <w:t>e</w:t>
      </w:r>
      <w:r>
        <w:rPr>
          <w:rFonts w:ascii="Times New Roman" w:hAnsi="Times New Roman"/>
          <w:lang w:val="bs-Latn-BA"/>
        </w:rPr>
        <w:t xml:space="preserve"> obol</w:t>
      </w:r>
      <w:r w:rsidR="00592244">
        <w:rPr>
          <w:rFonts w:ascii="Times New Roman" w:hAnsi="Times New Roman"/>
          <w:lang w:val="bs-Latn-BA"/>
        </w:rPr>
        <w:t>i</w:t>
      </w:r>
      <w:r>
        <w:rPr>
          <w:rFonts w:ascii="Times New Roman" w:hAnsi="Times New Roman"/>
          <w:lang w:val="bs-Latn-BA"/>
        </w:rPr>
        <w:t>jevanja, kao i nadzora</w:t>
      </w:r>
      <w:r w:rsidR="00096B44">
        <w:rPr>
          <w:rFonts w:ascii="Times New Roman" w:hAnsi="Times New Roman"/>
          <w:lang w:val="bs-Latn-BA"/>
        </w:rPr>
        <w:t xml:space="preserve"> </w:t>
      </w:r>
      <w:r w:rsidR="00592244">
        <w:rPr>
          <w:rFonts w:ascii="Times New Roman" w:hAnsi="Times New Roman"/>
          <w:lang w:val="bs-Latn-BA"/>
        </w:rPr>
        <w:t>prometnog</w:t>
      </w:r>
      <w:r w:rsidR="00096B44">
        <w:rPr>
          <w:rFonts w:ascii="Times New Roman" w:hAnsi="Times New Roman"/>
          <w:lang w:val="bs-Latn-BA"/>
        </w:rPr>
        <w:t xml:space="preserve"> traumatizma i promocije  sigurnosti svih sudionika u prometu. </w:t>
      </w:r>
    </w:p>
    <w:p w:rsidR="00096B44" w:rsidRPr="0082015E" w:rsidRDefault="00096B44" w:rsidP="00096B44">
      <w:pPr>
        <w:rPr>
          <w:rFonts w:ascii="Times New Roman" w:hAnsi="Times New Roman"/>
          <w:lang w:val="bs-Latn-BA"/>
        </w:rPr>
      </w:pPr>
    </w:p>
    <w:p w:rsidR="00096B44" w:rsidRPr="0082015E" w:rsidRDefault="00096B44" w:rsidP="00096B44">
      <w:pPr>
        <w:rPr>
          <w:rFonts w:ascii="Times New Roman" w:hAnsi="Times New Roman"/>
          <w:lang w:val="bs-Latn-BA"/>
        </w:rPr>
      </w:pPr>
    </w:p>
    <w:p w:rsidR="00096B44" w:rsidRPr="007B41B5" w:rsidRDefault="00096B44" w:rsidP="00096B44">
      <w:pPr>
        <w:spacing w:line="276" w:lineRule="auto"/>
        <w:rPr>
          <w:rFonts w:ascii="Times New Roman" w:hAnsi="Times New Roman"/>
          <w:b/>
          <w:lang w:val="bs-Latn-BA"/>
        </w:rPr>
      </w:pPr>
      <w:r w:rsidRPr="007B41B5">
        <w:rPr>
          <w:rFonts w:ascii="Times New Roman" w:hAnsi="Times New Roman"/>
          <w:b/>
          <w:lang w:val="bs-Latn-BA"/>
        </w:rPr>
        <w:t xml:space="preserve">Organizacija zdravstvene zaštite </w:t>
      </w:r>
    </w:p>
    <w:p w:rsidR="00096B44" w:rsidRPr="0082015E" w:rsidRDefault="00096B44" w:rsidP="00096B44">
      <w:pPr>
        <w:spacing w:line="276" w:lineRule="auto"/>
        <w:rPr>
          <w:rFonts w:ascii="Times New Roman" w:hAnsi="Times New Roman"/>
          <w:snapToGrid w:val="0"/>
          <w:lang w:val="bs-Latn-BA" w:eastAsia="x-none"/>
        </w:rPr>
      </w:pPr>
    </w:p>
    <w:p w:rsidR="00096B44" w:rsidRPr="00CA6B69" w:rsidRDefault="00096B44" w:rsidP="00096B44">
      <w:pPr>
        <w:pStyle w:val="ListParagraph"/>
        <w:numPr>
          <w:ilvl w:val="0"/>
          <w:numId w:val="24"/>
        </w:numPr>
        <w:rPr>
          <w:rFonts w:ascii="Times New Roman" w:hAnsi="Times New Roman"/>
        </w:rPr>
      </w:pPr>
      <w:r w:rsidRPr="00CA6B69">
        <w:rPr>
          <w:rFonts w:ascii="Times New Roman" w:hAnsi="Times New Roman"/>
        </w:rPr>
        <w:t>Podrška dalj</w:t>
      </w:r>
      <w:r w:rsidR="00592244">
        <w:rPr>
          <w:rFonts w:ascii="Times New Roman" w:hAnsi="Times New Roman"/>
        </w:rPr>
        <w:t>nj</w:t>
      </w:r>
      <w:r w:rsidRPr="00CA6B69">
        <w:rPr>
          <w:rFonts w:ascii="Times New Roman" w:hAnsi="Times New Roman"/>
        </w:rPr>
        <w:t>em unapređenju  izvješ</w:t>
      </w:r>
      <w:r w:rsidR="00592244">
        <w:rPr>
          <w:rFonts w:ascii="Times New Roman" w:hAnsi="Times New Roman"/>
        </w:rPr>
        <w:t>ćivanja</w:t>
      </w:r>
      <w:r w:rsidRPr="00CA6B69">
        <w:rPr>
          <w:rFonts w:ascii="Times New Roman" w:hAnsi="Times New Roman"/>
        </w:rPr>
        <w:t xml:space="preserve"> u zdravstvu  na </w:t>
      </w:r>
      <w:r w:rsidR="00592244">
        <w:rPr>
          <w:rFonts w:ascii="Times New Roman" w:hAnsi="Times New Roman"/>
        </w:rPr>
        <w:t>temelju</w:t>
      </w:r>
      <w:r w:rsidRPr="00CA6B69">
        <w:rPr>
          <w:rFonts w:ascii="Times New Roman" w:hAnsi="Times New Roman"/>
        </w:rPr>
        <w:t xml:space="preserve"> finaliziranog procesa reforme zdravstveno-statis</w:t>
      </w:r>
      <w:r w:rsidR="00C24C36">
        <w:rPr>
          <w:rFonts w:ascii="Times New Roman" w:hAnsi="Times New Roman"/>
        </w:rPr>
        <w:t>tičkog s</w:t>
      </w:r>
      <w:r w:rsidR="00592244">
        <w:rPr>
          <w:rFonts w:ascii="Times New Roman" w:hAnsi="Times New Roman"/>
        </w:rPr>
        <w:t>ustava</w:t>
      </w:r>
      <w:r w:rsidR="00C24C36">
        <w:rPr>
          <w:rFonts w:ascii="Times New Roman" w:hAnsi="Times New Roman"/>
        </w:rPr>
        <w:t xml:space="preserve"> i informatizaciji u zdravstvu, uključujući javni i privatni se</w:t>
      </w:r>
      <w:r w:rsidR="00592244">
        <w:rPr>
          <w:rFonts w:ascii="Times New Roman" w:hAnsi="Times New Roman"/>
        </w:rPr>
        <w:t>k</w:t>
      </w:r>
      <w:r w:rsidR="00C24C36">
        <w:rPr>
          <w:rFonts w:ascii="Times New Roman" w:hAnsi="Times New Roman"/>
        </w:rPr>
        <w:t>tor.</w:t>
      </w:r>
    </w:p>
    <w:p w:rsidR="00096B44" w:rsidRPr="0082015E" w:rsidRDefault="00096B44" w:rsidP="00096B44">
      <w:pPr>
        <w:pStyle w:val="Default"/>
        <w:jc w:val="both"/>
        <w:rPr>
          <w:rFonts w:ascii="Times New Roman" w:hAnsi="Times New Roman" w:cs="Times New Roman"/>
          <w:color w:val="auto"/>
          <w:sz w:val="22"/>
          <w:szCs w:val="22"/>
        </w:rPr>
      </w:pPr>
    </w:p>
    <w:p w:rsidR="00096B44" w:rsidRPr="0082015E" w:rsidRDefault="00C24C36" w:rsidP="00096B44">
      <w:pPr>
        <w:pStyle w:val="Default"/>
        <w:numPr>
          <w:ilvl w:val="0"/>
          <w:numId w:val="24"/>
        </w:numPr>
        <w:jc w:val="both"/>
        <w:rPr>
          <w:rFonts w:ascii="Times New Roman" w:hAnsi="Times New Roman" w:cs="Times New Roman"/>
          <w:color w:val="auto"/>
          <w:sz w:val="22"/>
          <w:szCs w:val="22"/>
        </w:rPr>
      </w:pPr>
      <w:r>
        <w:rPr>
          <w:rFonts w:ascii="Times New Roman" w:hAnsi="Times New Roman" w:cs="Times New Roman"/>
          <w:color w:val="auto"/>
          <w:sz w:val="22"/>
          <w:szCs w:val="22"/>
        </w:rPr>
        <w:t>Provođenje periodičnih populaci</w:t>
      </w:r>
      <w:r w:rsidR="00592244">
        <w:rPr>
          <w:rFonts w:ascii="Times New Roman" w:hAnsi="Times New Roman" w:cs="Times New Roman"/>
          <w:color w:val="auto"/>
          <w:sz w:val="22"/>
          <w:szCs w:val="22"/>
        </w:rPr>
        <w:t xml:space="preserve">jskih </w:t>
      </w:r>
      <w:r w:rsidR="00096B44" w:rsidRPr="0082015E">
        <w:rPr>
          <w:rFonts w:ascii="Times New Roman" w:hAnsi="Times New Roman" w:cs="Times New Roman"/>
          <w:color w:val="auto"/>
          <w:sz w:val="22"/>
          <w:szCs w:val="22"/>
        </w:rPr>
        <w:t>istraživanja zd</w:t>
      </w:r>
      <w:r w:rsidR="00096B44">
        <w:rPr>
          <w:rFonts w:ascii="Times New Roman" w:hAnsi="Times New Roman" w:cs="Times New Roman"/>
          <w:color w:val="auto"/>
          <w:sz w:val="22"/>
          <w:szCs w:val="22"/>
        </w:rPr>
        <w:t xml:space="preserve">ravstvenog stanja stanovništva, izloženosti </w:t>
      </w:r>
      <w:r w:rsidR="00592244">
        <w:rPr>
          <w:rFonts w:ascii="Times New Roman" w:hAnsi="Times New Roman" w:cs="Times New Roman"/>
          <w:color w:val="auto"/>
          <w:sz w:val="22"/>
          <w:szCs w:val="22"/>
        </w:rPr>
        <w:t>čimbenicima</w:t>
      </w:r>
      <w:r w:rsidR="00096B44" w:rsidRPr="0082015E">
        <w:rPr>
          <w:rFonts w:ascii="Times New Roman" w:hAnsi="Times New Roman" w:cs="Times New Roman"/>
          <w:color w:val="auto"/>
          <w:sz w:val="22"/>
          <w:szCs w:val="22"/>
        </w:rPr>
        <w:t xml:space="preserve"> rizika po zdravlje, kao i ist</w:t>
      </w:r>
      <w:r w:rsidR="00096B44">
        <w:rPr>
          <w:rFonts w:ascii="Times New Roman" w:hAnsi="Times New Roman" w:cs="Times New Roman"/>
          <w:color w:val="auto"/>
          <w:sz w:val="22"/>
          <w:szCs w:val="22"/>
        </w:rPr>
        <w:t>raživanja intervencija unut</w:t>
      </w:r>
      <w:r w:rsidR="00592244">
        <w:rPr>
          <w:rFonts w:ascii="Times New Roman" w:hAnsi="Times New Roman" w:cs="Times New Roman"/>
          <w:color w:val="auto"/>
          <w:sz w:val="22"/>
          <w:szCs w:val="22"/>
        </w:rPr>
        <w:t>a</w:t>
      </w:r>
      <w:r w:rsidR="00096B44">
        <w:rPr>
          <w:rFonts w:ascii="Times New Roman" w:hAnsi="Times New Roman" w:cs="Times New Roman"/>
          <w:color w:val="auto"/>
          <w:sz w:val="22"/>
          <w:szCs w:val="22"/>
        </w:rPr>
        <w:t>r  zdravstvenog s</w:t>
      </w:r>
      <w:r w:rsidR="00592244">
        <w:rPr>
          <w:rFonts w:ascii="Times New Roman" w:hAnsi="Times New Roman" w:cs="Times New Roman"/>
          <w:color w:val="auto"/>
          <w:sz w:val="22"/>
          <w:szCs w:val="22"/>
        </w:rPr>
        <w:t>ustava</w:t>
      </w:r>
      <w:r w:rsidR="00096B44">
        <w:rPr>
          <w:rFonts w:ascii="Times New Roman" w:hAnsi="Times New Roman" w:cs="Times New Roman"/>
          <w:color w:val="auto"/>
          <w:sz w:val="22"/>
          <w:szCs w:val="22"/>
        </w:rPr>
        <w:t xml:space="preserve"> u suradnji sa relevantnim međunarodnim organizacijama  i odgovornim ustanovama  u zdravstvenom i izvan zdravstvenog sektora. </w:t>
      </w:r>
    </w:p>
    <w:p w:rsidR="00096B44" w:rsidRDefault="00096B44" w:rsidP="00096B44">
      <w:pPr>
        <w:rPr>
          <w:rFonts w:ascii="Times New Roman" w:hAnsi="Times New Roman"/>
        </w:rPr>
      </w:pPr>
    </w:p>
    <w:p w:rsidR="00096B44" w:rsidRPr="00CA6B69" w:rsidRDefault="00592244" w:rsidP="00096B44">
      <w:pPr>
        <w:pStyle w:val="ListParagraph"/>
        <w:numPr>
          <w:ilvl w:val="0"/>
          <w:numId w:val="24"/>
        </w:numPr>
        <w:rPr>
          <w:rFonts w:ascii="Times New Roman" w:hAnsi="Times New Roman"/>
        </w:rPr>
      </w:pPr>
      <w:r>
        <w:rPr>
          <w:rFonts w:ascii="Times New Roman" w:hAnsi="Times New Roman"/>
        </w:rPr>
        <w:t>Učinkovitije</w:t>
      </w:r>
      <w:r w:rsidR="00096B44" w:rsidRPr="00CA6B69">
        <w:rPr>
          <w:rFonts w:ascii="Times New Roman" w:hAnsi="Times New Roman"/>
        </w:rPr>
        <w:t xml:space="preserve"> provođenje st</w:t>
      </w:r>
      <w:r w:rsidR="00C24C36">
        <w:rPr>
          <w:rFonts w:ascii="Times New Roman" w:hAnsi="Times New Roman"/>
        </w:rPr>
        <w:t>ra</w:t>
      </w:r>
      <w:r w:rsidR="00096B44" w:rsidRPr="00CA6B69">
        <w:rPr>
          <w:rFonts w:ascii="Times New Roman" w:hAnsi="Times New Roman"/>
        </w:rPr>
        <w:t xml:space="preserve">teškog planiranja i produkcije zdravstvenih </w:t>
      </w:r>
      <w:r>
        <w:rPr>
          <w:rFonts w:ascii="Times New Roman" w:hAnsi="Times New Roman"/>
        </w:rPr>
        <w:t>djelatnika</w:t>
      </w:r>
      <w:r w:rsidR="00096B44" w:rsidRPr="00CA6B69">
        <w:rPr>
          <w:rFonts w:ascii="Times New Roman" w:hAnsi="Times New Roman"/>
        </w:rPr>
        <w:t xml:space="preserve"> i s</w:t>
      </w:r>
      <w:r>
        <w:rPr>
          <w:rFonts w:ascii="Times New Roman" w:hAnsi="Times New Roman"/>
        </w:rPr>
        <w:t>u</w:t>
      </w:r>
      <w:r w:rsidR="00096B44" w:rsidRPr="00CA6B69">
        <w:rPr>
          <w:rFonts w:ascii="Times New Roman" w:hAnsi="Times New Roman"/>
        </w:rPr>
        <w:t xml:space="preserve">radnika od </w:t>
      </w:r>
      <w:r>
        <w:rPr>
          <w:rFonts w:ascii="Times New Roman" w:hAnsi="Times New Roman"/>
        </w:rPr>
        <w:t>razine</w:t>
      </w:r>
      <w:r w:rsidR="00096B44" w:rsidRPr="00CA6B69">
        <w:rPr>
          <w:rFonts w:ascii="Times New Roman" w:hAnsi="Times New Roman"/>
        </w:rPr>
        <w:t xml:space="preserve"> Federacije BiH do </w:t>
      </w:r>
      <w:r>
        <w:rPr>
          <w:rFonts w:ascii="Times New Roman" w:hAnsi="Times New Roman"/>
        </w:rPr>
        <w:t>razine</w:t>
      </w:r>
      <w:r w:rsidR="00096B44" w:rsidRPr="00CA6B69">
        <w:rPr>
          <w:rFonts w:ascii="Times New Roman" w:hAnsi="Times New Roman"/>
        </w:rPr>
        <w:t xml:space="preserve"> kantona, u odnosu na spolnu, starosnu i kvalifikaci</w:t>
      </w:r>
      <w:r>
        <w:rPr>
          <w:rFonts w:ascii="Times New Roman" w:hAnsi="Times New Roman"/>
        </w:rPr>
        <w:t>jsku</w:t>
      </w:r>
      <w:r w:rsidR="00096B44" w:rsidRPr="00CA6B69">
        <w:rPr>
          <w:rFonts w:ascii="Times New Roman" w:hAnsi="Times New Roman"/>
        </w:rPr>
        <w:t xml:space="preserve"> strukturu, razvijenost mreže zdravstvenih ustanova, zahtjeve i potrebe za zdravstvenom zaštitom, kao ključni argumenti za dodjel</w:t>
      </w:r>
      <w:r w:rsidR="00096B44">
        <w:rPr>
          <w:rFonts w:ascii="Times New Roman" w:hAnsi="Times New Roman"/>
        </w:rPr>
        <w:t>u specijalizacija i kontinuiranu profesionalnu</w:t>
      </w:r>
      <w:r w:rsidR="00096B44" w:rsidRPr="00CA6B69">
        <w:rPr>
          <w:rFonts w:ascii="Times New Roman" w:hAnsi="Times New Roman"/>
        </w:rPr>
        <w:t xml:space="preserve"> </w:t>
      </w:r>
      <w:r w:rsidR="00096B44">
        <w:rPr>
          <w:rFonts w:ascii="Times New Roman" w:hAnsi="Times New Roman"/>
        </w:rPr>
        <w:t xml:space="preserve"> edukaciju</w:t>
      </w:r>
      <w:r w:rsidR="00096B44" w:rsidRPr="00CA6B69">
        <w:rPr>
          <w:rFonts w:ascii="Times New Roman" w:hAnsi="Times New Roman"/>
        </w:rPr>
        <w:t xml:space="preserve"> </w:t>
      </w:r>
      <w:r w:rsidR="0075437E">
        <w:rPr>
          <w:rFonts w:ascii="Times New Roman" w:hAnsi="Times New Roman"/>
        </w:rPr>
        <w:t>u</w:t>
      </w:r>
      <w:r w:rsidR="00096B44" w:rsidRPr="00CA6B69">
        <w:rPr>
          <w:rFonts w:ascii="Times New Roman" w:hAnsi="Times New Roman"/>
        </w:rPr>
        <w:t xml:space="preserve">poslenih te politiku zapošljavana novih kadrova.  </w:t>
      </w:r>
    </w:p>
    <w:p w:rsidR="00096B44" w:rsidRDefault="00096B44" w:rsidP="00096B44">
      <w:pPr>
        <w:rPr>
          <w:rFonts w:ascii="Times New Roman" w:hAnsi="Times New Roman"/>
        </w:rPr>
      </w:pPr>
    </w:p>
    <w:p w:rsidR="00096B44" w:rsidRPr="00CA6B69" w:rsidRDefault="00096B44" w:rsidP="00096B44">
      <w:pPr>
        <w:pStyle w:val="ListParagraph"/>
        <w:numPr>
          <w:ilvl w:val="0"/>
          <w:numId w:val="24"/>
        </w:numPr>
        <w:rPr>
          <w:rFonts w:ascii="Times New Roman" w:hAnsi="Times New Roman"/>
        </w:rPr>
      </w:pPr>
      <w:r>
        <w:rPr>
          <w:rFonts w:ascii="Times New Roman" w:hAnsi="Times New Roman"/>
        </w:rPr>
        <w:t>J</w:t>
      </w:r>
      <w:r w:rsidRPr="00CA6B69">
        <w:rPr>
          <w:rFonts w:ascii="Times New Roman" w:hAnsi="Times New Roman"/>
        </w:rPr>
        <w:t xml:space="preserve">ačanje </w:t>
      </w:r>
      <w:r w:rsidR="00FE3B0D">
        <w:rPr>
          <w:rFonts w:ascii="Times New Roman" w:hAnsi="Times New Roman"/>
        </w:rPr>
        <w:t>sudjelovanja</w:t>
      </w:r>
      <w:r w:rsidRPr="00CA6B69">
        <w:rPr>
          <w:rFonts w:ascii="Times New Roman" w:hAnsi="Times New Roman"/>
        </w:rPr>
        <w:t xml:space="preserve"> javnog zdravstva u stručnoj argumentaciji i analizama neophodnim za do</w:t>
      </w:r>
      <w:r w:rsidR="00460E9D">
        <w:rPr>
          <w:rFonts w:ascii="Times New Roman" w:hAnsi="Times New Roman"/>
        </w:rPr>
        <w:t>nošenje odluka o  racionalizaci</w:t>
      </w:r>
      <w:r w:rsidRPr="00CA6B69">
        <w:rPr>
          <w:rFonts w:ascii="Times New Roman" w:hAnsi="Times New Roman"/>
        </w:rPr>
        <w:t xml:space="preserve">ji  bolničkih kapaciteta u Federaciji BiH. </w:t>
      </w:r>
    </w:p>
    <w:p w:rsidR="00096B44" w:rsidRPr="0082015E" w:rsidRDefault="00096B44" w:rsidP="00096B44">
      <w:pPr>
        <w:rPr>
          <w:rFonts w:ascii="Times New Roman" w:hAnsi="Times New Roman"/>
        </w:rPr>
      </w:pPr>
    </w:p>
    <w:p w:rsidR="00B2225A" w:rsidRPr="0082015E" w:rsidRDefault="00B2225A" w:rsidP="0082015E">
      <w:pPr>
        <w:pStyle w:val="Heading1"/>
        <w:spacing w:line="276" w:lineRule="auto"/>
        <w:rPr>
          <w:rFonts w:ascii="Times New Roman" w:hAnsi="Times New Roman"/>
          <w:sz w:val="22"/>
          <w:szCs w:val="22"/>
        </w:rPr>
      </w:pPr>
    </w:p>
    <w:p w:rsidR="00906E85" w:rsidRPr="00B2225A" w:rsidRDefault="00906E85" w:rsidP="002C3F62">
      <w:pPr>
        <w:spacing w:line="276" w:lineRule="auto"/>
        <w:rPr>
          <w:rFonts w:ascii="Times New Roman" w:hAnsi="Times New Roman"/>
          <w:b/>
          <w:lang w:val="bs-Latn-BA"/>
        </w:rPr>
      </w:pPr>
      <w:r w:rsidRPr="00B2225A">
        <w:rPr>
          <w:rFonts w:ascii="Times New Roman" w:hAnsi="Times New Roman"/>
        </w:rPr>
        <w:br w:type="page"/>
      </w:r>
    </w:p>
    <w:p w:rsidR="00AD1F07" w:rsidRPr="00AD1F07" w:rsidRDefault="00AD1F07" w:rsidP="000C0138">
      <w:pPr>
        <w:keepNext/>
        <w:spacing w:before="360" w:after="120" w:line="276" w:lineRule="auto"/>
        <w:jc w:val="left"/>
        <w:outlineLvl w:val="0"/>
        <w:rPr>
          <w:rFonts w:ascii="Times New Roman" w:hAnsi="Times New Roman"/>
          <w:b/>
          <w:lang w:val="bs-Latn-BA"/>
        </w:rPr>
      </w:pPr>
      <w:bookmarkStart w:id="356" w:name="_Toc456095944"/>
      <w:r w:rsidRPr="00AD1F07">
        <w:rPr>
          <w:rFonts w:ascii="Times New Roman" w:hAnsi="Times New Roman"/>
          <w:b/>
          <w:lang w:val="bs-Latn-BA"/>
        </w:rPr>
        <w:lastRenderedPageBreak/>
        <w:t>9. REFERENCE</w:t>
      </w:r>
      <w:bookmarkEnd w:id="356"/>
    </w:p>
    <w:p w:rsidR="00AD1F07" w:rsidRPr="00AD1F07" w:rsidRDefault="00AD1F07" w:rsidP="000C0138">
      <w:pPr>
        <w:spacing w:after="200" w:line="276" w:lineRule="auto"/>
        <w:ind w:left="360"/>
        <w:jc w:val="left"/>
        <w:rPr>
          <w:rFonts w:ascii="Times New Roman" w:hAnsi="Times New Roman"/>
          <w:lang w:val="bs-Latn-BA"/>
        </w:rPr>
      </w:pPr>
    </w:p>
    <w:p w:rsidR="00AD1F07" w:rsidRPr="00AD1F07" w:rsidRDefault="00AD1F07" w:rsidP="000C0138">
      <w:pPr>
        <w:numPr>
          <w:ilvl w:val="0"/>
          <w:numId w:val="13"/>
        </w:numPr>
        <w:spacing w:before="240" w:after="120" w:line="276" w:lineRule="auto"/>
        <w:ind w:left="714" w:hanging="357"/>
        <w:contextualSpacing/>
        <w:jc w:val="left"/>
        <w:rPr>
          <w:rFonts w:ascii="Times New Roman" w:hAnsi="Times New Roman"/>
          <w:lang w:val="bs-Latn-BA"/>
        </w:rPr>
      </w:pPr>
      <w:r w:rsidRPr="00AD1F07">
        <w:rPr>
          <w:rFonts w:ascii="Times New Roman" w:hAnsi="Times New Roman"/>
          <w:lang w:val="bs-Latn-BA"/>
        </w:rPr>
        <w:t xml:space="preserve">Federalni zavod za statistiku, </w:t>
      </w:r>
      <w:hyperlink r:id="rId140" w:history="1">
        <w:r w:rsidRPr="00AD1F07">
          <w:rPr>
            <w:rFonts w:ascii="Times New Roman" w:eastAsiaTheme="majorEastAsia" w:hAnsi="Times New Roman"/>
            <w:color w:val="0000FF"/>
            <w:u w:val="single"/>
            <w:lang w:val="bs-Latn-BA"/>
          </w:rPr>
          <w:t>www.fzs.ba</w:t>
        </w:r>
      </w:hyperlink>
    </w:p>
    <w:p w:rsidR="00AD1F07" w:rsidRPr="00AD1F07" w:rsidRDefault="00AD1F07" w:rsidP="000C0138">
      <w:pPr>
        <w:numPr>
          <w:ilvl w:val="0"/>
          <w:numId w:val="13"/>
        </w:numPr>
        <w:spacing w:before="240" w:after="120" w:line="276" w:lineRule="auto"/>
        <w:ind w:left="714" w:hanging="357"/>
        <w:contextualSpacing/>
        <w:jc w:val="left"/>
        <w:rPr>
          <w:rFonts w:ascii="Times New Roman" w:hAnsi="Times New Roman"/>
          <w:lang w:val="bs-Latn-BA"/>
        </w:rPr>
      </w:pPr>
      <w:r w:rsidRPr="00AD1F07">
        <w:rPr>
          <w:rFonts w:ascii="Times New Roman" w:hAnsi="Times New Roman"/>
          <w:lang w:val="bs-Latn-BA"/>
        </w:rPr>
        <w:t xml:space="preserve">European Health for all database,WHO, Regional Office for Europe, </w:t>
      </w:r>
      <w:hyperlink r:id="rId141" w:history="1">
        <w:r w:rsidRPr="00AD1F07">
          <w:rPr>
            <w:rFonts w:ascii="Times New Roman" w:eastAsiaTheme="majorEastAsia" w:hAnsi="Times New Roman"/>
            <w:color w:val="0000FF"/>
            <w:u w:val="single"/>
            <w:lang w:val="bs-Latn-BA"/>
          </w:rPr>
          <w:t>www.who.org</w:t>
        </w:r>
      </w:hyperlink>
    </w:p>
    <w:p w:rsidR="00AD1F07" w:rsidRPr="00AD1F07" w:rsidRDefault="00AD1F07" w:rsidP="000C0138">
      <w:pPr>
        <w:numPr>
          <w:ilvl w:val="0"/>
          <w:numId w:val="13"/>
        </w:numPr>
        <w:spacing w:before="240" w:after="120" w:line="276" w:lineRule="auto"/>
        <w:ind w:left="714" w:hanging="357"/>
        <w:contextualSpacing/>
        <w:jc w:val="left"/>
        <w:rPr>
          <w:rFonts w:ascii="Times New Roman" w:hAnsi="Times New Roman"/>
          <w:lang w:val="bs-Latn-BA"/>
        </w:rPr>
      </w:pPr>
      <w:r w:rsidRPr="00AD1F07">
        <w:rPr>
          <w:rFonts w:ascii="Times New Roman" w:eastAsiaTheme="majorEastAsia" w:hAnsi="Times New Roman"/>
          <w:lang w:val="bs-Latn-BA"/>
        </w:rPr>
        <w:t>Federalni zavod za zapošljavanje</w:t>
      </w:r>
      <w:r w:rsidRPr="00AD1F07">
        <w:rPr>
          <w:rFonts w:ascii="Times New Roman" w:eastAsiaTheme="majorEastAsia" w:hAnsi="Times New Roman"/>
          <w:color w:val="0000FF"/>
          <w:u w:val="single"/>
          <w:lang w:val="bs-Latn-BA"/>
        </w:rPr>
        <w:t>, www.fzzz.ba</w:t>
      </w:r>
    </w:p>
    <w:p w:rsidR="00AD1F07" w:rsidRPr="00AD1F07" w:rsidRDefault="00AD1F07" w:rsidP="000C0138">
      <w:pPr>
        <w:numPr>
          <w:ilvl w:val="0"/>
          <w:numId w:val="13"/>
        </w:numPr>
        <w:spacing w:before="240" w:after="120" w:line="276" w:lineRule="auto"/>
        <w:ind w:left="714" w:hanging="357"/>
        <w:contextualSpacing/>
        <w:jc w:val="left"/>
        <w:rPr>
          <w:rFonts w:ascii="Times New Roman" w:hAnsi="Times New Roman"/>
          <w:lang w:val="bs-Latn-BA"/>
        </w:rPr>
      </w:pPr>
      <w:r w:rsidRPr="00AD1F07">
        <w:rPr>
          <w:rFonts w:ascii="Times New Roman" w:hAnsi="Times New Roman"/>
          <w:lang w:val="bs-Latn-BA"/>
        </w:rPr>
        <w:t xml:space="preserve">Anketa o radnoj snazi, Agencija za statistiku BiH, </w:t>
      </w:r>
      <w:hyperlink r:id="rId142" w:history="1">
        <w:r w:rsidRPr="00AD1F07">
          <w:rPr>
            <w:rFonts w:ascii="Times New Roman" w:hAnsi="Times New Roman"/>
            <w:color w:val="0563C1" w:themeColor="hyperlink"/>
            <w:u w:val="single"/>
            <w:lang w:val="bs-Latn-BA"/>
          </w:rPr>
          <w:t>www.bhas.ba/ankete/ARS-2015</w:t>
        </w:r>
      </w:hyperlink>
    </w:p>
    <w:p w:rsidR="00AD1F07" w:rsidRPr="00AD1F07" w:rsidRDefault="00AD1F07" w:rsidP="000C0138">
      <w:pPr>
        <w:numPr>
          <w:ilvl w:val="0"/>
          <w:numId w:val="13"/>
        </w:numPr>
        <w:spacing w:before="240" w:after="120" w:line="276" w:lineRule="auto"/>
        <w:ind w:left="714" w:hanging="357"/>
        <w:contextualSpacing/>
        <w:jc w:val="left"/>
        <w:rPr>
          <w:rFonts w:ascii="Times New Roman" w:hAnsi="Times New Roman"/>
          <w:lang w:val="bs-Latn-BA"/>
        </w:rPr>
      </w:pPr>
      <w:r w:rsidRPr="00AD1F07">
        <w:rPr>
          <w:rFonts w:ascii="Times New Roman" w:hAnsi="Times New Roman"/>
          <w:bCs/>
        </w:rPr>
        <w:t xml:space="preserve">Anketa o potrošnji </w:t>
      </w:r>
      <w:r w:rsidR="00751A8F">
        <w:rPr>
          <w:rFonts w:ascii="Times New Roman" w:hAnsi="Times New Roman"/>
          <w:bCs/>
        </w:rPr>
        <w:t>kućanstava</w:t>
      </w:r>
      <w:r w:rsidRPr="00AD1F07">
        <w:rPr>
          <w:rFonts w:ascii="Times New Roman" w:hAnsi="Times New Roman"/>
          <w:bCs/>
        </w:rPr>
        <w:t xml:space="preserve"> u Bosni i Hercegovini, Agencija za statistiku Bosne i Hercegovine, Sarajevo, 2011</w:t>
      </w:r>
    </w:p>
    <w:p w:rsidR="00AD1F07" w:rsidRPr="00AD1F07" w:rsidRDefault="00AD1F07" w:rsidP="000C0138">
      <w:pPr>
        <w:numPr>
          <w:ilvl w:val="0"/>
          <w:numId w:val="13"/>
        </w:numPr>
        <w:spacing w:before="240" w:after="120" w:line="276" w:lineRule="auto"/>
        <w:ind w:left="714" w:hanging="357"/>
        <w:contextualSpacing/>
        <w:jc w:val="left"/>
        <w:rPr>
          <w:rFonts w:ascii="Times New Roman" w:hAnsi="Times New Roman"/>
          <w:lang w:val="bs-Latn-BA"/>
        </w:rPr>
      </w:pPr>
      <w:r w:rsidRPr="00AD1F07">
        <w:rPr>
          <w:rFonts w:ascii="Times New Roman" w:hAnsi="Times New Roman"/>
          <w:lang w:val="bs-Latn-BA"/>
        </w:rPr>
        <w:t>Istraživanje višestrukih pokazatelja u Federaciji BiH 2011.-2012. godine, UNICEF/FMZ/Zavod za javno zdravstvo Federacije BiH, Sarajevo, 2013.</w:t>
      </w:r>
    </w:p>
    <w:p w:rsidR="00AD1F07" w:rsidRPr="00AD1F07" w:rsidRDefault="00AD1F07" w:rsidP="000C0138">
      <w:pPr>
        <w:numPr>
          <w:ilvl w:val="0"/>
          <w:numId w:val="13"/>
        </w:numPr>
        <w:spacing w:before="240" w:after="120" w:line="276" w:lineRule="auto"/>
        <w:ind w:left="714" w:hanging="357"/>
        <w:contextualSpacing/>
        <w:jc w:val="left"/>
        <w:rPr>
          <w:rFonts w:ascii="Times New Roman" w:hAnsi="Times New Roman"/>
          <w:lang w:val="bs-Latn-BA"/>
        </w:rPr>
      </w:pPr>
      <w:r w:rsidRPr="00AD1F07">
        <w:rPr>
          <w:rFonts w:ascii="Times New Roman" w:hAnsi="Times New Roman"/>
          <w:lang w:val="bs-Latn-BA"/>
        </w:rPr>
        <w:t>The European health report 2015. Targets and beyond-reaching new frontiers in evidence, WHO, 2015.</w:t>
      </w:r>
    </w:p>
    <w:p w:rsidR="00AD1F07" w:rsidRPr="00AD1F07" w:rsidRDefault="00AD1F07" w:rsidP="000C0138">
      <w:pPr>
        <w:numPr>
          <w:ilvl w:val="0"/>
          <w:numId w:val="13"/>
        </w:numPr>
        <w:spacing w:before="240" w:after="120" w:line="276" w:lineRule="auto"/>
        <w:ind w:left="714" w:hanging="357"/>
        <w:contextualSpacing/>
        <w:jc w:val="left"/>
        <w:rPr>
          <w:rFonts w:ascii="Times New Roman" w:hAnsi="Times New Roman"/>
          <w:color w:val="000000"/>
        </w:rPr>
      </w:pPr>
      <w:r w:rsidRPr="00AD1F07">
        <w:rPr>
          <w:rFonts w:ascii="Times New Roman" w:hAnsi="Times New Roman"/>
          <w:color w:val="000000"/>
        </w:rPr>
        <w:t>Globalni akci</w:t>
      </w:r>
      <w:r w:rsidR="00751A8F">
        <w:rPr>
          <w:rFonts w:ascii="Times New Roman" w:hAnsi="Times New Roman"/>
          <w:color w:val="000000"/>
        </w:rPr>
        <w:t>jski</w:t>
      </w:r>
      <w:r w:rsidRPr="00AD1F07">
        <w:rPr>
          <w:rFonts w:ascii="Times New Roman" w:hAnsi="Times New Roman"/>
          <w:color w:val="000000"/>
        </w:rPr>
        <w:t xml:space="preserve"> plan za prevenciju i kontrolu nezaraznih bolesti 2013.-2020., SZO</w:t>
      </w:r>
    </w:p>
    <w:p w:rsidR="00AD1F07" w:rsidRPr="00AD1F07" w:rsidRDefault="00AD1F07" w:rsidP="000C0138">
      <w:pPr>
        <w:numPr>
          <w:ilvl w:val="0"/>
          <w:numId w:val="13"/>
        </w:numPr>
        <w:spacing w:before="240" w:after="120" w:line="276" w:lineRule="auto"/>
        <w:ind w:left="714" w:hanging="357"/>
        <w:contextualSpacing/>
        <w:jc w:val="left"/>
        <w:rPr>
          <w:rFonts w:ascii="Times New Roman" w:hAnsi="Times New Roman"/>
          <w:color w:val="000000"/>
        </w:rPr>
      </w:pPr>
      <w:r w:rsidRPr="00AD1F07">
        <w:rPr>
          <w:rFonts w:ascii="Times New Roman" w:hAnsi="Times New Roman"/>
          <w:color w:val="000000"/>
        </w:rPr>
        <w:t>Studija o stanju zdravlja odrasloga stanovništva u Federaciji Bosne i Hercegovine 2012., Federalno ministarstvo zdravstvo, Zavod za javno zdravstvo Federacije BiH, 2014.</w:t>
      </w:r>
    </w:p>
    <w:p w:rsidR="00AD1F07" w:rsidRPr="00AD1F07" w:rsidRDefault="00AD1F07" w:rsidP="000C0138">
      <w:pPr>
        <w:numPr>
          <w:ilvl w:val="0"/>
          <w:numId w:val="13"/>
        </w:numPr>
        <w:spacing w:before="240" w:after="120" w:line="276" w:lineRule="auto"/>
        <w:ind w:left="714" w:hanging="357"/>
        <w:contextualSpacing/>
        <w:jc w:val="left"/>
        <w:rPr>
          <w:rFonts w:ascii="Times New Roman" w:hAnsi="Times New Roman"/>
          <w:color w:val="000000"/>
        </w:rPr>
      </w:pPr>
      <w:r w:rsidRPr="00AD1F07">
        <w:rPr>
          <w:rFonts w:ascii="Times New Roman" w:hAnsi="Times New Roman"/>
          <w:lang w:val="bs-Latn-BA"/>
        </w:rPr>
        <w:t>Istraživanje o anemiji među djecom i ženama u Federaciji BiH, FMZ/UNICEF/ZZJZFBiH, 2012.</w:t>
      </w:r>
    </w:p>
    <w:p w:rsidR="00AD1F07" w:rsidRPr="00AD1F07" w:rsidRDefault="00AD1F07" w:rsidP="000C0138">
      <w:pPr>
        <w:numPr>
          <w:ilvl w:val="0"/>
          <w:numId w:val="13"/>
        </w:numPr>
        <w:spacing w:before="240" w:after="120" w:line="276" w:lineRule="auto"/>
        <w:ind w:left="714" w:hanging="357"/>
        <w:contextualSpacing/>
        <w:jc w:val="left"/>
        <w:rPr>
          <w:rFonts w:ascii="Times New Roman" w:hAnsi="Times New Roman"/>
          <w:lang w:val="bs-Latn-BA"/>
        </w:rPr>
      </w:pPr>
      <w:r w:rsidRPr="00AD1F07">
        <w:rPr>
          <w:rFonts w:ascii="Times New Roman" w:hAnsi="Times New Roman"/>
          <w:lang w:val="bs-Latn-BA"/>
        </w:rPr>
        <w:t>Globalno istraživanje pušenja kod školske djece i mladih u Federaciji BiH (GYTS) 2013, Federalno ministarstvo zdravstva, Zavod za javno zdravstvo Federacije BiH, 2013</w:t>
      </w:r>
    </w:p>
    <w:p w:rsidR="00AD1F07" w:rsidRPr="00AD1F07" w:rsidRDefault="00AD1F07" w:rsidP="000C0138">
      <w:pPr>
        <w:numPr>
          <w:ilvl w:val="0"/>
          <w:numId w:val="13"/>
        </w:numPr>
        <w:spacing w:before="240" w:after="120" w:line="276" w:lineRule="auto"/>
        <w:ind w:left="714" w:hanging="357"/>
        <w:contextualSpacing/>
        <w:jc w:val="left"/>
        <w:rPr>
          <w:rFonts w:ascii="Times New Roman" w:hAnsi="Times New Roman"/>
          <w:lang w:val="bs-Latn-BA"/>
        </w:rPr>
      </w:pPr>
      <w:r w:rsidRPr="00AD1F07">
        <w:rPr>
          <w:rFonts w:ascii="Times New Roman" w:hAnsi="Times New Roman"/>
        </w:rPr>
        <w:t xml:space="preserve">Bio-bihevioralno istraživanje među injekcionim korisnicima droga u pet gradova u BiH: Banja Luka, Bijeljina, Mostar, Sarajevo, Zenica, 2016. </w:t>
      </w:r>
    </w:p>
    <w:p w:rsidR="00AD1F07" w:rsidRPr="00AD1F07" w:rsidRDefault="00AD1F07" w:rsidP="000C0138">
      <w:pPr>
        <w:numPr>
          <w:ilvl w:val="0"/>
          <w:numId w:val="13"/>
        </w:numPr>
        <w:spacing w:before="240" w:after="120" w:line="276" w:lineRule="auto"/>
        <w:ind w:left="714" w:hanging="357"/>
        <w:contextualSpacing/>
        <w:jc w:val="left"/>
        <w:rPr>
          <w:rFonts w:ascii="Times New Roman" w:hAnsi="Times New Roman"/>
          <w:lang w:val="bs-Latn-BA"/>
        </w:rPr>
      </w:pPr>
      <w:r w:rsidRPr="00AD1F07">
        <w:rPr>
          <w:rFonts w:ascii="Times New Roman" w:hAnsi="Times New Roman"/>
          <w:lang w:val="bs-Latn-BA"/>
        </w:rPr>
        <w:t>Federalni plan upravljanja otpadom 2012.-2014.</w:t>
      </w:r>
    </w:p>
    <w:p w:rsidR="00AD1F07" w:rsidRPr="00AD1F07" w:rsidRDefault="00AD1F07" w:rsidP="000C0138">
      <w:pPr>
        <w:numPr>
          <w:ilvl w:val="0"/>
          <w:numId w:val="13"/>
        </w:numPr>
        <w:spacing w:after="160" w:line="276" w:lineRule="auto"/>
        <w:contextualSpacing/>
        <w:jc w:val="left"/>
        <w:rPr>
          <w:rFonts w:ascii="Times New Roman" w:hAnsi="Times New Roman"/>
        </w:rPr>
      </w:pPr>
      <w:r w:rsidRPr="00AD1F07">
        <w:rPr>
          <w:rFonts w:ascii="Times New Roman" w:hAnsi="Times New Roman"/>
        </w:rPr>
        <w:t>Pravilnik</w:t>
      </w:r>
      <w:r w:rsidRPr="00AD1F07">
        <w:rPr>
          <w:rFonts w:ascii="Times New Roman" w:hAnsi="Times New Roman"/>
          <w:lang w:val="hr-HR"/>
        </w:rPr>
        <w:t xml:space="preserve"> </w:t>
      </w:r>
      <w:r w:rsidRPr="00AD1F07">
        <w:rPr>
          <w:rFonts w:ascii="Times New Roman" w:hAnsi="Times New Roman"/>
        </w:rPr>
        <w:t>o</w:t>
      </w:r>
      <w:r w:rsidRPr="00AD1F07">
        <w:rPr>
          <w:rFonts w:ascii="Times New Roman" w:hAnsi="Times New Roman"/>
          <w:lang w:val="hr-HR"/>
        </w:rPr>
        <w:t xml:space="preserve"> </w:t>
      </w:r>
      <w:r w:rsidRPr="00AD1F07">
        <w:rPr>
          <w:rFonts w:ascii="Times New Roman" w:hAnsi="Times New Roman"/>
        </w:rPr>
        <w:t>upravljanju</w:t>
      </w:r>
      <w:r w:rsidRPr="00AD1F07">
        <w:rPr>
          <w:rFonts w:ascii="Times New Roman" w:hAnsi="Times New Roman"/>
          <w:lang w:val="hr-HR"/>
        </w:rPr>
        <w:t xml:space="preserve"> </w:t>
      </w:r>
      <w:r w:rsidRPr="00AD1F07">
        <w:rPr>
          <w:rFonts w:ascii="Times New Roman" w:hAnsi="Times New Roman"/>
        </w:rPr>
        <w:t>medicinskim</w:t>
      </w:r>
      <w:r w:rsidRPr="00AD1F07">
        <w:rPr>
          <w:rFonts w:ascii="Times New Roman" w:hAnsi="Times New Roman"/>
          <w:lang w:val="hr-HR"/>
        </w:rPr>
        <w:t xml:space="preserve"> </w:t>
      </w:r>
      <w:r w:rsidRPr="00AD1F07">
        <w:rPr>
          <w:rFonts w:ascii="Times New Roman" w:hAnsi="Times New Roman"/>
        </w:rPr>
        <w:t>otpadom</w:t>
      </w:r>
      <w:r w:rsidRPr="00AD1F07">
        <w:rPr>
          <w:rFonts w:ascii="Times New Roman" w:hAnsi="Times New Roman"/>
          <w:lang w:val="hr-HR"/>
        </w:rPr>
        <w:t xml:space="preserve"> </w:t>
      </w:r>
      <w:r w:rsidRPr="00AD1F07">
        <w:rPr>
          <w:rFonts w:ascii="Times New Roman" w:hAnsi="Times New Roman"/>
        </w:rPr>
        <w:t>FBiH</w:t>
      </w:r>
      <w:r w:rsidRPr="00AD1F07">
        <w:rPr>
          <w:rFonts w:ascii="Times New Roman" w:hAnsi="Times New Roman"/>
          <w:lang w:val="hr-HR"/>
        </w:rPr>
        <w:t xml:space="preserve">, </w:t>
      </w:r>
      <w:r w:rsidR="00751A8F">
        <w:rPr>
          <w:rFonts w:ascii="Times New Roman" w:hAnsi="Times New Roman"/>
          <w:lang w:val="hr-HR"/>
        </w:rPr>
        <w:t>„</w:t>
      </w:r>
      <w:r w:rsidRPr="00AD1F07">
        <w:rPr>
          <w:rFonts w:ascii="Times New Roman" w:hAnsi="Times New Roman"/>
          <w:lang w:val="hr-HR"/>
        </w:rPr>
        <w:t>Službene novine FBiH</w:t>
      </w:r>
      <w:r w:rsidR="00751A8F">
        <w:rPr>
          <w:rFonts w:ascii="Times New Roman" w:hAnsi="Times New Roman"/>
          <w:lang w:val="hr-HR"/>
        </w:rPr>
        <w:t>“</w:t>
      </w:r>
      <w:r w:rsidRPr="00AD1F07">
        <w:rPr>
          <w:rFonts w:ascii="Times New Roman" w:hAnsi="Times New Roman"/>
          <w:lang w:val="hr-HR"/>
        </w:rPr>
        <w:t xml:space="preserve"> broj 33/03, 2007.</w:t>
      </w:r>
    </w:p>
    <w:p w:rsidR="00AD1F07" w:rsidRPr="00AD1F07" w:rsidRDefault="00751A8F" w:rsidP="000C0138">
      <w:pPr>
        <w:numPr>
          <w:ilvl w:val="0"/>
          <w:numId w:val="13"/>
        </w:numPr>
        <w:spacing w:after="160" w:line="276" w:lineRule="auto"/>
        <w:contextualSpacing/>
        <w:jc w:val="left"/>
        <w:rPr>
          <w:rFonts w:ascii="Times New Roman" w:hAnsi="Times New Roman"/>
        </w:rPr>
      </w:pPr>
      <w:r>
        <w:rPr>
          <w:rFonts w:ascii="Times New Roman" w:hAnsi="Times New Roman"/>
        </w:rPr>
        <w:t>Baz</w:t>
      </w:r>
      <w:r w:rsidR="00AD1F07" w:rsidRPr="00AD1F07">
        <w:rPr>
          <w:rFonts w:ascii="Times New Roman" w:hAnsi="Times New Roman"/>
        </w:rPr>
        <w:t>elske konvencije o prekograničnom prometu opasnog otpada i njegovom odlaganju</w:t>
      </w:r>
    </w:p>
    <w:p w:rsidR="00AD1F07" w:rsidRPr="00AD1F07" w:rsidRDefault="00AD1F07" w:rsidP="000C0138">
      <w:pPr>
        <w:numPr>
          <w:ilvl w:val="0"/>
          <w:numId w:val="13"/>
        </w:numPr>
        <w:spacing w:before="240" w:after="120" w:line="276" w:lineRule="auto"/>
        <w:contextualSpacing/>
        <w:jc w:val="left"/>
        <w:rPr>
          <w:rFonts w:ascii="Times New Roman" w:hAnsi="Times New Roman"/>
          <w:lang w:val="bs-Latn-BA"/>
        </w:rPr>
      </w:pPr>
      <w:r w:rsidRPr="00AD1F07">
        <w:rPr>
          <w:rFonts w:ascii="Times New Roman" w:hAnsi="Times New Roman"/>
          <w:lang w:val="bs-Latn-BA"/>
        </w:rPr>
        <w:t>Zakon o zdravstvenoj zaštiti, Sl. novine br. 46/10</w:t>
      </w:r>
    </w:p>
    <w:p w:rsidR="00AD1F07" w:rsidRPr="00AD1F07" w:rsidRDefault="00AD1F07" w:rsidP="000C0138">
      <w:pPr>
        <w:numPr>
          <w:ilvl w:val="0"/>
          <w:numId w:val="13"/>
        </w:numPr>
        <w:spacing w:before="240" w:after="120" w:line="276" w:lineRule="auto"/>
        <w:contextualSpacing/>
        <w:jc w:val="left"/>
        <w:rPr>
          <w:rFonts w:ascii="Times New Roman" w:hAnsi="Times New Roman"/>
          <w:lang w:val="bs-Latn-BA"/>
        </w:rPr>
      </w:pPr>
      <w:r w:rsidRPr="00AD1F07">
        <w:rPr>
          <w:rFonts w:ascii="Times New Roman" w:hAnsi="Times New Roman"/>
          <w:lang w:val="bs-Latn-BA"/>
        </w:rPr>
        <w:t>Zakon o zdravstvenom osiguranju, Sl. novine br. 30/97</w:t>
      </w:r>
    </w:p>
    <w:p w:rsidR="00AD1F07" w:rsidRPr="00AD1F07" w:rsidRDefault="00AD1F07" w:rsidP="000C0138">
      <w:pPr>
        <w:numPr>
          <w:ilvl w:val="0"/>
          <w:numId w:val="13"/>
        </w:numPr>
        <w:spacing w:before="240" w:after="120" w:line="276" w:lineRule="auto"/>
        <w:contextualSpacing/>
        <w:jc w:val="left"/>
        <w:rPr>
          <w:rFonts w:ascii="Times New Roman" w:hAnsi="Times New Roman"/>
          <w:lang w:val="bs-Latn-BA"/>
        </w:rPr>
      </w:pPr>
      <w:r w:rsidRPr="00AD1F07">
        <w:rPr>
          <w:rFonts w:ascii="Times New Roman" w:eastAsia="Calibri" w:hAnsi="Times New Roman"/>
          <w:lang w:val="bs-Latn-BA"/>
        </w:rPr>
        <w:t>Politika unapređenja ranog rasta i razvoja djece u FBiH, Vlada Federacije BiH, 2011.</w:t>
      </w:r>
      <w:r w:rsidRPr="00AD1F07">
        <w:rPr>
          <w:rFonts w:ascii="Times New Roman" w:hAnsi="Times New Roman"/>
          <w:lang w:val="bs-Latn-BA"/>
        </w:rPr>
        <w:t xml:space="preserve"> </w:t>
      </w:r>
    </w:p>
    <w:p w:rsidR="00AD1F07" w:rsidRPr="00AD1F07" w:rsidRDefault="00AD1F07" w:rsidP="000C0138">
      <w:pPr>
        <w:numPr>
          <w:ilvl w:val="0"/>
          <w:numId w:val="13"/>
        </w:numPr>
        <w:spacing w:before="240" w:after="120" w:line="276" w:lineRule="auto"/>
        <w:contextualSpacing/>
        <w:jc w:val="left"/>
        <w:rPr>
          <w:rFonts w:ascii="Times New Roman" w:hAnsi="Times New Roman"/>
          <w:lang w:val="bs-Latn-BA"/>
        </w:rPr>
      </w:pPr>
      <w:r w:rsidRPr="00AD1F07">
        <w:rPr>
          <w:rFonts w:ascii="Times New Roman" w:eastAsia="Calibri" w:hAnsi="Times New Roman"/>
          <w:lang w:val="bs-Latn-BA"/>
        </w:rPr>
        <w:t xml:space="preserve">Strateški plan za unapređenje ranog rasta i </w:t>
      </w:r>
      <w:r w:rsidRPr="00AD1F07">
        <w:rPr>
          <w:rFonts w:ascii="Times New Roman" w:eastAsiaTheme="minorHAnsi" w:hAnsi="Times New Roman"/>
          <w:lang w:val="bs-Latn-BA"/>
        </w:rPr>
        <w:t>razvoja djece u FBiH 2013-2017.,</w:t>
      </w:r>
      <w:r w:rsidRPr="00AD1F07">
        <w:rPr>
          <w:rFonts w:ascii="Times New Roman" w:eastAsia="Calibri" w:hAnsi="Times New Roman"/>
          <w:lang w:val="bs-Latn-BA"/>
        </w:rPr>
        <w:t xml:space="preserve"> Federalno ministarstvo zdravstva, 2013.</w:t>
      </w:r>
    </w:p>
    <w:p w:rsidR="00AD1F07" w:rsidRPr="00AD1F07" w:rsidRDefault="00AD1F07" w:rsidP="000C0138">
      <w:pPr>
        <w:numPr>
          <w:ilvl w:val="0"/>
          <w:numId w:val="13"/>
        </w:numPr>
        <w:spacing w:before="240" w:after="120" w:line="276" w:lineRule="auto"/>
        <w:contextualSpacing/>
        <w:jc w:val="left"/>
        <w:rPr>
          <w:rFonts w:ascii="Times New Roman" w:hAnsi="Times New Roman"/>
          <w:lang w:val="bs-Latn-BA"/>
        </w:rPr>
      </w:pPr>
      <w:r w:rsidRPr="00AD1F07">
        <w:rPr>
          <w:rFonts w:ascii="Times New Roman" w:eastAsiaTheme="minorHAnsi" w:hAnsi="Times New Roman"/>
          <w:lang w:val="bs-Latn-BA"/>
        </w:rPr>
        <w:t xml:space="preserve">Pravilnik o kontinuiranoj profesionalnoj edukaciji u </w:t>
      </w:r>
      <w:r w:rsidR="00751A8F">
        <w:rPr>
          <w:rFonts w:ascii="Times New Roman" w:eastAsiaTheme="minorHAnsi" w:hAnsi="Times New Roman"/>
          <w:lang w:val="bs-Latn-BA"/>
        </w:rPr>
        <w:t>području</w:t>
      </w:r>
      <w:r w:rsidRPr="00AD1F07">
        <w:rPr>
          <w:rFonts w:ascii="Times New Roman" w:eastAsiaTheme="minorHAnsi" w:hAnsi="Times New Roman"/>
          <w:lang w:val="bs-Latn-BA"/>
        </w:rPr>
        <w:t xml:space="preserve"> rane detekcije, dijagnostike, intervencije i praćenje razvojih i drugih poremećaja koji utječu na rast i razvoj djece (</w:t>
      </w:r>
      <w:r w:rsidR="00751A8F">
        <w:rPr>
          <w:rFonts w:ascii="Times New Roman" w:eastAsiaTheme="minorHAnsi" w:hAnsi="Times New Roman"/>
          <w:lang w:val="bs-Latn-BA"/>
        </w:rPr>
        <w:t>„</w:t>
      </w:r>
      <w:r w:rsidRPr="00AD1F07">
        <w:rPr>
          <w:rFonts w:ascii="Times New Roman" w:eastAsiaTheme="minorHAnsi" w:hAnsi="Times New Roman"/>
          <w:lang w:val="bs-Latn-BA"/>
        </w:rPr>
        <w:t>Službene novine Federacije Bosne i Hercegovine</w:t>
      </w:r>
      <w:r w:rsidR="00751A8F">
        <w:rPr>
          <w:rFonts w:ascii="Times New Roman" w:eastAsiaTheme="minorHAnsi" w:hAnsi="Times New Roman"/>
          <w:lang w:val="bs-Latn-BA"/>
        </w:rPr>
        <w:t>“,</w:t>
      </w:r>
      <w:r w:rsidRPr="00AD1F07">
        <w:rPr>
          <w:rFonts w:ascii="Times New Roman" w:eastAsiaTheme="minorHAnsi" w:hAnsi="Times New Roman"/>
          <w:lang w:val="bs-Latn-BA"/>
        </w:rPr>
        <w:t xml:space="preserve"> 82/13)</w:t>
      </w:r>
    </w:p>
    <w:p w:rsidR="00AD1F07" w:rsidRPr="00AD1F07" w:rsidRDefault="00AD1F07" w:rsidP="000C0138">
      <w:pPr>
        <w:spacing w:before="240" w:after="120" w:line="276" w:lineRule="auto"/>
        <w:ind w:left="720"/>
        <w:contextualSpacing/>
        <w:rPr>
          <w:rFonts w:ascii="Times New Roman" w:hAnsi="Times New Roman"/>
          <w:lang w:val="bs-Latn-BA"/>
        </w:rPr>
      </w:pPr>
    </w:p>
    <w:p w:rsidR="00906E85" w:rsidRPr="00155F80" w:rsidRDefault="00906E85" w:rsidP="000C0138">
      <w:pPr>
        <w:spacing w:after="200" w:line="276" w:lineRule="auto"/>
        <w:ind w:left="360"/>
        <w:jc w:val="left"/>
        <w:rPr>
          <w:rFonts w:ascii="Times New Roman" w:hAnsi="Times New Roman"/>
          <w:lang w:val="bs-Latn-BA"/>
        </w:rPr>
      </w:pPr>
    </w:p>
    <w:sectPr w:rsidR="00906E85" w:rsidRPr="00155F80">
      <w:footerReference w:type="default" r:id="rId143"/>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B0B91" w:rsidRDefault="00BB0B91" w:rsidP="0092435E">
      <w:r>
        <w:separator/>
      </w:r>
    </w:p>
  </w:endnote>
  <w:endnote w:type="continuationSeparator" w:id="0">
    <w:p w:rsidR="00BB0B91" w:rsidRDefault="00BB0B91" w:rsidP="0092435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10002FF" w:usb1="4000ACFF" w:usb2="00000009" w:usb3="00000000" w:csb0="0000019F" w:csb1="00000000"/>
  </w:font>
  <w:font w:name="Calibri Light">
    <w:altName w:val="Arial"/>
    <w:charset w:val="EE"/>
    <w:family w:val="swiss"/>
    <w:pitch w:val="variable"/>
    <w:sig w:usb0="00000000" w:usb1="C000247B" w:usb2="00000009" w:usb3="00000000" w:csb0="000001FF" w:csb1="00000000"/>
  </w:font>
  <w:font w:name="Arial">
    <w:panose1 w:val="020B0604020202020204"/>
    <w:charset w:val="EE"/>
    <w:family w:val="swiss"/>
    <w:pitch w:val="variable"/>
    <w:sig w:usb0="E0002AFF" w:usb1="C0007843" w:usb2="00000009" w:usb3="00000000" w:csb0="000001FF" w:csb1="00000000"/>
  </w:font>
  <w:font w:name="Segoe UI">
    <w:panose1 w:val="020B0502040204020203"/>
    <w:charset w:val="EE"/>
    <w:family w:val="swiss"/>
    <w:pitch w:val="variable"/>
    <w:sig w:usb0="E10022FF" w:usb1="C000E47F" w:usb2="00000029" w:usb3="00000000" w:csb0="000001DF" w:csb1="00000000"/>
  </w:font>
  <w:font w:name="4D Times Roman">
    <w:altName w:val="Courier New"/>
    <w:charset w:val="00"/>
    <w:family w:val="roman"/>
    <w:pitch w:val="variable"/>
    <w:sig w:usb0="00000003" w:usb1="00000000" w:usb2="00000000" w:usb3="00000000" w:csb0="00000001" w:csb1="00000000"/>
  </w:font>
  <w:font w:name="Arial Narrow">
    <w:panose1 w:val="020B0606020202030204"/>
    <w:charset w:val="EE"/>
    <w:family w:val="swiss"/>
    <w:pitch w:val="variable"/>
    <w:sig w:usb0="00000287" w:usb1="00000800" w:usb2="00000000" w:usb3="00000000" w:csb0="0000009F" w:csb1="00000000"/>
  </w:font>
  <w:font w:name="Cambria Math">
    <w:panose1 w:val="02040503050406030204"/>
    <w:charset w:val="EE"/>
    <w:family w:val="roman"/>
    <w:pitch w:val="variable"/>
    <w:sig w:usb0="E00002FF" w:usb1="42002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37895818"/>
      <w:docPartObj>
        <w:docPartGallery w:val="Page Numbers (Bottom of Page)"/>
        <w:docPartUnique/>
      </w:docPartObj>
    </w:sdtPr>
    <w:sdtEndPr>
      <w:rPr>
        <w:noProof/>
      </w:rPr>
    </w:sdtEndPr>
    <w:sdtContent>
      <w:p w:rsidR="00606974" w:rsidRDefault="00606974">
        <w:pPr>
          <w:pStyle w:val="Footer"/>
          <w:jc w:val="right"/>
        </w:pPr>
        <w:r>
          <w:fldChar w:fldCharType="begin"/>
        </w:r>
        <w:r>
          <w:instrText xml:space="preserve"> PAGE   \* MERGEFORMAT </w:instrText>
        </w:r>
        <w:r>
          <w:fldChar w:fldCharType="separate"/>
        </w:r>
        <w:r w:rsidR="00CC2E5C">
          <w:rPr>
            <w:noProof/>
          </w:rPr>
          <w:t>7</w:t>
        </w:r>
        <w:r>
          <w:rPr>
            <w:noProof/>
          </w:rPr>
          <w:fldChar w:fldCharType="end"/>
        </w:r>
      </w:p>
    </w:sdtContent>
  </w:sdt>
  <w:p w:rsidR="00606974" w:rsidRDefault="0060697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B0B91" w:rsidRDefault="00BB0B91" w:rsidP="0092435E">
      <w:r>
        <w:separator/>
      </w:r>
    </w:p>
  </w:footnote>
  <w:footnote w:type="continuationSeparator" w:id="0">
    <w:p w:rsidR="00BB0B91" w:rsidRDefault="00BB0B91" w:rsidP="0092435E">
      <w:r>
        <w:continuationSeparator/>
      </w:r>
    </w:p>
  </w:footnote>
  <w:footnote w:id="1">
    <w:p w:rsidR="00606974" w:rsidRPr="00587D8D" w:rsidRDefault="00606974" w:rsidP="00A131AD">
      <w:pPr>
        <w:pStyle w:val="FootnoteText"/>
        <w:rPr>
          <w:rFonts w:ascii="Times New Roman" w:hAnsi="Times New Roman"/>
          <w:lang w:val="bs-Latn-BA"/>
        </w:rPr>
      </w:pPr>
      <w:r>
        <w:rPr>
          <w:rStyle w:val="FootnoteReference"/>
        </w:rPr>
        <w:footnoteRef/>
      </w:r>
      <w:r w:rsidRPr="00587D8D">
        <w:rPr>
          <w:lang w:val="hr-HR"/>
        </w:rPr>
        <w:t xml:space="preserve"> </w:t>
      </w:r>
      <w:r>
        <w:t>Ured</w:t>
      </w:r>
      <w:r w:rsidRPr="00587D8D">
        <w:rPr>
          <w:lang w:val="hr-HR"/>
        </w:rPr>
        <w:t xml:space="preserve"> </w:t>
      </w:r>
      <w:r>
        <w:t>UNICEFa</w:t>
      </w:r>
      <w:r w:rsidRPr="00587D8D">
        <w:rPr>
          <w:lang w:val="hr-HR"/>
        </w:rPr>
        <w:t xml:space="preserve"> </w:t>
      </w:r>
      <w:r>
        <w:t>za</w:t>
      </w:r>
      <w:r w:rsidRPr="00587D8D">
        <w:rPr>
          <w:lang w:val="hr-HR"/>
        </w:rPr>
        <w:t xml:space="preserve"> </w:t>
      </w:r>
      <w:r>
        <w:t>BiH</w:t>
      </w:r>
      <w:r w:rsidRPr="00587D8D">
        <w:rPr>
          <w:lang w:val="hr-HR"/>
        </w:rPr>
        <w:t xml:space="preserve">  </w:t>
      </w:r>
      <w:r>
        <w:rPr>
          <w:rFonts w:ascii="Times New Roman" w:hAnsi="Times New Roman"/>
          <w:lang w:val="bs-Latn-BA"/>
        </w:rPr>
        <w:t>Istraživački projekat „Jodni status trudnica i dojilja u Bosni i Hercegovini“, 2007/08</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2F0466"/>
    <w:multiLevelType w:val="hybridMultilevel"/>
    <w:tmpl w:val="B8B6B3E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1">
    <w:nsid w:val="0CA259CE"/>
    <w:multiLevelType w:val="hybridMultilevel"/>
    <w:tmpl w:val="18A4A360"/>
    <w:lvl w:ilvl="0" w:tplc="04090001">
      <w:start w:val="1"/>
      <w:numFmt w:val="bullet"/>
      <w:lvlText w:val=""/>
      <w:lvlJc w:val="left"/>
      <w:pPr>
        <w:tabs>
          <w:tab w:val="num" w:pos="1080"/>
        </w:tabs>
        <w:ind w:left="108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
    <w:nsid w:val="0D9E0F33"/>
    <w:multiLevelType w:val="hybridMultilevel"/>
    <w:tmpl w:val="42BECFFA"/>
    <w:lvl w:ilvl="0" w:tplc="141A000F">
      <w:start w:val="1"/>
      <w:numFmt w:val="decimal"/>
      <w:lvlText w:val="%1."/>
      <w:lvlJc w:val="left"/>
      <w:pPr>
        <w:ind w:left="720" w:hanging="360"/>
      </w:pPr>
      <w:rPr>
        <w:rFonts w:hint="default"/>
      </w:rPr>
    </w:lvl>
    <w:lvl w:ilvl="1" w:tplc="141A0019" w:tentative="1">
      <w:start w:val="1"/>
      <w:numFmt w:val="lowerLetter"/>
      <w:lvlText w:val="%2."/>
      <w:lvlJc w:val="left"/>
      <w:pPr>
        <w:ind w:left="1440" w:hanging="360"/>
      </w:pPr>
    </w:lvl>
    <w:lvl w:ilvl="2" w:tplc="141A001B" w:tentative="1">
      <w:start w:val="1"/>
      <w:numFmt w:val="lowerRoman"/>
      <w:lvlText w:val="%3."/>
      <w:lvlJc w:val="right"/>
      <w:pPr>
        <w:ind w:left="2160" w:hanging="180"/>
      </w:pPr>
    </w:lvl>
    <w:lvl w:ilvl="3" w:tplc="141A000F" w:tentative="1">
      <w:start w:val="1"/>
      <w:numFmt w:val="decimal"/>
      <w:lvlText w:val="%4."/>
      <w:lvlJc w:val="left"/>
      <w:pPr>
        <w:ind w:left="2880" w:hanging="360"/>
      </w:pPr>
    </w:lvl>
    <w:lvl w:ilvl="4" w:tplc="141A0019" w:tentative="1">
      <w:start w:val="1"/>
      <w:numFmt w:val="lowerLetter"/>
      <w:lvlText w:val="%5."/>
      <w:lvlJc w:val="left"/>
      <w:pPr>
        <w:ind w:left="3600" w:hanging="360"/>
      </w:pPr>
    </w:lvl>
    <w:lvl w:ilvl="5" w:tplc="141A001B" w:tentative="1">
      <w:start w:val="1"/>
      <w:numFmt w:val="lowerRoman"/>
      <w:lvlText w:val="%6."/>
      <w:lvlJc w:val="right"/>
      <w:pPr>
        <w:ind w:left="4320" w:hanging="180"/>
      </w:pPr>
    </w:lvl>
    <w:lvl w:ilvl="6" w:tplc="141A000F" w:tentative="1">
      <w:start w:val="1"/>
      <w:numFmt w:val="decimal"/>
      <w:lvlText w:val="%7."/>
      <w:lvlJc w:val="left"/>
      <w:pPr>
        <w:ind w:left="5040" w:hanging="360"/>
      </w:pPr>
    </w:lvl>
    <w:lvl w:ilvl="7" w:tplc="141A0019" w:tentative="1">
      <w:start w:val="1"/>
      <w:numFmt w:val="lowerLetter"/>
      <w:lvlText w:val="%8."/>
      <w:lvlJc w:val="left"/>
      <w:pPr>
        <w:ind w:left="5760" w:hanging="360"/>
      </w:pPr>
    </w:lvl>
    <w:lvl w:ilvl="8" w:tplc="141A001B" w:tentative="1">
      <w:start w:val="1"/>
      <w:numFmt w:val="lowerRoman"/>
      <w:lvlText w:val="%9."/>
      <w:lvlJc w:val="right"/>
      <w:pPr>
        <w:ind w:left="6480" w:hanging="180"/>
      </w:pPr>
    </w:lvl>
  </w:abstractNum>
  <w:abstractNum w:abstractNumId="3">
    <w:nsid w:val="0E5F7F2E"/>
    <w:multiLevelType w:val="hybridMultilevel"/>
    <w:tmpl w:val="A6B03F30"/>
    <w:lvl w:ilvl="0" w:tplc="141A0001">
      <w:start w:val="1"/>
      <w:numFmt w:val="bullet"/>
      <w:lvlText w:val=""/>
      <w:lvlJc w:val="left"/>
      <w:pPr>
        <w:ind w:left="720" w:hanging="360"/>
      </w:pPr>
      <w:rPr>
        <w:rFonts w:ascii="Symbol" w:hAnsi="Symbol"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4">
    <w:nsid w:val="0FE62E0C"/>
    <w:multiLevelType w:val="hybridMultilevel"/>
    <w:tmpl w:val="79AC625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nsid w:val="13FB318D"/>
    <w:multiLevelType w:val="hybridMultilevel"/>
    <w:tmpl w:val="5DE6AE54"/>
    <w:lvl w:ilvl="0" w:tplc="141A0001">
      <w:start w:val="1"/>
      <w:numFmt w:val="bullet"/>
      <w:lvlText w:val=""/>
      <w:lvlJc w:val="left"/>
      <w:pPr>
        <w:ind w:left="3600" w:hanging="360"/>
      </w:pPr>
      <w:rPr>
        <w:rFonts w:ascii="Symbol" w:hAnsi="Symbol" w:hint="default"/>
      </w:rPr>
    </w:lvl>
    <w:lvl w:ilvl="1" w:tplc="141A0003" w:tentative="1">
      <w:start w:val="1"/>
      <w:numFmt w:val="bullet"/>
      <w:lvlText w:val="o"/>
      <w:lvlJc w:val="left"/>
      <w:pPr>
        <w:ind w:left="4320" w:hanging="360"/>
      </w:pPr>
      <w:rPr>
        <w:rFonts w:ascii="Courier New" w:hAnsi="Courier New" w:cs="Courier New" w:hint="default"/>
      </w:rPr>
    </w:lvl>
    <w:lvl w:ilvl="2" w:tplc="141A0005" w:tentative="1">
      <w:start w:val="1"/>
      <w:numFmt w:val="bullet"/>
      <w:lvlText w:val=""/>
      <w:lvlJc w:val="left"/>
      <w:pPr>
        <w:ind w:left="5040" w:hanging="360"/>
      </w:pPr>
      <w:rPr>
        <w:rFonts w:ascii="Wingdings" w:hAnsi="Wingdings" w:hint="default"/>
      </w:rPr>
    </w:lvl>
    <w:lvl w:ilvl="3" w:tplc="141A0001" w:tentative="1">
      <w:start w:val="1"/>
      <w:numFmt w:val="bullet"/>
      <w:lvlText w:val=""/>
      <w:lvlJc w:val="left"/>
      <w:pPr>
        <w:ind w:left="5760" w:hanging="360"/>
      </w:pPr>
      <w:rPr>
        <w:rFonts w:ascii="Symbol" w:hAnsi="Symbol" w:hint="default"/>
      </w:rPr>
    </w:lvl>
    <w:lvl w:ilvl="4" w:tplc="141A0003" w:tentative="1">
      <w:start w:val="1"/>
      <w:numFmt w:val="bullet"/>
      <w:lvlText w:val="o"/>
      <w:lvlJc w:val="left"/>
      <w:pPr>
        <w:ind w:left="6480" w:hanging="360"/>
      </w:pPr>
      <w:rPr>
        <w:rFonts w:ascii="Courier New" w:hAnsi="Courier New" w:cs="Courier New" w:hint="default"/>
      </w:rPr>
    </w:lvl>
    <w:lvl w:ilvl="5" w:tplc="141A0005" w:tentative="1">
      <w:start w:val="1"/>
      <w:numFmt w:val="bullet"/>
      <w:lvlText w:val=""/>
      <w:lvlJc w:val="left"/>
      <w:pPr>
        <w:ind w:left="7200" w:hanging="360"/>
      </w:pPr>
      <w:rPr>
        <w:rFonts w:ascii="Wingdings" w:hAnsi="Wingdings" w:hint="default"/>
      </w:rPr>
    </w:lvl>
    <w:lvl w:ilvl="6" w:tplc="141A0001" w:tentative="1">
      <w:start w:val="1"/>
      <w:numFmt w:val="bullet"/>
      <w:lvlText w:val=""/>
      <w:lvlJc w:val="left"/>
      <w:pPr>
        <w:ind w:left="7920" w:hanging="360"/>
      </w:pPr>
      <w:rPr>
        <w:rFonts w:ascii="Symbol" w:hAnsi="Symbol" w:hint="default"/>
      </w:rPr>
    </w:lvl>
    <w:lvl w:ilvl="7" w:tplc="141A0003" w:tentative="1">
      <w:start w:val="1"/>
      <w:numFmt w:val="bullet"/>
      <w:lvlText w:val="o"/>
      <w:lvlJc w:val="left"/>
      <w:pPr>
        <w:ind w:left="8640" w:hanging="360"/>
      </w:pPr>
      <w:rPr>
        <w:rFonts w:ascii="Courier New" w:hAnsi="Courier New" w:cs="Courier New" w:hint="default"/>
      </w:rPr>
    </w:lvl>
    <w:lvl w:ilvl="8" w:tplc="141A0005" w:tentative="1">
      <w:start w:val="1"/>
      <w:numFmt w:val="bullet"/>
      <w:lvlText w:val=""/>
      <w:lvlJc w:val="left"/>
      <w:pPr>
        <w:ind w:left="9360" w:hanging="360"/>
      </w:pPr>
      <w:rPr>
        <w:rFonts w:ascii="Wingdings" w:hAnsi="Wingdings" w:hint="default"/>
      </w:rPr>
    </w:lvl>
  </w:abstractNum>
  <w:abstractNum w:abstractNumId="6">
    <w:nsid w:val="1976691B"/>
    <w:multiLevelType w:val="multilevel"/>
    <w:tmpl w:val="C3A2968A"/>
    <w:lvl w:ilvl="0">
      <w:start w:val="1"/>
      <w:numFmt w:val="decimal"/>
      <w:pStyle w:val="Poglavlje1"/>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7">
    <w:nsid w:val="1C732A76"/>
    <w:multiLevelType w:val="hybridMultilevel"/>
    <w:tmpl w:val="13F64934"/>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8">
    <w:nsid w:val="375D3186"/>
    <w:multiLevelType w:val="hybridMultilevel"/>
    <w:tmpl w:val="324854AE"/>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9">
    <w:nsid w:val="38AE1C89"/>
    <w:multiLevelType w:val="hybridMultilevel"/>
    <w:tmpl w:val="FA7AC556"/>
    <w:lvl w:ilvl="0" w:tplc="141A0001">
      <w:start w:val="1"/>
      <w:numFmt w:val="bullet"/>
      <w:lvlText w:val=""/>
      <w:lvlJc w:val="left"/>
      <w:pPr>
        <w:ind w:left="720" w:hanging="360"/>
      </w:pPr>
      <w:rPr>
        <w:rFonts w:ascii="Symbol" w:hAnsi="Symbol"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10">
    <w:nsid w:val="3DDF6073"/>
    <w:multiLevelType w:val="hybridMultilevel"/>
    <w:tmpl w:val="D056ED2A"/>
    <w:lvl w:ilvl="0" w:tplc="141A0001">
      <w:start w:val="1"/>
      <w:numFmt w:val="bullet"/>
      <w:lvlText w:val=""/>
      <w:lvlJc w:val="left"/>
      <w:pPr>
        <w:ind w:left="720" w:hanging="360"/>
      </w:pPr>
      <w:rPr>
        <w:rFonts w:ascii="Symbol" w:hAnsi="Symbol"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11">
    <w:nsid w:val="3F5C6969"/>
    <w:multiLevelType w:val="hybridMultilevel"/>
    <w:tmpl w:val="3A4AB9BE"/>
    <w:lvl w:ilvl="0" w:tplc="141A0001">
      <w:start w:val="1"/>
      <w:numFmt w:val="bullet"/>
      <w:lvlText w:val=""/>
      <w:lvlJc w:val="left"/>
      <w:pPr>
        <w:ind w:left="720" w:hanging="360"/>
      </w:pPr>
      <w:rPr>
        <w:rFonts w:ascii="Symbol" w:hAnsi="Symbol"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12">
    <w:nsid w:val="41B17271"/>
    <w:multiLevelType w:val="hybridMultilevel"/>
    <w:tmpl w:val="5162B09C"/>
    <w:lvl w:ilvl="0" w:tplc="141A0001">
      <w:start w:val="1"/>
      <w:numFmt w:val="bullet"/>
      <w:lvlText w:val=""/>
      <w:lvlJc w:val="left"/>
      <w:pPr>
        <w:ind w:left="360" w:hanging="360"/>
      </w:pPr>
      <w:rPr>
        <w:rFonts w:ascii="Symbol" w:hAnsi="Symbol" w:hint="default"/>
      </w:rPr>
    </w:lvl>
    <w:lvl w:ilvl="1" w:tplc="141A0003" w:tentative="1">
      <w:start w:val="1"/>
      <w:numFmt w:val="bullet"/>
      <w:lvlText w:val="o"/>
      <w:lvlJc w:val="left"/>
      <w:pPr>
        <w:ind w:left="1080" w:hanging="360"/>
      </w:pPr>
      <w:rPr>
        <w:rFonts w:ascii="Courier New" w:hAnsi="Courier New" w:cs="Courier New" w:hint="default"/>
      </w:rPr>
    </w:lvl>
    <w:lvl w:ilvl="2" w:tplc="141A0005" w:tentative="1">
      <w:start w:val="1"/>
      <w:numFmt w:val="bullet"/>
      <w:lvlText w:val=""/>
      <w:lvlJc w:val="left"/>
      <w:pPr>
        <w:ind w:left="1800" w:hanging="360"/>
      </w:pPr>
      <w:rPr>
        <w:rFonts w:ascii="Wingdings" w:hAnsi="Wingdings" w:hint="default"/>
      </w:rPr>
    </w:lvl>
    <w:lvl w:ilvl="3" w:tplc="141A0001" w:tentative="1">
      <w:start w:val="1"/>
      <w:numFmt w:val="bullet"/>
      <w:lvlText w:val=""/>
      <w:lvlJc w:val="left"/>
      <w:pPr>
        <w:ind w:left="2520" w:hanging="360"/>
      </w:pPr>
      <w:rPr>
        <w:rFonts w:ascii="Symbol" w:hAnsi="Symbol" w:hint="default"/>
      </w:rPr>
    </w:lvl>
    <w:lvl w:ilvl="4" w:tplc="141A0003" w:tentative="1">
      <w:start w:val="1"/>
      <w:numFmt w:val="bullet"/>
      <w:lvlText w:val="o"/>
      <w:lvlJc w:val="left"/>
      <w:pPr>
        <w:ind w:left="3240" w:hanging="360"/>
      </w:pPr>
      <w:rPr>
        <w:rFonts w:ascii="Courier New" w:hAnsi="Courier New" w:cs="Courier New" w:hint="default"/>
      </w:rPr>
    </w:lvl>
    <w:lvl w:ilvl="5" w:tplc="141A0005" w:tentative="1">
      <w:start w:val="1"/>
      <w:numFmt w:val="bullet"/>
      <w:lvlText w:val=""/>
      <w:lvlJc w:val="left"/>
      <w:pPr>
        <w:ind w:left="3960" w:hanging="360"/>
      </w:pPr>
      <w:rPr>
        <w:rFonts w:ascii="Wingdings" w:hAnsi="Wingdings" w:hint="default"/>
      </w:rPr>
    </w:lvl>
    <w:lvl w:ilvl="6" w:tplc="141A0001" w:tentative="1">
      <w:start w:val="1"/>
      <w:numFmt w:val="bullet"/>
      <w:lvlText w:val=""/>
      <w:lvlJc w:val="left"/>
      <w:pPr>
        <w:ind w:left="4680" w:hanging="360"/>
      </w:pPr>
      <w:rPr>
        <w:rFonts w:ascii="Symbol" w:hAnsi="Symbol" w:hint="default"/>
      </w:rPr>
    </w:lvl>
    <w:lvl w:ilvl="7" w:tplc="141A0003" w:tentative="1">
      <w:start w:val="1"/>
      <w:numFmt w:val="bullet"/>
      <w:lvlText w:val="o"/>
      <w:lvlJc w:val="left"/>
      <w:pPr>
        <w:ind w:left="5400" w:hanging="360"/>
      </w:pPr>
      <w:rPr>
        <w:rFonts w:ascii="Courier New" w:hAnsi="Courier New" w:cs="Courier New" w:hint="default"/>
      </w:rPr>
    </w:lvl>
    <w:lvl w:ilvl="8" w:tplc="141A0005" w:tentative="1">
      <w:start w:val="1"/>
      <w:numFmt w:val="bullet"/>
      <w:lvlText w:val=""/>
      <w:lvlJc w:val="left"/>
      <w:pPr>
        <w:ind w:left="6120" w:hanging="360"/>
      </w:pPr>
      <w:rPr>
        <w:rFonts w:ascii="Wingdings" w:hAnsi="Wingdings" w:hint="default"/>
      </w:rPr>
    </w:lvl>
  </w:abstractNum>
  <w:abstractNum w:abstractNumId="13">
    <w:nsid w:val="41E81A8E"/>
    <w:multiLevelType w:val="hybridMultilevel"/>
    <w:tmpl w:val="84E6DBCA"/>
    <w:lvl w:ilvl="0" w:tplc="9D5A00DA">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nsid w:val="48576EB0"/>
    <w:multiLevelType w:val="hybridMultilevel"/>
    <w:tmpl w:val="67D277CE"/>
    <w:lvl w:ilvl="0" w:tplc="141A0001">
      <w:start w:val="1"/>
      <w:numFmt w:val="bullet"/>
      <w:lvlText w:val=""/>
      <w:lvlJc w:val="left"/>
      <w:pPr>
        <w:ind w:left="720" w:hanging="360"/>
      </w:pPr>
      <w:rPr>
        <w:rFonts w:ascii="Symbol" w:hAnsi="Symbol"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15">
    <w:nsid w:val="510338C2"/>
    <w:multiLevelType w:val="hybridMultilevel"/>
    <w:tmpl w:val="7376FC54"/>
    <w:lvl w:ilvl="0" w:tplc="141A0001">
      <w:start w:val="1"/>
      <w:numFmt w:val="bullet"/>
      <w:lvlText w:val=""/>
      <w:lvlJc w:val="left"/>
      <w:pPr>
        <w:ind w:left="6480" w:hanging="360"/>
      </w:pPr>
      <w:rPr>
        <w:rFonts w:ascii="Symbol" w:hAnsi="Symbol" w:hint="default"/>
      </w:rPr>
    </w:lvl>
    <w:lvl w:ilvl="1" w:tplc="141A0003" w:tentative="1">
      <w:start w:val="1"/>
      <w:numFmt w:val="bullet"/>
      <w:lvlText w:val="o"/>
      <w:lvlJc w:val="left"/>
      <w:pPr>
        <w:ind w:left="7200" w:hanging="360"/>
      </w:pPr>
      <w:rPr>
        <w:rFonts w:ascii="Courier New" w:hAnsi="Courier New" w:cs="Courier New" w:hint="default"/>
      </w:rPr>
    </w:lvl>
    <w:lvl w:ilvl="2" w:tplc="141A0005" w:tentative="1">
      <w:start w:val="1"/>
      <w:numFmt w:val="bullet"/>
      <w:lvlText w:val=""/>
      <w:lvlJc w:val="left"/>
      <w:pPr>
        <w:ind w:left="7920" w:hanging="360"/>
      </w:pPr>
      <w:rPr>
        <w:rFonts w:ascii="Wingdings" w:hAnsi="Wingdings" w:hint="default"/>
      </w:rPr>
    </w:lvl>
    <w:lvl w:ilvl="3" w:tplc="141A0001" w:tentative="1">
      <w:start w:val="1"/>
      <w:numFmt w:val="bullet"/>
      <w:lvlText w:val=""/>
      <w:lvlJc w:val="left"/>
      <w:pPr>
        <w:ind w:left="8640" w:hanging="360"/>
      </w:pPr>
      <w:rPr>
        <w:rFonts w:ascii="Symbol" w:hAnsi="Symbol" w:hint="default"/>
      </w:rPr>
    </w:lvl>
    <w:lvl w:ilvl="4" w:tplc="141A0003" w:tentative="1">
      <w:start w:val="1"/>
      <w:numFmt w:val="bullet"/>
      <w:lvlText w:val="o"/>
      <w:lvlJc w:val="left"/>
      <w:pPr>
        <w:ind w:left="9360" w:hanging="360"/>
      </w:pPr>
      <w:rPr>
        <w:rFonts w:ascii="Courier New" w:hAnsi="Courier New" w:cs="Courier New" w:hint="default"/>
      </w:rPr>
    </w:lvl>
    <w:lvl w:ilvl="5" w:tplc="141A0005" w:tentative="1">
      <w:start w:val="1"/>
      <w:numFmt w:val="bullet"/>
      <w:lvlText w:val=""/>
      <w:lvlJc w:val="left"/>
      <w:pPr>
        <w:ind w:left="10080" w:hanging="360"/>
      </w:pPr>
      <w:rPr>
        <w:rFonts w:ascii="Wingdings" w:hAnsi="Wingdings" w:hint="default"/>
      </w:rPr>
    </w:lvl>
    <w:lvl w:ilvl="6" w:tplc="141A0001" w:tentative="1">
      <w:start w:val="1"/>
      <w:numFmt w:val="bullet"/>
      <w:lvlText w:val=""/>
      <w:lvlJc w:val="left"/>
      <w:pPr>
        <w:ind w:left="10800" w:hanging="360"/>
      </w:pPr>
      <w:rPr>
        <w:rFonts w:ascii="Symbol" w:hAnsi="Symbol" w:hint="default"/>
      </w:rPr>
    </w:lvl>
    <w:lvl w:ilvl="7" w:tplc="141A0003" w:tentative="1">
      <w:start w:val="1"/>
      <w:numFmt w:val="bullet"/>
      <w:lvlText w:val="o"/>
      <w:lvlJc w:val="left"/>
      <w:pPr>
        <w:ind w:left="11520" w:hanging="360"/>
      </w:pPr>
      <w:rPr>
        <w:rFonts w:ascii="Courier New" w:hAnsi="Courier New" w:cs="Courier New" w:hint="default"/>
      </w:rPr>
    </w:lvl>
    <w:lvl w:ilvl="8" w:tplc="141A0005" w:tentative="1">
      <w:start w:val="1"/>
      <w:numFmt w:val="bullet"/>
      <w:lvlText w:val=""/>
      <w:lvlJc w:val="left"/>
      <w:pPr>
        <w:ind w:left="12240" w:hanging="360"/>
      </w:pPr>
      <w:rPr>
        <w:rFonts w:ascii="Wingdings" w:hAnsi="Wingdings" w:hint="default"/>
      </w:rPr>
    </w:lvl>
  </w:abstractNum>
  <w:abstractNum w:abstractNumId="16">
    <w:nsid w:val="51AC777F"/>
    <w:multiLevelType w:val="hybridMultilevel"/>
    <w:tmpl w:val="2C203270"/>
    <w:lvl w:ilvl="0" w:tplc="141A0001">
      <w:start w:val="1"/>
      <w:numFmt w:val="bullet"/>
      <w:lvlText w:val=""/>
      <w:lvlJc w:val="left"/>
      <w:pPr>
        <w:ind w:left="720" w:hanging="360"/>
      </w:pPr>
      <w:rPr>
        <w:rFonts w:ascii="Symbol" w:hAnsi="Symbol"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17">
    <w:nsid w:val="551545C7"/>
    <w:multiLevelType w:val="hybridMultilevel"/>
    <w:tmpl w:val="4C84B84E"/>
    <w:lvl w:ilvl="0" w:tplc="141A0001">
      <w:start w:val="1"/>
      <w:numFmt w:val="bullet"/>
      <w:lvlText w:val=""/>
      <w:lvlJc w:val="left"/>
      <w:pPr>
        <w:ind w:left="720" w:hanging="360"/>
      </w:pPr>
      <w:rPr>
        <w:rFonts w:ascii="Symbol" w:hAnsi="Symbol"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18">
    <w:nsid w:val="5FD9646A"/>
    <w:multiLevelType w:val="hybridMultilevel"/>
    <w:tmpl w:val="7B2E0628"/>
    <w:lvl w:ilvl="0" w:tplc="64A0E81A">
      <w:numFmt w:val="bullet"/>
      <w:pStyle w:val="nabrajanjecrta"/>
      <w:lvlText w:val="-"/>
      <w:lvlJc w:val="left"/>
      <w:pPr>
        <w:tabs>
          <w:tab w:val="num" w:pos="720"/>
        </w:tabs>
        <w:ind w:left="720" w:hanging="360"/>
      </w:pPr>
      <w:rPr>
        <w:rFonts w:ascii="Times New Roman" w:eastAsia="Times New Roman" w:hAnsi="Times New Roman" w:cs="Times New Roman" w:hint="default"/>
      </w:rPr>
    </w:lvl>
    <w:lvl w:ilvl="1" w:tplc="BA5AA772">
      <w:start w:val="1"/>
      <w:numFmt w:val="bullet"/>
      <w:lvlText w:val="o"/>
      <w:lvlJc w:val="left"/>
      <w:pPr>
        <w:tabs>
          <w:tab w:val="num" w:pos="1440"/>
        </w:tabs>
        <w:ind w:left="1440" w:hanging="360"/>
      </w:pPr>
      <w:rPr>
        <w:rFonts w:ascii="Courier New" w:hAnsi="Courier New" w:cs="Times New Roman" w:hint="default"/>
      </w:rPr>
    </w:lvl>
    <w:lvl w:ilvl="2" w:tplc="553C5546">
      <w:start w:val="1"/>
      <w:numFmt w:val="bullet"/>
      <w:lvlText w:val=""/>
      <w:lvlJc w:val="left"/>
      <w:pPr>
        <w:tabs>
          <w:tab w:val="num" w:pos="2160"/>
        </w:tabs>
        <w:ind w:left="2160" w:hanging="360"/>
      </w:pPr>
      <w:rPr>
        <w:rFonts w:ascii="Wingdings" w:hAnsi="Wingdings" w:hint="default"/>
      </w:rPr>
    </w:lvl>
    <w:lvl w:ilvl="3" w:tplc="F9FA8BBC">
      <w:start w:val="1"/>
      <w:numFmt w:val="bullet"/>
      <w:lvlText w:val=""/>
      <w:lvlJc w:val="left"/>
      <w:pPr>
        <w:tabs>
          <w:tab w:val="num" w:pos="2880"/>
        </w:tabs>
        <w:ind w:left="2880" w:hanging="360"/>
      </w:pPr>
      <w:rPr>
        <w:rFonts w:ascii="Symbol" w:hAnsi="Symbol" w:hint="default"/>
      </w:rPr>
    </w:lvl>
    <w:lvl w:ilvl="4" w:tplc="3296201C">
      <w:start w:val="1"/>
      <w:numFmt w:val="bullet"/>
      <w:lvlText w:val="o"/>
      <w:lvlJc w:val="left"/>
      <w:pPr>
        <w:tabs>
          <w:tab w:val="num" w:pos="3600"/>
        </w:tabs>
        <w:ind w:left="3600" w:hanging="360"/>
      </w:pPr>
      <w:rPr>
        <w:rFonts w:ascii="Courier New" w:hAnsi="Courier New" w:cs="Times New Roman" w:hint="default"/>
      </w:rPr>
    </w:lvl>
    <w:lvl w:ilvl="5" w:tplc="556C9A6A">
      <w:start w:val="1"/>
      <w:numFmt w:val="bullet"/>
      <w:lvlText w:val=""/>
      <w:lvlJc w:val="left"/>
      <w:pPr>
        <w:tabs>
          <w:tab w:val="num" w:pos="4320"/>
        </w:tabs>
        <w:ind w:left="4320" w:hanging="360"/>
      </w:pPr>
      <w:rPr>
        <w:rFonts w:ascii="Wingdings" w:hAnsi="Wingdings" w:hint="default"/>
      </w:rPr>
    </w:lvl>
    <w:lvl w:ilvl="6" w:tplc="4580C26C">
      <w:start w:val="1"/>
      <w:numFmt w:val="bullet"/>
      <w:lvlText w:val=""/>
      <w:lvlJc w:val="left"/>
      <w:pPr>
        <w:tabs>
          <w:tab w:val="num" w:pos="5040"/>
        </w:tabs>
        <w:ind w:left="5040" w:hanging="360"/>
      </w:pPr>
      <w:rPr>
        <w:rFonts w:ascii="Symbol" w:hAnsi="Symbol" w:hint="default"/>
      </w:rPr>
    </w:lvl>
    <w:lvl w:ilvl="7" w:tplc="45846D34">
      <w:start w:val="1"/>
      <w:numFmt w:val="bullet"/>
      <w:lvlText w:val="o"/>
      <w:lvlJc w:val="left"/>
      <w:pPr>
        <w:tabs>
          <w:tab w:val="num" w:pos="5760"/>
        </w:tabs>
        <w:ind w:left="5760" w:hanging="360"/>
      </w:pPr>
      <w:rPr>
        <w:rFonts w:ascii="Courier New" w:hAnsi="Courier New" w:cs="Times New Roman" w:hint="default"/>
      </w:rPr>
    </w:lvl>
    <w:lvl w:ilvl="8" w:tplc="E3084982">
      <w:start w:val="1"/>
      <w:numFmt w:val="bullet"/>
      <w:lvlText w:val=""/>
      <w:lvlJc w:val="left"/>
      <w:pPr>
        <w:tabs>
          <w:tab w:val="num" w:pos="6480"/>
        </w:tabs>
        <w:ind w:left="6480" w:hanging="360"/>
      </w:pPr>
      <w:rPr>
        <w:rFonts w:ascii="Wingdings" w:hAnsi="Wingdings" w:hint="default"/>
      </w:rPr>
    </w:lvl>
  </w:abstractNum>
  <w:abstractNum w:abstractNumId="19">
    <w:nsid w:val="60904B1F"/>
    <w:multiLevelType w:val="hybridMultilevel"/>
    <w:tmpl w:val="FE70C4D8"/>
    <w:lvl w:ilvl="0" w:tplc="FFFFFFFF">
      <w:start w:val="1"/>
      <w:numFmt w:val="bullet"/>
      <w:lvlText w:val=""/>
      <w:lvlJc w:val="left"/>
      <w:pPr>
        <w:tabs>
          <w:tab w:val="num" w:pos="720"/>
        </w:tabs>
        <w:ind w:left="720" w:hanging="360"/>
      </w:pPr>
      <w:rPr>
        <w:rFonts w:ascii="Wingdings" w:hAnsi="Wingdings" w:hint="default"/>
      </w:rPr>
    </w:lvl>
    <w:lvl w:ilvl="1" w:tplc="FFFFFFFF">
      <w:start w:val="1"/>
      <w:numFmt w:val="bullet"/>
      <w:lvlText w:val="o"/>
      <w:lvlJc w:val="left"/>
      <w:pPr>
        <w:tabs>
          <w:tab w:val="num" w:pos="1440"/>
        </w:tabs>
        <w:ind w:left="1440" w:hanging="360"/>
      </w:pPr>
      <w:rPr>
        <w:rFonts w:ascii="Courier New" w:hAnsi="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hint="default"/>
      </w:rPr>
    </w:lvl>
    <w:lvl w:ilvl="5" w:tplc="FFFFFFFF">
      <w:start w:val="1"/>
      <w:numFmt w:val="bullet"/>
      <w:lvlText w:val=""/>
      <w:lvlJc w:val="left"/>
      <w:pPr>
        <w:tabs>
          <w:tab w:val="num" w:pos="4320"/>
        </w:tabs>
        <w:ind w:left="4320" w:hanging="360"/>
      </w:pPr>
      <w:rPr>
        <w:rFonts w:ascii="Wingdings" w:hAnsi="Wingdings" w:hint="default"/>
      </w:rPr>
    </w:lvl>
    <w:lvl w:ilvl="6" w:tplc="FFFFFFFF">
      <w:start w:val="1"/>
      <w:numFmt w:val="bullet"/>
      <w:lvlText w:val=""/>
      <w:lvlJc w:val="left"/>
      <w:pPr>
        <w:tabs>
          <w:tab w:val="num" w:pos="5040"/>
        </w:tabs>
        <w:ind w:left="5040" w:hanging="360"/>
      </w:pPr>
      <w:rPr>
        <w:rFonts w:ascii="Symbol" w:hAnsi="Symbol" w:hint="default"/>
      </w:rPr>
    </w:lvl>
    <w:lvl w:ilvl="7" w:tplc="FFFFFFFF">
      <w:start w:val="1"/>
      <w:numFmt w:val="bullet"/>
      <w:lvlText w:val="o"/>
      <w:lvlJc w:val="left"/>
      <w:pPr>
        <w:tabs>
          <w:tab w:val="num" w:pos="5760"/>
        </w:tabs>
        <w:ind w:left="5760" w:hanging="360"/>
      </w:pPr>
      <w:rPr>
        <w:rFonts w:ascii="Courier New" w:hAnsi="Courier New" w:hint="default"/>
      </w:rPr>
    </w:lvl>
    <w:lvl w:ilvl="8" w:tplc="FFFFFFFF">
      <w:start w:val="1"/>
      <w:numFmt w:val="bullet"/>
      <w:lvlText w:val=""/>
      <w:lvlJc w:val="left"/>
      <w:pPr>
        <w:tabs>
          <w:tab w:val="num" w:pos="6480"/>
        </w:tabs>
        <w:ind w:left="6480" w:hanging="360"/>
      </w:pPr>
      <w:rPr>
        <w:rFonts w:ascii="Wingdings" w:hAnsi="Wingdings" w:hint="default"/>
      </w:rPr>
    </w:lvl>
  </w:abstractNum>
  <w:abstractNum w:abstractNumId="20">
    <w:nsid w:val="62ED6F8A"/>
    <w:multiLevelType w:val="hybridMultilevel"/>
    <w:tmpl w:val="EFB224D2"/>
    <w:lvl w:ilvl="0" w:tplc="0409000F">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1">
    <w:nsid w:val="640613A0"/>
    <w:multiLevelType w:val="hybridMultilevel"/>
    <w:tmpl w:val="480E9D4A"/>
    <w:lvl w:ilvl="0" w:tplc="141A0001">
      <w:start w:val="1"/>
      <w:numFmt w:val="bullet"/>
      <w:lvlText w:val=""/>
      <w:lvlJc w:val="left"/>
      <w:pPr>
        <w:ind w:left="720" w:hanging="360"/>
      </w:pPr>
      <w:rPr>
        <w:rFonts w:ascii="Symbol" w:hAnsi="Symbol"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22">
    <w:nsid w:val="65C46895"/>
    <w:multiLevelType w:val="hybridMultilevel"/>
    <w:tmpl w:val="12A0043E"/>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23">
    <w:nsid w:val="6E9E64DE"/>
    <w:multiLevelType w:val="hybridMultilevel"/>
    <w:tmpl w:val="9E4AEC9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nsid w:val="79EB7680"/>
    <w:multiLevelType w:val="hybridMultilevel"/>
    <w:tmpl w:val="AFCA7EB8"/>
    <w:lvl w:ilvl="0" w:tplc="141A0001">
      <w:start w:val="1"/>
      <w:numFmt w:val="bullet"/>
      <w:lvlText w:val=""/>
      <w:lvlJc w:val="left"/>
      <w:pPr>
        <w:ind w:left="720" w:hanging="360"/>
      </w:pPr>
      <w:rPr>
        <w:rFonts w:ascii="Symbol" w:hAnsi="Symbol"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25">
    <w:nsid w:val="7BAD69CB"/>
    <w:multiLevelType w:val="hybridMultilevel"/>
    <w:tmpl w:val="EDA8F9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21"/>
  </w:num>
  <w:num w:numId="3">
    <w:abstractNumId w:val="6"/>
  </w:num>
  <w:num w:numId="4">
    <w:abstractNumId w:val="18"/>
  </w:num>
  <w:num w:numId="5">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4"/>
  </w:num>
  <w:num w:numId="7">
    <w:abstractNumId w:val="13"/>
  </w:num>
  <w:num w:numId="8">
    <w:abstractNumId w:val="23"/>
  </w:num>
  <w:num w:numId="9">
    <w:abstractNumId w:val="1"/>
  </w:num>
  <w:num w:numId="10">
    <w:abstractNumId w:val="1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7"/>
  </w:num>
  <w:num w:numId="13">
    <w:abstractNumId w:val="25"/>
  </w:num>
  <w:num w:numId="14">
    <w:abstractNumId w:val="5"/>
  </w:num>
  <w:num w:numId="15">
    <w:abstractNumId w:val="15"/>
  </w:num>
  <w:num w:numId="16">
    <w:abstractNumId w:val="12"/>
  </w:num>
  <w:num w:numId="17">
    <w:abstractNumId w:val="8"/>
  </w:num>
  <w:num w:numId="18">
    <w:abstractNumId w:val="22"/>
  </w:num>
  <w:num w:numId="19">
    <w:abstractNumId w:val="24"/>
  </w:num>
  <w:num w:numId="20">
    <w:abstractNumId w:val="11"/>
  </w:num>
  <w:num w:numId="21">
    <w:abstractNumId w:val="17"/>
  </w:num>
  <w:num w:numId="22">
    <w:abstractNumId w:val="14"/>
  </w:num>
  <w:num w:numId="23">
    <w:abstractNumId w:val="3"/>
  </w:num>
  <w:num w:numId="24">
    <w:abstractNumId w:val="9"/>
  </w:num>
  <w:num w:numId="25">
    <w:abstractNumId w:val="16"/>
  </w:num>
  <w:num w:numId="26">
    <w:abstractNumId w:val="10"/>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hideSpellingErrors/>
  <w:hideGrammaticalError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2609A"/>
    <w:rsid w:val="00002CDB"/>
    <w:rsid w:val="00007DCC"/>
    <w:rsid w:val="000128B4"/>
    <w:rsid w:val="00013CCB"/>
    <w:rsid w:val="00014349"/>
    <w:rsid w:val="0001578A"/>
    <w:rsid w:val="00021055"/>
    <w:rsid w:val="000258E7"/>
    <w:rsid w:val="00030E44"/>
    <w:rsid w:val="00035CB1"/>
    <w:rsid w:val="00046555"/>
    <w:rsid w:val="0004685B"/>
    <w:rsid w:val="000529A1"/>
    <w:rsid w:val="00053714"/>
    <w:rsid w:val="00055C26"/>
    <w:rsid w:val="0005609B"/>
    <w:rsid w:val="000575DE"/>
    <w:rsid w:val="00057F45"/>
    <w:rsid w:val="00062C3C"/>
    <w:rsid w:val="00065CCF"/>
    <w:rsid w:val="0006611A"/>
    <w:rsid w:val="0006688D"/>
    <w:rsid w:val="000708C2"/>
    <w:rsid w:val="00081B73"/>
    <w:rsid w:val="00083281"/>
    <w:rsid w:val="000840A6"/>
    <w:rsid w:val="00087E45"/>
    <w:rsid w:val="00092D83"/>
    <w:rsid w:val="0009310D"/>
    <w:rsid w:val="000940F5"/>
    <w:rsid w:val="00096B44"/>
    <w:rsid w:val="000A5BE0"/>
    <w:rsid w:val="000B12A9"/>
    <w:rsid w:val="000B2551"/>
    <w:rsid w:val="000B28A5"/>
    <w:rsid w:val="000B2EFA"/>
    <w:rsid w:val="000B71B0"/>
    <w:rsid w:val="000C0138"/>
    <w:rsid w:val="000C263A"/>
    <w:rsid w:val="000C339D"/>
    <w:rsid w:val="000C5C93"/>
    <w:rsid w:val="000C6E15"/>
    <w:rsid w:val="000D0EBE"/>
    <w:rsid w:val="000D2DCE"/>
    <w:rsid w:val="000D4D84"/>
    <w:rsid w:val="000D5B29"/>
    <w:rsid w:val="000D7840"/>
    <w:rsid w:val="000E1376"/>
    <w:rsid w:val="000E1E4B"/>
    <w:rsid w:val="000E7362"/>
    <w:rsid w:val="000F201A"/>
    <w:rsid w:val="000F37BF"/>
    <w:rsid w:val="000F5CF3"/>
    <w:rsid w:val="000F69C3"/>
    <w:rsid w:val="00102697"/>
    <w:rsid w:val="00110347"/>
    <w:rsid w:val="0012346A"/>
    <w:rsid w:val="0012609A"/>
    <w:rsid w:val="0012669F"/>
    <w:rsid w:val="00126FC8"/>
    <w:rsid w:val="001279B8"/>
    <w:rsid w:val="001336CA"/>
    <w:rsid w:val="0014032B"/>
    <w:rsid w:val="00142948"/>
    <w:rsid w:val="00147917"/>
    <w:rsid w:val="0015048B"/>
    <w:rsid w:val="00154337"/>
    <w:rsid w:val="00155F80"/>
    <w:rsid w:val="001628EA"/>
    <w:rsid w:val="00172ABA"/>
    <w:rsid w:val="0017431D"/>
    <w:rsid w:val="00175786"/>
    <w:rsid w:val="00177027"/>
    <w:rsid w:val="00180F52"/>
    <w:rsid w:val="00183CFA"/>
    <w:rsid w:val="00190AC6"/>
    <w:rsid w:val="001911A6"/>
    <w:rsid w:val="001935FA"/>
    <w:rsid w:val="001937CC"/>
    <w:rsid w:val="001A16CB"/>
    <w:rsid w:val="001A2977"/>
    <w:rsid w:val="001A3698"/>
    <w:rsid w:val="001A420D"/>
    <w:rsid w:val="001A68A2"/>
    <w:rsid w:val="001B1F7D"/>
    <w:rsid w:val="001B41B8"/>
    <w:rsid w:val="001B43A6"/>
    <w:rsid w:val="001C06B9"/>
    <w:rsid w:val="001C3C90"/>
    <w:rsid w:val="001C5E4C"/>
    <w:rsid w:val="001D1414"/>
    <w:rsid w:val="001D2C40"/>
    <w:rsid w:val="001D60DF"/>
    <w:rsid w:val="001E1A02"/>
    <w:rsid w:val="001E2D4F"/>
    <w:rsid w:val="001F3659"/>
    <w:rsid w:val="001F3EA2"/>
    <w:rsid w:val="001F52FC"/>
    <w:rsid w:val="00202B98"/>
    <w:rsid w:val="00202BC1"/>
    <w:rsid w:val="002053DE"/>
    <w:rsid w:val="0021578F"/>
    <w:rsid w:val="00230D7E"/>
    <w:rsid w:val="00233EC2"/>
    <w:rsid w:val="00241FFC"/>
    <w:rsid w:val="00243A26"/>
    <w:rsid w:val="00245877"/>
    <w:rsid w:val="00247CEB"/>
    <w:rsid w:val="00250204"/>
    <w:rsid w:val="0025178B"/>
    <w:rsid w:val="00253A4A"/>
    <w:rsid w:val="002553EC"/>
    <w:rsid w:val="00262AD1"/>
    <w:rsid w:val="002633A5"/>
    <w:rsid w:val="00266FBF"/>
    <w:rsid w:val="00270760"/>
    <w:rsid w:val="00271AC7"/>
    <w:rsid w:val="00276D53"/>
    <w:rsid w:val="00280080"/>
    <w:rsid w:val="00283697"/>
    <w:rsid w:val="00283C53"/>
    <w:rsid w:val="00284F26"/>
    <w:rsid w:val="00291B48"/>
    <w:rsid w:val="00294C0A"/>
    <w:rsid w:val="00294E25"/>
    <w:rsid w:val="00295EED"/>
    <w:rsid w:val="002A1820"/>
    <w:rsid w:val="002A2A2C"/>
    <w:rsid w:val="002A4B7F"/>
    <w:rsid w:val="002B13F9"/>
    <w:rsid w:val="002B2648"/>
    <w:rsid w:val="002B2A7F"/>
    <w:rsid w:val="002B39DE"/>
    <w:rsid w:val="002B3EFA"/>
    <w:rsid w:val="002B4A0C"/>
    <w:rsid w:val="002B5E47"/>
    <w:rsid w:val="002B7F35"/>
    <w:rsid w:val="002C12A0"/>
    <w:rsid w:val="002C323A"/>
    <w:rsid w:val="002C3F62"/>
    <w:rsid w:val="002C4DFE"/>
    <w:rsid w:val="002D27DE"/>
    <w:rsid w:val="002D2A67"/>
    <w:rsid w:val="002D67A3"/>
    <w:rsid w:val="002D7DEF"/>
    <w:rsid w:val="002E1049"/>
    <w:rsid w:val="002F0665"/>
    <w:rsid w:val="002F5EC0"/>
    <w:rsid w:val="00301140"/>
    <w:rsid w:val="00301826"/>
    <w:rsid w:val="0030413C"/>
    <w:rsid w:val="003066C2"/>
    <w:rsid w:val="00306A2E"/>
    <w:rsid w:val="00310DB4"/>
    <w:rsid w:val="00311436"/>
    <w:rsid w:val="00311B9D"/>
    <w:rsid w:val="00312085"/>
    <w:rsid w:val="003218F2"/>
    <w:rsid w:val="003230A0"/>
    <w:rsid w:val="00323240"/>
    <w:rsid w:val="00324540"/>
    <w:rsid w:val="00324708"/>
    <w:rsid w:val="003252B5"/>
    <w:rsid w:val="00333951"/>
    <w:rsid w:val="003361B4"/>
    <w:rsid w:val="00341B4E"/>
    <w:rsid w:val="00342879"/>
    <w:rsid w:val="003504DD"/>
    <w:rsid w:val="003509E3"/>
    <w:rsid w:val="00352F2F"/>
    <w:rsid w:val="0035347C"/>
    <w:rsid w:val="00357AF8"/>
    <w:rsid w:val="0036022F"/>
    <w:rsid w:val="003605E2"/>
    <w:rsid w:val="00372B78"/>
    <w:rsid w:val="00373300"/>
    <w:rsid w:val="0037640C"/>
    <w:rsid w:val="003773EC"/>
    <w:rsid w:val="003776C7"/>
    <w:rsid w:val="003819E7"/>
    <w:rsid w:val="00383DED"/>
    <w:rsid w:val="00384539"/>
    <w:rsid w:val="00386071"/>
    <w:rsid w:val="00392609"/>
    <w:rsid w:val="003926DB"/>
    <w:rsid w:val="003A4DA1"/>
    <w:rsid w:val="003A4E59"/>
    <w:rsid w:val="003A6C72"/>
    <w:rsid w:val="003B790D"/>
    <w:rsid w:val="003C0D4E"/>
    <w:rsid w:val="003C3B5C"/>
    <w:rsid w:val="003C5132"/>
    <w:rsid w:val="003C79F2"/>
    <w:rsid w:val="003D1E43"/>
    <w:rsid w:val="003D3AA8"/>
    <w:rsid w:val="003D4A38"/>
    <w:rsid w:val="003E3695"/>
    <w:rsid w:val="003E65EE"/>
    <w:rsid w:val="003E6800"/>
    <w:rsid w:val="003F2392"/>
    <w:rsid w:val="003F5EDC"/>
    <w:rsid w:val="003F6F4C"/>
    <w:rsid w:val="003F79E2"/>
    <w:rsid w:val="00401161"/>
    <w:rsid w:val="00403891"/>
    <w:rsid w:val="00404963"/>
    <w:rsid w:val="004078A2"/>
    <w:rsid w:val="00407958"/>
    <w:rsid w:val="00411BDC"/>
    <w:rsid w:val="004126F4"/>
    <w:rsid w:val="00412C56"/>
    <w:rsid w:val="004134C0"/>
    <w:rsid w:val="004164E4"/>
    <w:rsid w:val="00427913"/>
    <w:rsid w:val="00430206"/>
    <w:rsid w:val="00436B43"/>
    <w:rsid w:val="00437D8C"/>
    <w:rsid w:val="00444D48"/>
    <w:rsid w:val="00450B4A"/>
    <w:rsid w:val="004516A0"/>
    <w:rsid w:val="004522D6"/>
    <w:rsid w:val="004531F7"/>
    <w:rsid w:val="00457874"/>
    <w:rsid w:val="0046000D"/>
    <w:rsid w:val="00460E9D"/>
    <w:rsid w:val="004622C8"/>
    <w:rsid w:val="00467393"/>
    <w:rsid w:val="00467BD1"/>
    <w:rsid w:val="004727C8"/>
    <w:rsid w:val="004809B6"/>
    <w:rsid w:val="00486B6A"/>
    <w:rsid w:val="0048739F"/>
    <w:rsid w:val="00490056"/>
    <w:rsid w:val="00492369"/>
    <w:rsid w:val="004A0104"/>
    <w:rsid w:val="004B2A12"/>
    <w:rsid w:val="004B476B"/>
    <w:rsid w:val="004B5A9E"/>
    <w:rsid w:val="004B747B"/>
    <w:rsid w:val="004B7691"/>
    <w:rsid w:val="004D309B"/>
    <w:rsid w:val="004D74A2"/>
    <w:rsid w:val="004E0035"/>
    <w:rsid w:val="004E052E"/>
    <w:rsid w:val="004E0D7B"/>
    <w:rsid w:val="004E384F"/>
    <w:rsid w:val="004E6840"/>
    <w:rsid w:val="004F139A"/>
    <w:rsid w:val="004F1CAA"/>
    <w:rsid w:val="00502C46"/>
    <w:rsid w:val="00504216"/>
    <w:rsid w:val="0050445F"/>
    <w:rsid w:val="0050641F"/>
    <w:rsid w:val="00510016"/>
    <w:rsid w:val="00511C83"/>
    <w:rsid w:val="00511DCD"/>
    <w:rsid w:val="00516B30"/>
    <w:rsid w:val="00517A40"/>
    <w:rsid w:val="00522B66"/>
    <w:rsid w:val="00523C6C"/>
    <w:rsid w:val="00524835"/>
    <w:rsid w:val="005277F7"/>
    <w:rsid w:val="005332DE"/>
    <w:rsid w:val="00533E46"/>
    <w:rsid w:val="00534C26"/>
    <w:rsid w:val="00537374"/>
    <w:rsid w:val="00541332"/>
    <w:rsid w:val="00543CEE"/>
    <w:rsid w:val="00550EF6"/>
    <w:rsid w:val="00561C4D"/>
    <w:rsid w:val="00562B1B"/>
    <w:rsid w:val="005861C0"/>
    <w:rsid w:val="00587547"/>
    <w:rsid w:val="005901AB"/>
    <w:rsid w:val="00590EC7"/>
    <w:rsid w:val="0059128D"/>
    <w:rsid w:val="00591BE2"/>
    <w:rsid w:val="00592244"/>
    <w:rsid w:val="00592AC4"/>
    <w:rsid w:val="0059581E"/>
    <w:rsid w:val="005A3EDF"/>
    <w:rsid w:val="005A413D"/>
    <w:rsid w:val="005B0D62"/>
    <w:rsid w:val="005C4DEB"/>
    <w:rsid w:val="005D0FAB"/>
    <w:rsid w:val="005D15D4"/>
    <w:rsid w:val="005D4B49"/>
    <w:rsid w:val="005E297E"/>
    <w:rsid w:val="005F2B2E"/>
    <w:rsid w:val="005F7D3A"/>
    <w:rsid w:val="00600020"/>
    <w:rsid w:val="00601C4A"/>
    <w:rsid w:val="00606974"/>
    <w:rsid w:val="0061286D"/>
    <w:rsid w:val="006136C2"/>
    <w:rsid w:val="00617E74"/>
    <w:rsid w:val="00620777"/>
    <w:rsid w:val="00623475"/>
    <w:rsid w:val="00624B73"/>
    <w:rsid w:val="00624C80"/>
    <w:rsid w:val="006256C9"/>
    <w:rsid w:val="00625F7A"/>
    <w:rsid w:val="00642A63"/>
    <w:rsid w:val="0065030F"/>
    <w:rsid w:val="0066054E"/>
    <w:rsid w:val="0066248B"/>
    <w:rsid w:val="00662AE4"/>
    <w:rsid w:val="00666687"/>
    <w:rsid w:val="00670113"/>
    <w:rsid w:val="00671193"/>
    <w:rsid w:val="00672382"/>
    <w:rsid w:val="00672CCE"/>
    <w:rsid w:val="0067516B"/>
    <w:rsid w:val="00677033"/>
    <w:rsid w:val="0068132B"/>
    <w:rsid w:val="006816BD"/>
    <w:rsid w:val="00685B54"/>
    <w:rsid w:val="0068600E"/>
    <w:rsid w:val="00686B49"/>
    <w:rsid w:val="00687832"/>
    <w:rsid w:val="0069325D"/>
    <w:rsid w:val="0069577B"/>
    <w:rsid w:val="006973FE"/>
    <w:rsid w:val="006976EA"/>
    <w:rsid w:val="006A31AA"/>
    <w:rsid w:val="006A4FB7"/>
    <w:rsid w:val="006A51C0"/>
    <w:rsid w:val="006A6356"/>
    <w:rsid w:val="006A646E"/>
    <w:rsid w:val="006A6F6D"/>
    <w:rsid w:val="006B0A26"/>
    <w:rsid w:val="006C228E"/>
    <w:rsid w:val="006D22D7"/>
    <w:rsid w:val="006D41D3"/>
    <w:rsid w:val="006D674E"/>
    <w:rsid w:val="006E00D1"/>
    <w:rsid w:val="006E42A2"/>
    <w:rsid w:val="006F1E4C"/>
    <w:rsid w:val="006F5CC0"/>
    <w:rsid w:val="006F7F7B"/>
    <w:rsid w:val="0070527E"/>
    <w:rsid w:val="00717DF9"/>
    <w:rsid w:val="00717E3A"/>
    <w:rsid w:val="00722832"/>
    <w:rsid w:val="00726B34"/>
    <w:rsid w:val="0073383C"/>
    <w:rsid w:val="00737E06"/>
    <w:rsid w:val="00741634"/>
    <w:rsid w:val="00741D96"/>
    <w:rsid w:val="007461BE"/>
    <w:rsid w:val="007467AC"/>
    <w:rsid w:val="00746F47"/>
    <w:rsid w:val="00751A8F"/>
    <w:rsid w:val="00752EAE"/>
    <w:rsid w:val="0075437E"/>
    <w:rsid w:val="0075440C"/>
    <w:rsid w:val="00754BE6"/>
    <w:rsid w:val="0075527F"/>
    <w:rsid w:val="0075749A"/>
    <w:rsid w:val="00762A6B"/>
    <w:rsid w:val="007652FB"/>
    <w:rsid w:val="00771DAB"/>
    <w:rsid w:val="00773396"/>
    <w:rsid w:val="00775ABD"/>
    <w:rsid w:val="00786835"/>
    <w:rsid w:val="00786A0C"/>
    <w:rsid w:val="00791094"/>
    <w:rsid w:val="0079161C"/>
    <w:rsid w:val="00793494"/>
    <w:rsid w:val="0079787A"/>
    <w:rsid w:val="007A0601"/>
    <w:rsid w:val="007A2C13"/>
    <w:rsid w:val="007A7E4A"/>
    <w:rsid w:val="007B1866"/>
    <w:rsid w:val="007B4F67"/>
    <w:rsid w:val="007B5847"/>
    <w:rsid w:val="007B5D1E"/>
    <w:rsid w:val="007B665A"/>
    <w:rsid w:val="007C2E61"/>
    <w:rsid w:val="007C4AA9"/>
    <w:rsid w:val="007C5347"/>
    <w:rsid w:val="007C59C1"/>
    <w:rsid w:val="007D3614"/>
    <w:rsid w:val="007D3E7E"/>
    <w:rsid w:val="007E1328"/>
    <w:rsid w:val="007E20B3"/>
    <w:rsid w:val="007E27E5"/>
    <w:rsid w:val="007F131C"/>
    <w:rsid w:val="007F4C6B"/>
    <w:rsid w:val="007F787F"/>
    <w:rsid w:val="008106C3"/>
    <w:rsid w:val="0081143A"/>
    <w:rsid w:val="0082015E"/>
    <w:rsid w:val="008206E3"/>
    <w:rsid w:val="00823416"/>
    <w:rsid w:val="00824F1E"/>
    <w:rsid w:val="00834139"/>
    <w:rsid w:val="00837126"/>
    <w:rsid w:val="0085238E"/>
    <w:rsid w:val="008640D8"/>
    <w:rsid w:val="00871B21"/>
    <w:rsid w:val="00874E9B"/>
    <w:rsid w:val="00880B43"/>
    <w:rsid w:val="00893A1C"/>
    <w:rsid w:val="008964DC"/>
    <w:rsid w:val="008A17BF"/>
    <w:rsid w:val="008A2240"/>
    <w:rsid w:val="008A7130"/>
    <w:rsid w:val="008B0147"/>
    <w:rsid w:val="008B060F"/>
    <w:rsid w:val="008B3895"/>
    <w:rsid w:val="008B7DFC"/>
    <w:rsid w:val="008C72F1"/>
    <w:rsid w:val="008D2F5C"/>
    <w:rsid w:val="008D4EDB"/>
    <w:rsid w:val="008D56DE"/>
    <w:rsid w:val="008D72AE"/>
    <w:rsid w:val="008D7B4E"/>
    <w:rsid w:val="008E25EB"/>
    <w:rsid w:val="008E4144"/>
    <w:rsid w:val="008E731A"/>
    <w:rsid w:val="008F2DCD"/>
    <w:rsid w:val="008F6458"/>
    <w:rsid w:val="009002A0"/>
    <w:rsid w:val="0090136E"/>
    <w:rsid w:val="0090149A"/>
    <w:rsid w:val="00901CDA"/>
    <w:rsid w:val="00903FE1"/>
    <w:rsid w:val="00906E85"/>
    <w:rsid w:val="00914983"/>
    <w:rsid w:val="0092435E"/>
    <w:rsid w:val="009250BD"/>
    <w:rsid w:val="00927FC7"/>
    <w:rsid w:val="00935E54"/>
    <w:rsid w:val="00937B79"/>
    <w:rsid w:val="0095518E"/>
    <w:rsid w:val="009610C9"/>
    <w:rsid w:val="0096709A"/>
    <w:rsid w:val="00972D8B"/>
    <w:rsid w:val="00975880"/>
    <w:rsid w:val="009847F0"/>
    <w:rsid w:val="00991CDF"/>
    <w:rsid w:val="00993848"/>
    <w:rsid w:val="009963E9"/>
    <w:rsid w:val="009A5B2B"/>
    <w:rsid w:val="009D23A1"/>
    <w:rsid w:val="009D3233"/>
    <w:rsid w:val="009E2387"/>
    <w:rsid w:val="009E48BE"/>
    <w:rsid w:val="009E743D"/>
    <w:rsid w:val="009F64E0"/>
    <w:rsid w:val="009F6A9F"/>
    <w:rsid w:val="009F7EE0"/>
    <w:rsid w:val="00A06016"/>
    <w:rsid w:val="00A10F2A"/>
    <w:rsid w:val="00A131AD"/>
    <w:rsid w:val="00A13DA3"/>
    <w:rsid w:val="00A14059"/>
    <w:rsid w:val="00A22138"/>
    <w:rsid w:val="00A22A38"/>
    <w:rsid w:val="00A2347F"/>
    <w:rsid w:val="00A2552D"/>
    <w:rsid w:val="00A2779F"/>
    <w:rsid w:val="00A305C2"/>
    <w:rsid w:val="00A3192C"/>
    <w:rsid w:val="00A32D67"/>
    <w:rsid w:val="00A342B4"/>
    <w:rsid w:val="00A36CA5"/>
    <w:rsid w:val="00A427D9"/>
    <w:rsid w:val="00A43683"/>
    <w:rsid w:val="00A4460F"/>
    <w:rsid w:val="00A45043"/>
    <w:rsid w:val="00A50227"/>
    <w:rsid w:val="00A5384A"/>
    <w:rsid w:val="00A569B8"/>
    <w:rsid w:val="00A56E47"/>
    <w:rsid w:val="00A5788D"/>
    <w:rsid w:val="00A57E2D"/>
    <w:rsid w:val="00A6044F"/>
    <w:rsid w:val="00A60D98"/>
    <w:rsid w:val="00A62F5B"/>
    <w:rsid w:val="00A631F9"/>
    <w:rsid w:val="00A704EE"/>
    <w:rsid w:val="00A7123B"/>
    <w:rsid w:val="00A726E5"/>
    <w:rsid w:val="00A73BD9"/>
    <w:rsid w:val="00A759F0"/>
    <w:rsid w:val="00A854C0"/>
    <w:rsid w:val="00A8667B"/>
    <w:rsid w:val="00A87C61"/>
    <w:rsid w:val="00A92ED0"/>
    <w:rsid w:val="00A9479E"/>
    <w:rsid w:val="00AA0D77"/>
    <w:rsid w:val="00AA7D25"/>
    <w:rsid w:val="00AB0E1C"/>
    <w:rsid w:val="00AB7271"/>
    <w:rsid w:val="00AC4206"/>
    <w:rsid w:val="00AC46A7"/>
    <w:rsid w:val="00AC4F6E"/>
    <w:rsid w:val="00AC6D5D"/>
    <w:rsid w:val="00AC72B5"/>
    <w:rsid w:val="00AD1F07"/>
    <w:rsid w:val="00AD6501"/>
    <w:rsid w:val="00AD792C"/>
    <w:rsid w:val="00AE2EDA"/>
    <w:rsid w:val="00AE4AED"/>
    <w:rsid w:val="00AF2ACC"/>
    <w:rsid w:val="00B04616"/>
    <w:rsid w:val="00B12A58"/>
    <w:rsid w:val="00B1444F"/>
    <w:rsid w:val="00B146E8"/>
    <w:rsid w:val="00B202D8"/>
    <w:rsid w:val="00B204CB"/>
    <w:rsid w:val="00B2225A"/>
    <w:rsid w:val="00B25236"/>
    <w:rsid w:val="00B2582D"/>
    <w:rsid w:val="00B25A26"/>
    <w:rsid w:val="00B32350"/>
    <w:rsid w:val="00B3288D"/>
    <w:rsid w:val="00B355CF"/>
    <w:rsid w:val="00B378C3"/>
    <w:rsid w:val="00B37E7E"/>
    <w:rsid w:val="00B4366E"/>
    <w:rsid w:val="00B43765"/>
    <w:rsid w:val="00B46174"/>
    <w:rsid w:val="00B546B6"/>
    <w:rsid w:val="00B55935"/>
    <w:rsid w:val="00B560D0"/>
    <w:rsid w:val="00B56CE8"/>
    <w:rsid w:val="00B6001F"/>
    <w:rsid w:val="00B67F7F"/>
    <w:rsid w:val="00B71990"/>
    <w:rsid w:val="00B7387B"/>
    <w:rsid w:val="00B74B6A"/>
    <w:rsid w:val="00B74F84"/>
    <w:rsid w:val="00B807E6"/>
    <w:rsid w:val="00B81A2B"/>
    <w:rsid w:val="00B85430"/>
    <w:rsid w:val="00B95F35"/>
    <w:rsid w:val="00B97D06"/>
    <w:rsid w:val="00BA5C1D"/>
    <w:rsid w:val="00BA61D1"/>
    <w:rsid w:val="00BB0B91"/>
    <w:rsid w:val="00BB0F79"/>
    <w:rsid w:val="00BB3160"/>
    <w:rsid w:val="00BB5A8B"/>
    <w:rsid w:val="00BB5E07"/>
    <w:rsid w:val="00BC71F8"/>
    <w:rsid w:val="00BD1A28"/>
    <w:rsid w:val="00BD3246"/>
    <w:rsid w:val="00BD4229"/>
    <w:rsid w:val="00BD54DF"/>
    <w:rsid w:val="00BE0521"/>
    <w:rsid w:val="00BE1C06"/>
    <w:rsid w:val="00BE28D7"/>
    <w:rsid w:val="00BE3563"/>
    <w:rsid w:val="00BE5655"/>
    <w:rsid w:val="00C11A27"/>
    <w:rsid w:val="00C125EF"/>
    <w:rsid w:val="00C1309C"/>
    <w:rsid w:val="00C15C3A"/>
    <w:rsid w:val="00C21AF9"/>
    <w:rsid w:val="00C24C36"/>
    <w:rsid w:val="00C26E2B"/>
    <w:rsid w:val="00C33527"/>
    <w:rsid w:val="00C34F06"/>
    <w:rsid w:val="00C45324"/>
    <w:rsid w:val="00C467B5"/>
    <w:rsid w:val="00C50560"/>
    <w:rsid w:val="00C52177"/>
    <w:rsid w:val="00C53EA1"/>
    <w:rsid w:val="00C60658"/>
    <w:rsid w:val="00C6196A"/>
    <w:rsid w:val="00C63C62"/>
    <w:rsid w:val="00C651BA"/>
    <w:rsid w:val="00C66EE1"/>
    <w:rsid w:val="00C70FCE"/>
    <w:rsid w:val="00C77EBB"/>
    <w:rsid w:val="00C83E85"/>
    <w:rsid w:val="00C861DA"/>
    <w:rsid w:val="00C86E15"/>
    <w:rsid w:val="00C908D6"/>
    <w:rsid w:val="00C95E91"/>
    <w:rsid w:val="00C96D1D"/>
    <w:rsid w:val="00CA5BC1"/>
    <w:rsid w:val="00CB071F"/>
    <w:rsid w:val="00CB0DE0"/>
    <w:rsid w:val="00CB1772"/>
    <w:rsid w:val="00CB5BF5"/>
    <w:rsid w:val="00CB7637"/>
    <w:rsid w:val="00CC2706"/>
    <w:rsid w:val="00CC2E5C"/>
    <w:rsid w:val="00CD0B48"/>
    <w:rsid w:val="00CD3604"/>
    <w:rsid w:val="00CD511A"/>
    <w:rsid w:val="00CD729D"/>
    <w:rsid w:val="00CE0186"/>
    <w:rsid w:val="00CE35D2"/>
    <w:rsid w:val="00CE6ED4"/>
    <w:rsid w:val="00CF03C8"/>
    <w:rsid w:val="00CF073C"/>
    <w:rsid w:val="00CF3D30"/>
    <w:rsid w:val="00CF430D"/>
    <w:rsid w:val="00D07EFB"/>
    <w:rsid w:val="00D13BA6"/>
    <w:rsid w:val="00D15A66"/>
    <w:rsid w:val="00D1726C"/>
    <w:rsid w:val="00D20AA3"/>
    <w:rsid w:val="00D22BBB"/>
    <w:rsid w:val="00D257E8"/>
    <w:rsid w:val="00D304A7"/>
    <w:rsid w:val="00D358A0"/>
    <w:rsid w:val="00D41A86"/>
    <w:rsid w:val="00D47537"/>
    <w:rsid w:val="00D47907"/>
    <w:rsid w:val="00D50847"/>
    <w:rsid w:val="00D5616E"/>
    <w:rsid w:val="00D61DE5"/>
    <w:rsid w:val="00D62481"/>
    <w:rsid w:val="00D62DF0"/>
    <w:rsid w:val="00D80166"/>
    <w:rsid w:val="00D8295C"/>
    <w:rsid w:val="00D83848"/>
    <w:rsid w:val="00D84E86"/>
    <w:rsid w:val="00D87458"/>
    <w:rsid w:val="00D878AE"/>
    <w:rsid w:val="00D908B2"/>
    <w:rsid w:val="00D90AA5"/>
    <w:rsid w:val="00D9295A"/>
    <w:rsid w:val="00D9437B"/>
    <w:rsid w:val="00DA261F"/>
    <w:rsid w:val="00DA3256"/>
    <w:rsid w:val="00DA519D"/>
    <w:rsid w:val="00DA6463"/>
    <w:rsid w:val="00DB0101"/>
    <w:rsid w:val="00DB1AC2"/>
    <w:rsid w:val="00DB1B71"/>
    <w:rsid w:val="00DB3434"/>
    <w:rsid w:val="00DB5236"/>
    <w:rsid w:val="00DC5AF8"/>
    <w:rsid w:val="00DC7D46"/>
    <w:rsid w:val="00DD6BE7"/>
    <w:rsid w:val="00DE178E"/>
    <w:rsid w:val="00DE2289"/>
    <w:rsid w:val="00DF3062"/>
    <w:rsid w:val="00DF56EA"/>
    <w:rsid w:val="00DF5CCD"/>
    <w:rsid w:val="00E05270"/>
    <w:rsid w:val="00E06F29"/>
    <w:rsid w:val="00E07511"/>
    <w:rsid w:val="00E10857"/>
    <w:rsid w:val="00E146BA"/>
    <w:rsid w:val="00E176BB"/>
    <w:rsid w:val="00E267E7"/>
    <w:rsid w:val="00E31193"/>
    <w:rsid w:val="00E42AAC"/>
    <w:rsid w:val="00E44127"/>
    <w:rsid w:val="00E47052"/>
    <w:rsid w:val="00E512FE"/>
    <w:rsid w:val="00E54072"/>
    <w:rsid w:val="00E558FA"/>
    <w:rsid w:val="00E572FB"/>
    <w:rsid w:val="00E61F0C"/>
    <w:rsid w:val="00E670B6"/>
    <w:rsid w:val="00E67339"/>
    <w:rsid w:val="00E72414"/>
    <w:rsid w:val="00E73346"/>
    <w:rsid w:val="00E82C44"/>
    <w:rsid w:val="00E83961"/>
    <w:rsid w:val="00E85560"/>
    <w:rsid w:val="00E85606"/>
    <w:rsid w:val="00E87324"/>
    <w:rsid w:val="00E8761D"/>
    <w:rsid w:val="00EA088E"/>
    <w:rsid w:val="00EA4E8B"/>
    <w:rsid w:val="00EA6011"/>
    <w:rsid w:val="00EA7C7B"/>
    <w:rsid w:val="00EB1E56"/>
    <w:rsid w:val="00EB6B07"/>
    <w:rsid w:val="00EB7CC7"/>
    <w:rsid w:val="00EC077A"/>
    <w:rsid w:val="00EC1A09"/>
    <w:rsid w:val="00EC3AE5"/>
    <w:rsid w:val="00EC6842"/>
    <w:rsid w:val="00ED0E94"/>
    <w:rsid w:val="00ED3C83"/>
    <w:rsid w:val="00EE12F4"/>
    <w:rsid w:val="00EE27B1"/>
    <w:rsid w:val="00EE2CB7"/>
    <w:rsid w:val="00EE5188"/>
    <w:rsid w:val="00EF4C1C"/>
    <w:rsid w:val="00F02826"/>
    <w:rsid w:val="00F0769C"/>
    <w:rsid w:val="00F13BC4"/>
    <w:rsid w:val="00F1615A"/>
    <w:rsid w:val="00F203A0"/>
    <w:rsid w:val="00F2242B"/>
    <w:rsid w:val="00F30AE6"/>
    <w:rsid w:val="00F30FA1"/>
    <w:rsid w:val="00F311A8"/>
    <w:rsid w:val="00F37348"/>
    <w:rsid w:val="00F40211"/>
    <w:rsid w:val="00F515B4"/>
    <w:rsid w:val="00F55573"/>
    <w:rsid w:val="00F6067A"/>
    <w:rsid w:val="00F63E87"/>
    <w:rsid w:val="00F70893"/>
    <w:rsid w:val="00F73DC1"/>
    <w:rsid w:val="00F74B00"/>
    <w:rsid w:val="00F751CC"/>
    <w:rsid w:val="00F76CE1"/>
    <w:rsid w:val="00F807AE"/>
    <w:rsid w:val="00F81231"/>
    <w:rsid w:val="00F81BD5"/>
    <w:rsid w:val="00F83CAD"/>
    <w:rsid w:val="00F8495E"/>
    <w:rsid w:val="00F940D8"/>
    <w:rsid w:val="00F96BBB"/>
    <w:rsid w:val="00FA3644"/>
    <w:rsid w:val="00FA70F5"/>
    <w:rsid w:val="00FB3114"/>
    <w:rsid w:val="00FB57C7"/>
    <w:rsid w:val="00FB5903"/>
    <w:rsid w:val="00FB638C"/>
    <w:rsid w:val="00FC4A7E"/>
    <w:rsid w:val="00FD4C13"/>
    <w:rsid w:val="00FD5591"/>
    <w:rsid w:val="00FE3B0D"/>
    <w:rsid w:val="00FE5D56"/>
    <w:rsid w:val="00FF418A"/>
    <w:rsid w:val="00FF4365"/>
    <w:rsid w:val="00FF6D61"/>
  </w:rsids>
  <m:mathPr>
    <m:mathFont m:val="Cambria Math"/>
    <m:brkBin m:val="before"/>
    <m:brkBinSub m:val="--"/>
    <m:smallFrac m:val="0"/>
    <m:dispDef/>
    <m:lMargin m:val="0"/>
    <m:rMargin m:val="0"/>
    <m:defJc m:val="centerGroup"/>
    <m:wrapIndent m:val="1440"/>
    <m:intLim m:val="subSup"/>
    <m:naryLim m:val="undOvr"/>
  </m:mathPr>
  <w:themeFontLang w:val="bs-Latn-B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bs-Latn-BA"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caption" w:uiPriority="0" w:qFormat="1"/>
    <w:lsdException w:name="footnote reference" w:uiPriority="0"/>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Salutation" w:uiPriority="0"/>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0" w:unhideWhenUsed="0" w:qFormat="1"/>
    <w:lsdException w:name="Emphasis" w:semiHidden="0" w:uiPriority="0" w:unhideWhenUsed="0" w:qFormat="1"/>
    <w:lsdException w:name="Normal (Web)"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2609A"/>
    <w:pPr>
      <w:spacing w:after="0" w:line="240" w:lineRule="auto"/>
      <w:jc w:val="both"/>
    </w:pPr>
    <w:rPr>
      <w:rFonts w:ascii="Calibri" w:eastAsia="Times New Roman" w:hAnsi="Calibri" w:cs="Times New Roman"/>
      <w:lang w:val="en-GB"/>
    </w:rPr>
  </w:style>
  <w:style w:type="paragraph" w:styleId="Heading1">
    <w:name w:val="heading 1"/>
    <w:basedOn w:val="Normal"/>
    <w:next w:val="Normal"/>
    <w:link w:val="Heading1Char"/>
    <w:autoRedefine/>
    <w:qFormat/>
    <w:rsid w:val="0012609A"/>
    <w:pPr>
      <w:keepNext/>
      <w:spacing w:before="360" w:after="120"/>
      <w:jc w:val="left"/>
      <w:outlineLvl w:val="0"/>
    </w:pPr>
    <w:rPr>
      <w:b/>
      <w:sz w:val="28"/>
      <w:szCs w:val="20"/>
      <w:lang w:val="bs-Latn-BA"/>
    </w:rPr>
  </w:style>
  <w:style w:type="paragraph" w:styleId="Heading2">
    <w:name w:val="heading 2"/>
    <w:basedOn w:val="Normal"/>
    <w:next w:val="Normal"/>
    <w:link w:val="Heading2Char"/>
    <w:unhideWhenUsed/>
    <w:qFormat/>
    <w:rsid w:val="00373300"/>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nhideWhenUsed/>
    <w:qFormat/>
    <w:rsid w:val="00A22A38"/>
    <w:pPr>
      <w:keepNext/>
      <w:keepLines/>
      <w:spacing w:before="4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nhideWhenUsed/>
    <w:qFormat/>
    <w:rsid w:val="00DB1B71"/>
    <w:pPr>
      <w:keepNext/>
      <w:keepLines/>
      <w:spacing w:before="4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nhideWhenUsed/>
    <w:qFormat/>
    <w:rsid w:val="00A22A38"/>
    <w:pPr>
      <w:keepNext/>
      <w:keepLines/>
      <w:spacing w:before="4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qFormat/>
    <w:rsid w:val="0030413C"/>
    <w:pPr>
      <w:spacing w:before="240" w:after="60"/>
      <w:outlineLvl w:val="5"/>
    </w:pPr>
    <w:rPr>
      <w:rFonts w:ascii="Times New Roman" w:hAnsi="Times New Roman"/>
      <w:b/>
      <w:bCs/>
    </w:rPr>
  </w:style>
  <w:style w:type="paragraph" w:styleId="Heading7">
    <w:name w:val="heading 7"/>
    <w:basedOn w:val="Normal"/>
    <w:next w:val="Normal"/>
    <w:link w:val="Heading7Char"/>
    <w:qFormat/>
    <w:rsid w:val="0030413C"/>
    <w:pPr>
      <w:spacing w:before="240" w:after="60"/>
      <w:outlineLvl w:val="6"/>
    </w:pPr>
    <w:rPr>
      <w:rFonts w:ascii="Times New Roman" w:hAnsi="Times New Roman"/>
      <w:sz w:val="24"/>
      <w:szCs w:val="24"/>
    </w:rPr>
  </w:style>
  <w:style w:type="paragraph" w:styleId="Heading8">
    <w:name w:val="heading 8"/>
    <w:basedOn w:val="Normal"/>
    <w:next w:val="Normal"/>
    <w:link w:val="Heading8Char"/>
    <w:qFormat/>
    <w:rsid w:val="0030413C"/>
    <w:pPr>
      <w:spacing w:before="240" w:after="60"/>
      <w:jc w:val="left"/>
      <w:outlineLvl w:val="7"/>
    </w:pPr>
    <w:rPr>
      <w:rFonts w:ascii="Times New Roman" w:hAnsi="Times New Roman"/>
      <w:i/>
      <w:sz w:val="24"/>
      <w:szCs w:val="20"/>
    </w:rPr>
  </w:style>
  <w:style w:type="paragraph" w:styleId="Heading9">
    <w:name w:val="heading 9"/>
    <w:basedOn w:val="Normal"/>
    <w:next w:val="Normal"/>
    <w:link w:val="Heading9Char"/>
    <w:unhideWhenUsed/>
    <w:qFormat/>
    <w:rsid w:val="0092435E"/>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12609A"/>
    <w:rPr>
      <w:rFonts w:ascii="Calibri" w:eastAsia="Times New Roman" w:hAnsi="Calibri" w:cs="Times New Roman"/>
      <w:b/>
      <w:sz w:val="28"/>
      <w:szCs w:val="20"/>
    </w:rPr>
  </w:style>
  <w:style w:type="character" w:styleId="Hyperlink">
    <w:name w:val="Hyperlink"/>
    <w:uiPriority w:val="99"/>
    <w:unhideWhenUsed/>
    <w:rsid w:val="0012609A"/>
    <w:rPr>
      <w:color w:val="0000FF"/>
      <w:u w:val="single"/>
    </w:rPr>
  </w:style>
  <w:style w:type="character" w:styleId="Strong">
    <w:name w:val="Strong"/>
    <w:qFormat/>
    <w:rsid w:val="0012609A"/>
    <w:rPr>
      <w:rFonts w:ascii="Times New Roman" w:hAnsi="Times New Roman" w:cs="Times New Roman" w:hint="default"/>
      <w:b/>
      <w:bCs/>
    </w:rPr>
  </w:style>
  <w:style w:type="paragraph" w:styleId="TOC1">
    <w:name w:val="toc 1"/>
    <w:basedOn w:val="Normal"/>
    <w:next w:val="Normal"/>
    <w:autoRedefine/>
    <w:uiPriority w:val="39"/>
    <w:unhideWhenUsed/>
    <w:rsid w:val="0012609A"/>
    <w:pPr>
      <w:tabs>
        <w:tab w:val="right" w:leader="dot" w:pos="9017"/>
      </w:tabs>
      <w:spacing w:before="120" w:after="120"/>
      <w:jc w:val="left"/>
    </w:pPr>
    <w:rPr>
      <w:b/>
      <w:bCs/>
      <w:caps/>
      <w:noProof/>
      <w:sz w:val="20"/>
      <w:szCs w:val="24"/>
    </w:rPr>
  </w:style>
  <w:style w:type="paragraph" w:styleId="TOC2">
    <w:name w:val="toc 2"/>
    <w:basedOn w:val="Normal"/>
    <w:next w:val="Normal"/>
    <w:autoRedefine/>
    <w:uiPriority w:val="39"/>
    <w:unhideWhenUsed/>
    <w:rsid w:val="0012609A"/>
    <w:pPr>
      <w:ind w:left="220"/>
      <w:jc w:val="left"/>
    </w:pPr>
    <w:rPr>
      <w:rFonts w:ascii="Times New Roman" w:hAnsi="Times New Roman"/>
      <w:smallCaps/>
      <w:sz w:val="20"/>
      <w:szCs w:val="24"/>
    </w:rPr>
  </w:style>
  <w:style w:type="paragraph" w:styleId="TOC3">
    <w:name w:val="toc 3"/>
    <w:basedOn w:val="Normal"/>
    <w:next w:val="Normal"/>
    <w:autoRedefine/>
    <w:uiPriority w:val="39"/>
    <w:unhideWhenUsed/>
    <w:rsid w:val="0012609A"/>
    <w:pPr>
      <w:ind w:left="440"/>
      <w:jc w:val="left"/>
    </w:pPr>
    <w:rPr>
      <w:rFonts w:ascii="Times New Roman" w:hAnsi="Times New Roman"/>
      <w:i/>
      <w:iCs/>
      <w:sz w:val="20"/>
      <w:szCs w:val="24"/>
    </w:rPr>
  </w:style>
  <w:style w:type="paragraph" w:customStyle="1" w:styleId="TEKST">
    <w:name w:val="TEKST"/>
    <w:basedOn w:val="Normal"/>
    <w:link w:val="TEKSTChar"/>
    <w:autoRedefine/>
    <w:rsid w:val="00250204"/>
    <w:pPr>
      <w:tabs>
        <w:tab w:val="left" w:pos="550"/>
      </w:tabs>
      <w:spacing w:before="120" w:line="276" w:lineRule="auto"/>
    </w:pPr>
    <w:rPr>
      <w:rFonts w:ascii="Times New Roman" w:hAnsi="Times New Roman"/>
      <w:noProof/>
      <w:lang w:val="hr-HR" w:eastAsia="de-DE"/>
    </w:rPr>
  </w:style>
  <w:style w:type="paragraph" w:styleId="ListParagraph">
    <w:name w:val="List Paragraph"/>
    <w:basedOn w:val="Normal"/>
    <w:link w:val="ListParagraphChar"/>
    <w:uiPriority w:val="34"/>
    <w:qFormat/>
    <w:rsid w:val="006F7F7B"/>
    <w:pPr>
      <w:ind w:left="720"/>
      <w:contextualSpacing/>
    </w:pPr>
  </w:style>
  <w:style w:type="character" w:customStyle="1" w:styleId="Heading3Char">
    <w:name w:val="Heading 3 Char"/>
    <w:basedOn w:val="DefaultParagraphFont"/>
    <w:link w:val="Heading3"/>
    <w:rsid w:val="00A22A38"/>
    <w:rPr>
      <w:rFonts w:asciiTheme="majorHAnsi" w:eastAsiaTheme="majorEastAsia" w:hAnsiTheme="majorHAnsi" w:cstheme="majorBidi"/>
      <w:color w:val="1F4D78" w:themeColor="accent1" w:themeShade="7F"/>
      <w:sz w:val="24"/>
      <w:szCs w:val="24"/>
      <w:lang w:val="en-GB"/>
    </w:rPr>
  </w:style>
  <w:style w:type="character" w:customStyle="1" w:styleId="Heading5Char">
    <w:name w:val="Heading 5 Char"/>
    <w:basedOn w:val="DefaultParagraphFont"/>
    <w:link w:val="Heading5"/>
    <w:uiPriority w:val="9"/>
    <w:semiHidden/>
    <w:rsid w:val="00A22A38"/>
    <w:rPr>
      <w:rFonts w:asciiTheme="majorHAnsi" w:eastAsiaTheme="majorEastAsia" w:hAnsiTheme="majorHAnsi" w:cstheme="majorBidi"/>
      <w:color w:val="2E74B5" w:themeColor="accent1" w:themeShade="BF"/>
      <w:lang w:val="en-GB"/>
    </w:rPr>
  </w:style>
  <w:style w:type="paragraph" w:styleId="NormalWeb">
    <w:name w:val="Normal (Web)"/>
    <w:basedOn w:val="Normal"/>
    <w:unhideWhenUsed/>
    <w:rsid w:val="00B546B6"/>
    <w:pPr>
      <w:spacing w:before="100" w:beforeAutospacing="1" w:after="100" w:afterAutospacing="1"/>
      <w:jc w:val="left"/>
    </w:pPr>
    <w:rPr>
      <w:rFonts w:ascii="Times New Roman" w:hAnsi="Times New Roman"/>
      <w:sz w:val="24"/>
      <w:szCs w:val="24"/>
      <w:lang w:val="en-US"/>
    </w:rPr>
  </w:style>
  <w:style w:type="character" w:customStyle="1" w:styleId="Heading2Char">
    <w:name w:val="Heading 2 Char"/>
    <w:basedOn w:val="DefaultParagraphFont"/>
    <w:link w:val="Heading2"/>
    <w:rsid w:val="00373300"/>
    <w:rPr>
      <w:rFonts w:asciiTheme="majorHAnsi" w:eastAsiaTheme="majorEastAsia" w:hAnsiTheme="majorHAnsi" w:cstheme="majorBidi"/>
      <w:color w:val="2E74B5" w:themeColor="accent1" w:themeShade="BF"/>
      <w:sz w:val="26"/>
      <w:szCs w:val="26"/>
      <w:lang w:val="en-GB"/>
    </w:rPr>
  </w:style>
  <w:style w:type="paragraph" w:styleId="CommentText">
    <w:name w:val="annotation text"/>
    <w:basedOn w:val="Normal"/>
    <w:link w:val="CommentTextChar"/>
    <w:semiHidden/>
    <w:unhideWhenUsed/>
    <w:rsid w:val="00373300"/>
    <w:pPr>
      <w:jc w:val="left"/>
    </w:pPr>
    <w:rPr>
      <w:rFonts w:ascii="Times New Roman" w:hAnsi="Times New Roman"/>
      <w:noProof/>
      <w:sz w:val="20"/>
      <w:szCs w:val="20"/>
      <w:lang w:val="hr-HR"/>
    </w:rPr>
  </w:style>
  <w:style w:type="character" w:customStyle="1" w:styleId="CommentTextChar">
    <w:name w:val="Comment Text Char"/>
    <w:basedOn w:val="DefaultParagraphFont"/>
    <w:link w:val="CommentText"/>
    <w:semiHidden/>
    <w:rsid w:val="00373300"/>
    <w:rPr>
      <w:rFonts w:ascii="Times New Roman" w:eastAsia="Times New Roman" w:hAnsi="Times New Roman" w:cs="Times New Roman"/>
      <w:noProof/>
      <w:sz w:val="20"/>
      <w:szCs w:val="20"/>
      <w:lang w:val="hr-HR"/>
    </w:rPr>
  </w:style>
  <w:style w:type="paragraph" w:styleId="Header">
    <w:name w:val="header"/>
    <w:basedOn w:val="Normal"/>
    <w:link w:val="HeaderChar"/>
    <w:unhideWhenUsed/>
    <w:rsid w:val="00373300"/>
    <w:pPr>
      <w:tabs>
        <w:tab w:val="center" w:pos="4320"/>
        <w:tab w:val="right" w:pos="8640"/>
      </w:tabs>
      <w:jc w:val="left"/>
    </w:pPr>
    <w:rPr>
      <w:rFonts w:ascii="Times New Roman" w:hAnsi="Times New Roman"/>
      <w:noProof/>
      <w:sz w:val="20"/>
      <w:szCs w:val="20"/>
      <w:lang w:val="hr-HR"/>
    </w:rPr>
  </w:style>
  <w:style w:type="character" w:customStyle="1" w:styleId="HeaderChar">
    <w:name w:val="Header Char"/>
    <w:basedOn w:val="DefaultParagraphFont"/>
    <w:link w:val="Header"/>
    <w:uiPriority w:val="99"/>
    <w:semiHidden/>
    <w:rsid w:val="00373300"/>
    <w:rPr>
      <w:rFonts w:ascii="Times New Roman" w:eastAsia="Times New Roman" w:hAnsi="Times New Roman" w:cs="Times New Roman"/>
      <w:noProof/>
      <w:sz w:val="20"/>
      <w:szCs w:val="20"/>
      <w:lang w:val="hr-HR"/>
    </w:rPr>
  </w:style>
  <w:style w:type="paragraph" w:styleId="Caption">
    <w:name w:val="caption"/>
    <w:basedOn w:val="Normal"/>
    <w:next w:val="Normal"/>
    <w:unhideWhenUsed/>
    <w:qFormat/>
    <w:rsid w:val="00373300"/>
    <w:rPr>
      <w:rFonts w:ascii="Arial" w:hAnsi="Arial" w:cs="Arial"/>
      <w:b/>
      <w:bCs/>
      <w:noProof/>
      <w:sz w:val="24"/>
      <w:szCs w:val="20"/>
      <w:lang w:val="hr-HR"/>
    </w:rPr>
  </w:style>
  <w:style w:type="character" w:customStyle="1" w:styleId="BodyTextIndent2Char">
    <w:name w:val="Body Text Indent 2 Char"/>
    <w:aliases w:val="uvlaka 2 Char"/>
    <w:basedOn w:val="DefaultParagraphFont"/>
    <w:link w:val="BodyTextIndent2"/>
    <w:semiHidden/>
    <w:locked/>
    <w:rsid w:val="00373300"/>
    <w:rPr>
      <w:rFonts w:ascii="Times New Roman" w:eastAsia="Times New Roman" w:hAnsi="Times New Roman" w:cs="Times New Roman"/>
      <w:noProof/>
      <w:sz w:val="24"/>
      <w:lang w:val="hr-HR"/>
    </w:rPr>
  </w:style>
  <w:style w:type="paragraph" w:styleId="BodyTextIndent2">
    <w:name w:val="Body Text Indent 2"/>
    <w:aliases w:val="uvlaka 2"/>
    <w:basedOn w:val="Normal"/>
    <w:link w:val="BodyTextIndent2Char"/>
    <w:unhideWhenUsed/>
    <w:rsid w:val="00373300"/>
    <w:pPr>
      <w:ind w:firstLine="993"/>
    </w:pPr>
    <w:rPr>
      <w:rFonts w:ascii="Times New Roman" w:hAnsi="Times New Roman"/>
      <w:noProof/>
      <w:sz w:val="24"/>
      <w:lang w:val="hr-HR"/>
    </w:rPr>
  </w:style>
  <w:style w:type="character" w:customStyle="1" w:styleId="BodyTextIndent2Char1">
    <w:name w:val="Body Text Indent 2 Char1"/>
    <w:basedOn w:val="DefaultParagraphFont"/>
    <w:uiPriority w:val="99"/>
    <w:semiHidden/>
    <w:rsid w:val="00373300"/>
    <w:rPr>
      <w:rFonts w:ascii="Calibri" w:eastAsia="Times New Roman" w:hAnsi="Calibri" w:cs="Times New Roman"/>
      <w:lang w:val="en-GB"/>
    </w:rPr>
  </w:style>
  <w:style w:type="paragraph" w:customStyle="1" w:styleId="Tekst0">
    <w:name w:val="Tekst"/>
    <w:basedOn w:val="NormalWeb"/>
    <w:rsid w:val="00373300"/>
    <w:pPr>
      <w:spacing w:before="120" w:beforeAutospacing="0" w:after="0" w:afterAutospacing="0"/>
      <w:jc w:val="both"/>
    </w:pPr>
    <w:rPr>
      <w:noProof/>
      <w:lang w:val="sl-SI"/>
    </w:rPr>
  </w:style>
  <w:style w:type="paragraph" w:customStyle="1" w:styleId="nabrajanjecrta">
    <w:name w:val="nabrajanje crta"/>
    <w:basedOn w:val="NormalWeb"/>
    <w:semiHidden/>
    <w:rsid w:val="00373300"/>
    <w:pPr>
      <w:numPr>
        <w:numId w:val="4"/>
      </w:numPr>
      <w:spacing w:before="120" w:beforeAutospacing="0" w:after="0" w:afterAutospacing="0"/>
      <w:ind w:left="714" w:hanging="357"/>
      <w:jc w:val="both"/>
    </w:pPr>
    <w:rPr>
      <w:noProof/>
      <w:color w:val="0A153E"/>
      <w:lang w:val="sl-SI"/>
    </w:rPr>
  </w:style>
  <w:style w:type="character" w:customStyle="1" w:styleId="hps">
    <w:name w:val="hps"/>
    <w:basedOn w:val="DefaultParagraphFont"/>
    <w:rsid w:val="00373300"/>
  </w:style>
  <w:style w:type="paragraph" w:styleId="BalloonText">
    <w:name w:val="Balloon Text"/>
    <w:basedOn w:val="Normal"/>
    <w:link w:val="BalloonTextChar"/>
    <w:uiPriority w:val="99"/>
    <w:semiHidden/>
    <w:unhideWhenUsed/>
    <w:rsid w:val="00DB1B7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B1B71"/>
    <w:rPr>
      <w:rFonts w:ascii="Segoe UI" w:eastAsia="Times New Roman" w:hAnsi="Segoe UI" w:cs="Segoe UI"/>
      <w:sz w:val="18"/>
      <w:szCs w:val="18"/>
      <w:lang w:val="en-GB"/>
    </w:rPr>
  </w:style>
  <w:style w:type="character" w:customStyle="1" w:styleId="Heading4Char">
    <w:name w:val="Heading 4 Char"/>
    <w:basedOn w:val="DefaultParagraphFont"/>
    <w:link w:val="Heading4"/>
    <w:uiPriority w:val="9"/>
    <w:semiHidden/>
    <w:rsid w:val="00DB1B71"/>
    <w:rPr>
      <w:rFonts w:asciiTheme="majorHAnsi" w:eastAsiaTheme="majorEastAsia" w:hAnsiTheme="majorHAnsi" w:cstheme="majorBidi"/>
      <w:i/>
      <w:iCs/>
      <w:color w:val="2E74B5" w:themeColor="accent1" w:themeShade="BF"/>
      <w:lang w:val="en-GB"/>
    </w:rPr>
  </w:style>
  <w:style w:type="paragraph" w:customStyle="1" w:styleId="grafikon">
    <w:name w:val="grafikon"/>
    <w:basedOn w:val="Normal"/>
    <w:autoRedefine/>
    <w:rsid w:val="003066C2"/>
    <w:pPr>
      <w:spacing w:before="240" w:line="276" w:lineRule="auto"/>
      <w:ind w:right="-40"/>
      <w:jc w:val="left"/>
    </w:pPr>
    <w:rPr>
      <w:rFonts w:ascii="Times New Roman" w:hAnsi="Times New Roman"/>
      <w:iCs/>
      <w:noProof/>
      <w:sz w:val="20"/>
      <w:szCs w:val="20"/>
      <w:lang w:val="bs-Latn-BA" w:eastAsia="bs-Latn-BA"/>
    </w:rPr>
  </w:style>
  <w:style w:type="paragraph" w:customStyle="1" w:styleId="Tabele">
    <w:name w:val="Tabele"/>
    <w:basedOn w:val="Normal"/>
    <w:autoRedefine/>
    <w:rsid w:val="00DB1B71"/>
    <w:pPr>
      <w:spacing w:before="240" w:after="120"/>
      <w:jc w:val="left"/>
    </w:pPr>
    <w:rPr>
      <w:rFonts w:cs="Arial"/>
      <w:bCs/>
      <w:i/>
      <w:szCs w:val="20"/>
      <w:lang w:val="hr-HR"/>
    </w:rPr>
  </w:style>
  <w:style w:type="paragraph" w:styleId="BodyText">
    <w:name w:val="Body Text"/>
    <w:basedOn w:val="Normal"/>
    <w:link w:val="BodyTextChar"/>
    <w:unhideWhenUsed/>
    <w:rsid w:val="008E25EB"/>
    <w:pPr>
      <w:spacing w:after="120"/>
    </w:pPr>
  </w:style>
  <w:style w:type="character" w:customStyle="1" w:styleId="BodyTextChar">
    <w:name w:val="Body Text Char"/>
    <w:basedOn w:val="DefaultParagraphFont"/>
    <w:link w:val="BodyText"/>
    <w:uiPriority w:val="99"/>
    <w:semiHidden/>
    <w:rsid w:val="008E25EB"/>
    <w:rPr>
      <w:rFonts w:ascii="Calibri" w:eastAsia="Times New Roman" w:hAnsi="Calibri" w:cs="Times New Roman"/>
      <w:lang w:val="en-GB"/>
    </w:rPr>
  </w:style>
  <w:style w:type="character" w:styleId="Emphasis">
    <w:name w:val="Emphasis"/>
    <w:basedOn w:val="DefaultParagraphFont"/>
    <w:qFormat/>
    <w:rsid w:val="007C4AA9"/>
    <w:rPr>
      <w:i/>
      <w:iCs/>
    </w:rPr>
  </w:style>
  <w:style w:type="character" w:customStyle="1" w:styleId="longtext">
    <w:name w:val="long_text"/>
    <w:rsid w:val="007C4AA9"/>
  </w:style>
  <w:style w:type="table" w:styleId="TableGrid">
    <w:name w:val="Table Grid"/>
    <w:basedOn w:val="TableNormal"/>
    <w:rsid w:val="007C4AA9"/>
    <w:pPr>
      <w:spacing w:after="200" w:line="276" w:lineRule="auto"/>
    </w:pPr>
    <w:rPr>
      <w:rFonts w:ascii="Times New Roman" w:eastAsia="Times New Roman" w:hAnsi="Times New Roman" w:cs="Times New Roman"/>
      <w:sz w:val="20"/>
      <w:szCs w:val="20"/>
      <w:lang w:eastAsia="bs-Latn-B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6973FE"/>
    <w:pPr>
      <w:autoSpaceDE w:val="0"/>
      <w:autoSpaceDN w:val="0"/>
      <w:adjustRightInd w:val="0"/>
      <w:spacing w:after="0" w:line="240" w:lineRule="auto"/>
    </w:pPr>
    <w:rPr>
      <w:rFonts w:ascii="Calibri" w:hAnsi="Calibri" w:cs="Calibri"/>
      <w:color w:val="000000"/>
      <w:sz w:val="24"/>
      <w:szCs w:val="24"/>
    </w:rPr>
  </w:style>
  <w:style w:type="character" w:customStyle="1" w:styleId="ListParagraphChar">
    <w:name w:val="List Paragraph Char"/>
    <w:link w:val="ListParagraph"/>
    <w:uiPriority w:val="34"/>
    <w:locked/>
    <w:rsid w:val="00B6001F"/>
    <w:rPr>
      <w:rFonts w:ascii="Calibri" w:eastAsia="Times New Roman" w:hAnsi="Calibri" w:cs="Times New Roman"/>
      <w:lang w:val="en-GB"/>
    </w:rPr>
  </w:style>
  <w:style w:type="character" w:customStyle="1" w:styleId="mtext">
    <w:name w:val="mtext"/>
    <w:basedOn w:val="DefaultParagraphFont"/>
    <w:rsid w:val="00B6001F"/>
    <w:rPr>
      <w:rFonts w:cs="Times New Roman"/>
    </w:rPr>
  </w:style>
  <w:style w:type="paragraph" w:customStyle="1" w:styleId="tabele0">
    <w:name w:val="tabele"/>
    <w:basedOn w:val="Normal"/>
    <w:rsid w:val="00B6001F"/>
    <w:pPr>
      <w:ind w:left="1134" w:hanging="1134"/>
      <w:jc w:val="left"/>
    </w:pPr>
    <w:rPr>
      <w:rFonts w:ascii="Times New Roman" w:eastAsia="Calibri" w:hAnsi="Times New Roman"/>
      <w:i/>
      <w:iCs/>
      <w:lang w:val="en-US" w:eastAsia="hr-HR"/>
    </w:rPr>
  </w:style>
  <w:style w:type="character" w:customStyle="1" w:styleId="Heading9Char">
    <w:name w:val="Heading 9 Char"/>
    <w:basedOn w:val="DefaultParagraphFont"/>
    <w:link w:val="Heading9"/>
    <w:uiPriority w:val="9"/>
    <w:semiHidden/>
    <w:rsid w:val="0092435E"/>
    <w:rPr>
      <w:rFonts w:asciiTheme="majorHAnsi" w:eastAsiaTheme="majorEastAsia" w:hAnsiTheme="majorHAnsi" w:cstheme="majorBidi"/>
      <w:i/>
      <w:iCs/>
      <w:color w:val="272727" w:themeColor="text1" w:themeTint="D8"/>
      <w:sz w:val="21"/>
      <w:szCs w:val="21"/>
      <w:lang w:val="en-GB"/>
    </w:rPr>
  </w:style>
  <w:style w:type="table" w:styleId="LightList-Accent5">
    <w:name w:val="Light List Accent 5"/>
    <w:basedOn w:val="TableNormal"/>
    <w:uiPriority w:val="61"/>
    <w:rsid w:val="0092435E"/>
    <w:pPr>
      <w:spacing w:after="0" w:line="240" w:lineRule="auto"/>
    </w:pPr>
    <w:rPr>
      <w:lang w:val="en-US"/>
    </w:rPr>
    <w:tblPr>
      <w:tblStyleRowBandSize w:val="1"/>
      <w:tblStyleColBandSize w:val="1"/>
      <w:tblInd w:w="0" w:type="dxa"/>
      <w:tblBorders>
        <w:top w:val="single" w:sz="8" w:space="0" w:color="4472C4" w:themeColor="accent5"/>
        <w:left w:val="single" w:sz="8" w:space="0" w:color="4472C4" w:themeColor="accent5"/>
        <w:bottom w:val="single" w:sz="8" w:space="0" w:color="4472C4" w:themeColor="accent5"/>
        <w:right w:val="single" w:sz="8" w:space="0" w:color="4472C4"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character" w:customStyle="1" w:styleId="TEKSTChar">
    <w:name w:val="TEKST Char"/>
    <w:link w:val="TEKST"/>
    <w:rsid w:val="00250204"/>
    <w:rPr>
      <w:rFonts w:ascii="Times New Roman" w:eastAsia="Times New Roman" w:hAnsi="Times New Roman" w:cs="Times New Roman"/>
      <w:noProof/>
      <w:lang w:val="hr-HR" w:eastAsia="de-DE"/>
    </w:rPr>
  </w:style>
  <w:style w:type="paragraph" w:styleId="EndnoteText">
    <w:name w:val="endnote text"/>
    <w:basedOn w:val="Normal"/>
    <w:link w:val="EndnoteTextChar"/>
    <w:uiPriority w:val="99"/>
    <w:unhideWhenUsed/>
    <w:rsid w:val="0092435E"/>
    <w:pPr>
      <w:jc w:val="left"/>
    </w:pPr>
    <w:rPr>
      <w:rFonts w:ascii="Times New Roman" w:hAnsi="Times New Roman"/>
      <w:sz w:val="20"/>
      <w:szCs w:val="20"/>
      <w:lang w:val="en-US" w:eastAsia="hr-HR"/>
    </w:rPr>
  </w:style>
  <w:style w:type="character" w:customStyle="1" w:styleId="EndnoteTextChar">
    <w:name w:val="Endnote Text Char"/>
    <w:basedOn w:val="DefaultParagraphFont"/>
    <w:link w:val="EndnoteText"/>
    <w:uiPriority w:val="99"/>
    <w:rsid w:val="0092435E"/>
    <w:rPr>
      <w:rFonts w:ascii="Times New Roman" w:eastAsia="Times New Roman" w:hAnsi="Times New Roman" w:cs="Times New Roman"/>
      <w:sz w:val="20"/>
      <w:szCs w:val="20"/>
      <w:lang w:val="en-US" w:eastAsia="hr-HR"/>
    </w:rPr>
  </w:style>
  <w:style w:type="paragraph" w:styleId="FootnoteText">
    <w:name w:val="footnote text"/>
    <w:basedOn w:val="Normal"/>
    <w:link w:val="FootnoteTextChar"/>
    <w:semiHidden/>
    <w:rsid w:val="0092435E"/>
    <w:pPr>
      <w:jc w:val="left"/>
    </w:pPr>
    <w:rPr>
      <w:rFonts w:ascii="4D Times Roman" w:hAnsi="4D Times Roman"/>
      <w:sz w:val="20"/>
      <w:szCs w:val="20"/>
      <w:lang w:eastAsia="hr-HR"/>
    </w:rPr>
  </w:style>
  <w:style w:type="character" w:customStyle="1" w:styleId="FootnoteTextChar">
    <w:name w:val="Footnote Text Char"/>
    <w:basedOn w:val="DefaultParagraphFont"/>
    <w:link w:val="FootnoteText"/>
    <w:semiHidden/>
    <w:rsid w:val="0092435E"/>
    <w:rPr>
      <w:rFonts w:ascii="4D Times Roman" w:eastAsia="Times New Roman" w:hAnsi="4D Times Roman" w:cs="Times New Roman"/>
      <w:sz w:val="20"/>
      <w:szCs w:val="20"/>
      <w:lang w:val="en-GB" w:eastAsia="hr-HR"/>
    </w:rPr>
  </w:style>
  <w:style w:type="character" w:styleId="FootnoteReference">
    <w:name w:val="footnote reference"/>
    <w:basedOn w:val="DefaultParagraphFont"/>
    <w:semiHidden/>
    <w:rsid w:val="0092435E"/>
    <w:rPr>
      <w:vertAlign w:val="superscript"/>
    </w:rPr>
  </w:style>
  <w:style w:type="paragraph" w:customStyle="1" w:styleId="Grafikoni">
    <w:name w:val="Grafikoni"/>
    <w:basedOn w:val="Normal"/>
    <w:autoRedefine/>
    <w:rsid w:val="004B747B"/>
    <w:pPr>
      <w:keepNext/>
      <w:widowControl w:val="0"/>
      <w:spacing w:before="240" w:after="120"/>
      <w:jc w:val="left"/>
    </w:pPr>
    <w:rPr>
      <w:rFonts w:ascii="Times New Roman" w:hAnsi="Times New Roman"/>
      <w:bCs/>
      <w:i/>
      <w:lang w:val="hr-HR" w:eastAsia="bs-Latn-BA"/>
    </w:rPr>
  </w:style>
  <w:style w:type="table" w:styleId="MediumGrid3-Accent1">
    <w:name w:val="Medium Grid 3 Accent 1"/>
    <w:basedOn w:val="TableNormal"/>
    <w:uiPriority w:val="69"/>
    <w:rsid w:val="0092435E"/>
    <w:pPr>
      <w:spacing w:after="0" w:line="240" w:lineRule="auto"/>
    </w:pPr>
    <w:rPr>
      <w:lang w:val="en-US"/>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6E6F4"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5B9BD5"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5B9BD5"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DCCEA"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DCCEA" w:themeFill="accent1" w:themeFillTint="7F"/>
      </w:tcPr>
    </w:tblStylePr>
  </w:style>
  <w:style w:type="paragraph" w:styleId="NoSpacing">
    <w:name w:val="No Spacing"/>
    <w:link w:val="NoSpacingChar"/>
    <w:uiPriority w:val="1"/>
    <w:qFormat/>
    <w:rsid w:val="0030413C"/>
    <w:pPr>
      <w:spacing w:after="0" w:line="240" w:lineRule="auto"/>
    </w:pPr>
    <w:rPr>
      <w:rFonts w:ascii="Times New Roman" w:eastAsia="Times New Roman" w:hAnsi="Times New Roman" w:cs="Times New Roman"/>
      <w:sz w:val="24"/>
      <w:szCs w:val="24"/>
      <w:lang w:val="en-GB"/>
    </w:rPr>
  </w:style>
  <w:style w:type="character" w:customStyle="1" w:styleId="NoSpacingChar">
    <w:name w:val="No Spacing Char"/>
    <w:link w:val="NoSpacing"/>
    <w:uiPriority w:val="1"/>
    <w:rsid w:val="0030413C"/>
    <w:rPr>
      <w:rFonts w:ascii="Times New Roman" w:eastAsia="Times New Roman" w:hAnsi="Times New Roman" w:cs="Times New Roman"/>
      <w:sz w:val="24"/>
      <w:szCs w:val="24"/>
      <w:lang w:val="en-GB"/>
    </w:rPr>
  </w:style>
  <w:style w:type="paragraph" w:customStyle="1" w:styleId="TekstCharChar1">
    <w:name w:val="Tekst Char Char1"/>
    <w:basedOn w:val="Normal"/>
    <w:link w:val="TekstCharChar1Char"/>
    <w:rsid w:val="0030413C"/>
    <w:pPr>
      <w:spacing w:before="120"/>
    </w:pPr>
    <w:rPr>
      <w:szCs w:val="24"/>
      <w:lang w:val="hr-HR"/>
    </w:rPr>
  </w:style>
  <w:style w:type="character" w:customStyle="1" w:styleId="TekstCharChar1Char">
    <w:name w:val="Tekst Char Char1 Char"/>
    <w:basedOn w:val="DefaultParagraphFont"/>
    <w:link w:val="TekstCharChar1"/>
    <w:locked/>
    <w:rsid w:val="0030413C"/>
    <w:rPr>
      <w:rFonts w:ascii="Calibri" w:eastAsia="Times New Roman" w:hAnsi="Calibri" w:cs="Times New Roman"/>
      <w:szCs w:val="24"/>
      <w:lang w:val="hr-HR"/>
    </w:rPr>
  </w:style>
  <w:style w:type="paragraph" w:styleId="Footer">
    <w:name w:val="footer"/>
    <w:basedOn w:val="Normal"/>
    <w:link w:val="FooterChar"/>
    <w:uiPriority w:val="99"/>
    <w:unhideWhenUsed/>
    <w:rsid w:val="0030413C"/>
    <w:pPr>
      <w:tabs>
        <w:tab w:val="center" w:pos="4680"/>
        <w:tab w:val="right" w:pos="9360"/>
      </w:tabs>
    </w:pPr>
  </w:style>
  <w:style w:type="character" w:customStyle="1" w:styleId="FooterChar">
    <w:name w:val="Footer Char"/>
    <w:basedOn w:val="DefaultParagraphFont"/>
    <w:link w:val="Footer"/>
    <w:uiPriority w:val="99"/>
    <w:rsid w:val="0030413C"/>
    <w:rPr>
      <w:rFonts w:ascii="Calibri" w:eastAsia="Times New Roman" w:hAnsi="Calibri" w:cs="Times New Roman"/>
      <w:lang w:val="en-GB"/>
    </w:rPr>
  </w:style>
  <w:style w:type="character" w:customStyle="1" w:styleId="Heading6Char">
    <w:name w:val="Heading 6 Char"/>
    <w:basedOn w:val="DefaultParagraphFont"/>
    <w:link w:val="Heading6"/>
    <w:rsid w:val="0030413C"/>
    <w:rPr>
      <w:rFonts w:ascii="Times New Roman" w:eastAsia="Times New Roman" w:hAnsi="Times New Roman" w:cs="Times New Roman"/>
      <w:b/>
      <w:bCs/>
      <w:lang w:val="en-GB"/>
    </w:rPr>
  </w:style>
  <w:style w:type="character" w:customStyle="1" w:styleId="Heading7Char">
    <w:name w:val="Heading 7 Char"/>
    <w:basedOn w:val="DefaultParagraphFont"/>
    <w:link w:val="Heading7"/>
    <w:rsid w:val="0030413C"/>
    <w:rPr>
      <w:rFonts w:ascii="Times New Roman" w:eastAsia="Times New Roman" w:hAnsi="Times New Roman" w:cs="Times New Roman"/>
      <w:sz w:val="24"/>
      <w:szCs w:val="24"/>
      <w:lang w:val="en-GB"/>
    </w:rPr>
  </w:style>
  <w:style w:type="character" w:customStyle="1" w:styleId="Heading8Char">
    <w:name w:val="Heading 8 Char"/>
    <w:basedOn w:val="DefaultParagraphFont"/>
    <w:link w:val="Heading8"/>
    <w:rsid w:val="0030413C"/>
    <w:rPr>
      <w:rFonts w:ascii="Times New Roman" w:eastAsia="Times New Roman" w:hAnsi="Times New Roman" w:cs="Times New Roman"/>
      <w:i/>
      <w:sz w:val="24"/>
      <w:szCs w:val="20"/>
      <w:lang w:val="en-GB"/>
    </w:rPr>
  </w:style>
  <w:style w:type="character" w:customStyle="1" w:styleId="Heading2CharCharChar">
    <w:name w:val="Heading 2 Char Char Char"/>
    <w:rsid w:val="0030413C"/>
    <w:rPr>
      <w:bCs/>
      <w:iCs/>
      <w:sz w:val="22"/>
      <w:szCs w:val="22"/>
      <w:lang w:val="bs-Latn-BA" w:eastAsia="en-US" w:bidi="ar-SA"/>
    </w:rPr>
  </w:style>
  <w:style w:type="paragraph" w:styleId="BodyText2">
    <w:name w:val="Body Text 2"/>
    <w:basedOn w:val="Normal"/>
    <w:link w:val="BodyText2Char"/>
    <w:rsid w:val="0030413C"/>
    <w:pPr>
      <w:spacing w:after="120" w:line="480" w:lineRule="auto"/>
    </w:pPr>
    <w:rPr>
      <w:rFonts w:ascii="Times New Roman" w:hAnsi="Times New Roman"/>
    </w:rPr>
  </w:style>
  <w:style w:type="character" w:customStyle="1" w:styleId="BodyText2Char">
    <w:name w:val="Body Text 2 Char"/>
    <w:basedOn w:val="DefaultParagraphFont"/>
    <w:link w:val="BodyText2"/>
    <w:rsid w:val="0030413C"/>
    <w:rPr>
      <w:rFonts w:ascii="Times New Roman" w:eastAsia="Times New Roman" w:hAnsi="Times New Roman" w:cs="Times New Roman"/>
      <w:lang w:val="en-GB"/>
    </w:rPr>
  </w:style>
  <w:style w:type="paragraph" w:customStyle="1" w:styleId="tekstCharCharChar">
    <w:name w:val="tekst Char Char Char"/>
    <w:basedOn w:val="Normal"/>
    <w:rsid w:val="0030413C"/>
    <w:pPr>
      <w:spacing w:before="120"/>
      <w:ind w:firstLine="720"/>
    </w:pPr>
    <w:rPr>
      <w:rFonts w:ascii="Times New Roman" w:hAnsi="Times New Roman"/>
      <w:sz w:val="24"/>
      <w:szCs w:val="24"/>
      <w:lang w:val="hr-HR"/>
    </w:rPr>
  </w:style>
  <w:style w:type="character" w:customStyle="1" w:styleId="tekstCharCharCharChar">
    <w:name w:val="tekst Char Char Char Char"/>
    <w:rsid w:val="0030413C"/>
    <w:rPr>
      <w:sz w:val="24"/>
      <w:szCs w:val="24"/>
      <w:lang w:val="hr-HR" w:eastAsia="en-US" w:bidi="ar-SA"/>
    </w:rPr>
  </w:style>
  <w:style w:type="paragraph" w:styleId="BodyTextIndent">
    <w:name w:val="Body Text Indent"/>
    <w:basedOn w:val="Normal"/>
    <w:link w:val="BodyTextIndentChar"/>
    <w:rsid w:val="0030413C"/>
    <w:pPr>
      <w:spacing w:after="120"/>
      <w:ind w:left="283"/>
    </w:pPr>
    <w:rPr>
      <w:rFonts w:ascii="Times New Roman" w:hAnsi="Times New Roman"/>
    </w:rPr>
  </w:style>
  <w:style w:type="character" w:customStyle="1" w:styleId="BodyTextIndentChar">
    <w:name w:val="Body Text Indent Char"/>
    <w:basedOn w:val="DefaultParagraphFont"/>
    <w:link w:val="BodyTextIndent"/>
    <w:rsid w:val="0030413C"/>
    <w:rPr>
      <w:rFonts w:ascii="Times New Roman" w:eastAsia="Times New Roman" w:hAnsi="Times New Roman" w:cs="Times New Roman"/>
      <w:lang w:val="en-GB"/>
    </w:rPr>
  </w:style>
  <w:style w:type="paragraph" w:styleId="BodyText3">
    <w:name w:val="Body Text 3"/>
    <w:basedOn w:val="Normal"/>
    <w:link w:val="BodyText3Char"/>
    <w:rsid w:val="0030413C"/>
    <w:pPr>
      <w:spacing w:line="360" w:lineRule="auto"/>
    </w:pPr>
    <w:rPr>
      <w:rFonts w:ascii="Arial Narrow" w:hAnsi="Arial Narrow"/>
      <w:szCs w:val="20"/>
      <w:lang w:val="en-US"/>
    </w:rPr>
  </w:style>
  <w:style w:type="character" w:customStyle="1" w:styleId="BodyText3Char">
    <w:name w:val="Body Text 3 Char"/>
    <w:basedOn w:val="DefaultParagraphFont"/>
    <w:link w:val="BodyText3"/>
    <w:rsid w:val="0030413C"/>
    <w:rPr>
      <w:rFonts w:ascii="Arial Narrow" w:eastAsia="Times New Roman" w:hAnsi="Arial Narrow" w:cs="Times New Roman"/>
      <w:szCs w:val="20"/>
      <w:lang w:val="en-US"/>
    </w:rPr>
  </w:style>
  <w:style w:type="paragraph" w:customStyle="1" w:styleId="BodyTextuvlaka3">
    <w:name w:val="Body Text.uvlaka 3"/>
    <w:basedOn w:val="Normal"/>
    <w:rsid w:val="0030413C"/>
    <w:rPr>
      <w:rFonts w:ascii="Arial" w:hAnsi="Arial"/>
      <w:sz w:val="24"/>
      <w:szCs w:val="20"/>
      <w:lang w:val="en-US"/>
    </w:rPr>
  </w:style>
  <w:style w:type="paragraph" w:styleId="Salutation">
    <w:name w:val="Salutation"/>
    <w:basedOn w:val="Normal"/>
    <w:next w:val="Normal"/>
    <w:link w:val="SalutationChar"/>
    <w:rsid w:val="0030413C"/>
    <w:pPr>
      <w:spacing w:before="220" w:after="220" w:line="220" w:lineRule="atLeast"/>
      <w:jc w:val="left"/>
    </w:pPr>
    <w:rPr>
      <w:rFonts w:ascii="Arial" w:hAnsi="Arial"/>
      <w:spacing w:val="-5"/>
      <w:sz w:val="20"/>
      <w:szCs w:val="20"/>
      <w:lang w:val="en-US"/>
    </w:rPr>
  </w:style>
  <w:style w:type="character" w:customStyle="1" w:styleId="SalutationChar">
    <w:name w:val="Salutation Char"/>
    <w:basedOn w:val="DefaultParagraphFont"/>
    <w:link w:val="Salutation"/>
    <w:rsid w:val="0030413C"/>
    <w:rPr>
      <w:rFonts w:ascii="Arial" w:eastAsia="Times New Roman" w:hAnsi="Arial" w:cs="Times New Roman"/>
      <w:spacing w:val="-5"/>
      <w:sz w:val="20"/>
      <w:szCs w:val="20"/>
      <w:lang w:val="en-US"/>
    </w:rPr>
  </w:style>
  <w:style w:type="paragraph" w:customStyle="1" w:styleId="TekstCharChar">
    <w:name w:val="Tekst Char Char"/>
    <w:basedOn w:val="tekstCharCharChar"/>
    <w:rsid w:val="0030413C"/>
    <w:pPr>
      <w:ind w:firstLine="0"/>
    </w:pPr>
    <w:rPr>
      <w:sz w:val="22"/>
    </w:rPr>
  </w:style>
  <w:style w:type="character" w:customStyle="1" w:styleId="TekstCharCharChar0">
    <w:name w:val="Tekst Char Char Char"/>
    <w:rsid w:val="0030413C"/>
    <w:rPr>
      <w:sz w:val="22"/>
      <w:szCs w:val="24"/>
      <w:lang w:val="hr-HR" w:eastAsia="en-US" w:bidi="ar-SA"/>
    </w:rPr>
  </w:style>
  <w:style w:type="character" w:styleId="PageNumber">
    <w:name w:val="page number"/>
    <w:basedOn w:val="DefaultParagraphFont"/>
    <w:rsid w:val="0030413C"/>
  </w:style>
  <w:style w:type="paragraph" w:styleId="Title">
    <w:name w:val="Title"/>
    <w:basedOn w:val="Normal"/>
    <w:link w:val="TitleChar"/>
    <w:qFormat/>
    <w:rsid w:val="0030413C"/>
    <w:pPr>
      <w:jc w:val="center"/>
    </w:pPr>
    <w:rPr>
      <w:rFonts w:ascii="Times New Roman" w:hAnsi="Times New Roman"/>
      <w:b/>
      <w:bCs/>
      <w:i/>
      <w:iCs/>
      <w:sz w:val="24"/>
      <w:szCs w:val="24"/>
      <w:lang w:val="hr-HR"/>
    </w:rPr>
  </w:style>
  <w:style w:type="character" w:customStyle="1" w:styleId="TitleChar">
    <w:name w:val="Title Char"/>
    <w:basedOn w:val="DefaultParagraphFont"/>
    <w:link w:val="Title"/>
    <w:rsid w:val="0030413C"/>
    <w:rPr>
      <w:rFonts w:ascii="Times New Roman" w:eastAsia="Times New Roman" w:hAnsi="Times New Roman" w:cs="Times New Roman"/>
      <w:b/>
      <w:bCs/>
      <w:i/>
      <w:iCs/>
      <w:sz w:val="24"/>
      <w:szCs w:val="24"/>
      <w:lang w:val="hr-HR"/>
    </w:rPr>
  </w:style>
  <w:style w:type="paragraph" w:styleId="BodyTextIndent3">
    <w:name w:val="Body Text Indent 3"/>
    <w:basedOn w:val="Normal"/>
    <w:link w:val="BodyTextIndent3Char"/>
    <w:rsid w:val="0030413C"/>
    <w:pPr>
      <w:spacing w:after="120"/>
      <w:ind w:left="283"/>
    </w:pPr>
    <w:rPr>
      <w:rFonts w:ascii="Times New Roman" w:hAnsi="Times New Roman"/>
      <w:sz w:val="16"/>
      <w:szCs w:val="16"/>
    </w:rPr>
  </w:style>
  <w:style w:type="character" w:customStyle="1" w:styleId="BodyTextIndent3Char">
    <w:name w:val="Body Text Indent 3 Char"/>
    <w:basedOn w:val="DefaultParagraphFont"/>
    <w:link w:val="BodyTextIndent3"/>
    <w:rsid w:val="0030413C"/>
    <w:rPr>
      <w:rFonts w:ascii="Times New Roman" w:eastAsia="Times New Roman" w:hAnsi="Times New Roman" w:cs="Times New Roman"/>
      <w:sz w:val="16"/>
      <w:szCs w:val="16"/>
      <w:lang w:val="en-GB"/>
    </w:rPr>
  </w:style>
  <w:style w:type="paragraph" w:customStyle="1" w:styleId="tekstChar0">
    <w:name w:val="tekst Char"/>
    <w:basedOn w:val="Normal"/>
    <w:rsid w:val="0030413C"/>
    <w:pPr>
      <w:spacing w:before="120"/>
      <w:ind w:firstLine="720"/>
    </w:pPr>
    <w:rPr>
      <w:rFonts w:ascii="Times New Roman" w:hAnsi="Times New Roman"/>
      <w:sz w:val="24"/>
      <w:szCs w:val="24"/>
      <w:lang w:val="hr-HR"/>
    </w:rPr>
  </w:style>
  <w:style w:type="character" w:customStyle="1" w:styleId="TekstCharCharChar1">
    <w:name w:val="Tekst Char Char Char1"/>
    <w:rsid w:val="0030413C"/>
    <w:rPr>
      <w:sz w:val="22"/>
      <w:szCs w:val="24"/>
      <w:lang w:val="hr-HR" w:eastAsia="en-US" w:bidi="ar-SA"/>
    </w:rPr>
  </w:style>
  <w:style w:type="paragraph" w:customStyle="1" w:styleId="grafikoni0">
    <w:name w:val="grafikoni"/>
    <w:basedOn w:val="Normal"/>
    <w:rsid w:val="0030413C"/>
    <w:pPr>
      <w:jc w:val="right"/>
    </w:pPr>
    <w:rPr>
      <w:rFonts w:ascii="Times New Roman" w:hAnsi="Times New Roman"/>
      <w:i/>
      <w:sz w:val="20"/>
      <w:szCs w:val="20"/>
      <w:lang w:val="hr-HR"/>
    </w:rPr>
  </w:style>
  <w:style w:type="character" w:customStyle="1" w:styleId="grafikoniChar">
    <w:name w:val="grafikoni Char"/>
    <w:rsid w:val="0030413C"/>
    <w:rPr>
      <w:i/>
      <w:lang w:val="hr-HR" w:eastAsia="en-US" w:bidi="ar-SA"/>
    </w:rPr>
  </w:style>
  <w:style w:type="character" w:customStyle="1" w:styleId="tekstCharChar0">
    <w:name w:val="tekst Char Char"/>
    <w:rsid w:val="0030413C"/>
    <w:rPr>
      <w:sz w:val="24"/>
      <w:szCs w:val="24"/>
      <w:lang w:val="hr-HR" w:eastAsia="en-US" w:bidi="ar-SA"/>
    </w:rPr>
  </w:style>
  <w:style w:type="character" w:customStyle="1" w:styleId="TekstCharCharCharChar0">
    <w:name w:val="Tekst Char Char Char Char"/>
    <w:rsid w:val="0030413C"/>
    <w:rPr>
      <w:sz w:val="22"/>
      <w:szCs w:val="24"/>
      <w:lang w:val="hr-HR" w:eastAsia="en-US" w:bidi="ar-SA"/>
    </w:rPr>
  </w:style>
  <w:style w:type="character" w:customStyle="1" w:styleId="grafikoniCharChar">
    <w:name w:val="grafikoni Char Char"/>
    <w:rsid w:val="0030413C"/>
    <w:rPr>
      <w:i/>
      <w:sz w:val="22"/>
      <w:szCs w:val="22"/>
      <w:lang w:val="hr-HR" w:eastAsia="en-US" w:bidi="ar-SA"/>
    </w:rPr>
  </w:style>
  <w:style w:type="paragraph" w:customStyle="1" w:styleId="TekstChar1">
    <w:name w:val="Tekst Char"/>
    <w:basedOn w:val="Normal"/>
    <w:rsid w:val="0030413C"/>
    <w:pPr>
      <w:spacing w:before="120"/>
    </w:pPr>
    <w:rPr>
      <w:rFonts w:ascii="Times New Roman" w:hAnsi="Times New Roman"/>
      <w:szCs w:val="24"/>
      <w:lang w:val="hr-HR"/>
    </w:rPr>
  </w:style>
  <w:style w:type="paragraph" w:styleId="BlockText">
    <w:name w:val="Block Text"/>
    <w:basedOn w:val="Normal"/>
    <w:rsid w:val="0030413C"/>
    <w:pPr>
      <w:widowControl w:val="0"/>
      <w:autoSpaceDE w:val="0"/>
      <w:autoSpaceDN w:val="0"/>
      <w:adjustRightInd w:val="0"/>
      <w:ind w:left="214" w:right="-20"/>
      <w:jc w:val="left"/>
    </w:pPr>
    <w:rPr>
      <w:rFonts w:ascii="Times New Roman" w:hAnsi="Times New Roman"/>
      <w:w w:val="103"/>
      <w:sz w:val="20"/>
      <w:szCs w:val="20"/>
    </w:rPr>
  </w:style>
  <w:style w:type="paragraph" w:customStyle="1" w:styleId="xl29">
    <w:name w:val="xl29"/>
    <w:basedOn w:val="Normal"/>
    <w:rsid w:val="0030413C"/>
    <w:pPr>
      <w:pBdr>
        <w:bottom w:val="single" w:sz="4" w:space="0" w:color="auto"/>
      </w:pBdr>
      <w:spacing w:before="100" w:after="100"/>
      <w:jc w:val="left"/>
    </w:pPr>
    <w:rPr>
      <w:rFonts w:ascii="Arial" w:hAnsi="Arial"/>
      <w:i/>
      <w:sz w:val="17"/>
      <w:szCs w:val="20"/>
      <w:lang w:eastAsia="bs-Latn-BA"/>
    </w:rPr>
  </w:style>
  <w:style w:type="paragraph" w:customStyle="1" w:styleId="Poglavlje2">
    <w:name w:val="Poglavlje 2"/>
    <w:basedOn w:val="Heading2"/>
    <w:link w:val="Poglavlje2Char"/>
    <w:qFormat/>
    <w:rsid w:val="00D1726C"/>
    <w:rPr>
      <w:rFonts w:ascii="Times New Roman" w:hAnsi="Times New Roman"/>
      <w:b/>
      <w:color w:val="auto"/>
      <w:sz w:val="22"/>
    </w:rPr>
  </w:style>
  <w:style w:type="paragraph" w:customStyle="1" w:styleId="Poglavlje1">
    <w:name w:val="Poglavlje 1"/>
    <w:basedOn w:val="Heading1"/>
    <w:link w:val="Poglavlje1Char"/>
    <w:qFormat/>
    <w:rsid w:val="00A131AD"/>
    <w:pPr>
      <w:numPr>
        <w:numId w:val="3"/>
      </w:numPr>
    </w:pPr>
    <w:rPr>
      <w:rFonts w:ascii="Times New Roman" w:hAnsi="Times New Roman"/>
      <w:sz w:val="22"/>
    </w:rPr>
  </w:style>
  <w:style w:type="character" w:customStyle="1" w:styleId="Poglavlje2Char">
    <w:name w:val="Poglavlje 2 Char"/>
    <w:basedOn w:val="Heading2Char"/>
    <w:link w:val="Poglavlje2"/>
    <w:rsid w:val="00D1726C"/>
    <w:rPr>
      <w:rFonts w:ascii="Times New Roman" w:eastAsiaTheme="majorEastAsia" w:hAnsi="Times New Roman" w:cstheme="majorBidi"/>
      <w:b/>
      <w:color w:val="2E74B5" w:themeColor="accent1" w:themeShade="BF"/>
      <w:sz w:val="26"/>
      <w:szCs w:val="26"/>
      <w:lang w:val="en-GB"/>
    </w:rPr>
  </w:style>
  <w:style w:type="paragraph" w:customStyle="1" w:styleId="Poglavlje3">
    <w:name w:val="Poglavlje 3"/>
    <w:basedOn w:val="Heading3"/>
    <w:link w:val="Poglavlje3Char"/>
    <w:qFormat/>
    <w:rsid w:val="000E1376"/>
    <w:rPr>
      <w:rFonts w:ascii="Times New Roman" w:hAnsi="Times New Roman" w:cs="Times New Roman"/>
      <w:b/>
      <w:bCs/>
      <w:i/>
      <w:iCs/>
      <w:color w:val="auto"/>
      <w:sz w:val="22"/>
      <w:szCs w:val="22"/>
    </w:rPr>
  </w:style>
  <w:style w:type="character" w:customStyle="1" w:styleId="Poglavlje1Char">
    <w:name w:val="Poglavlje 1 Char"/>
    <w:basedOn w:val="Heading1Char"/>
    <w:link w:val="Poglavlje1"/>
    <w:rsid w:val="00A131AD"/>
    <w:rPr>
      <w:rFonts w:ascii="Times New Roman" w:eastAsia="Times New Roman" w:hAnsi="Times New Roman" w:cs="Times New Roman"/>
      <w:b/>
      <w:sz w:val="28"/>
      <w:szCs w:val="20"/>
    </w:rPr>
  </w:style>
  <w:style w:type="paragraph" w:customStyle="1" w:styleId="Poglavlje4">
    <w:name w:val="Poglavlje 4"/>
    <w:basedOn w:val="Heading4"/>
    <w:link w:val="Poglavlje4Char"/>
    <w:qFormat/>
    <w:rsid w:val="007B665A"/>
    <w:pPr>
      <w:spacing w:after="160" w:line="259" w:lineRule="auto"/>
    </w:pPr>
    <w:rPr>
      <w:rFonts w:ascii="Times New Roman" w:eastAsiaTheme="minorHAnsi" w:hAnsi="Times New Roman"/>
      <w:b/>
      <w:color w:val="auto"/>
      <w:lang w:val="bs-Latn-BA"/>
    </w:rPr>
  </w:style>
  <w:style w:type="character" w:customStyle="1" w:styleId="Poglavlje3Char">
    <w:name w:val="Poglavlje 3 Char"/>
    <w:basedOn w:val="Heading3Char"/>
    <w:link w:val="Poglavlje3"/>
    <w:rsid w:val="000E1376"/>
    <w:rPr>
      <w:rFonts w:ascii="Times New Roman" w:eastAsiaTheme="majorEastAsia" w:hAnsi="Times New Roman" w:cs="Times New Roman"/>
      <w:b/>
      <w:bCs/>
      <w:i/>
      <w:iCs/>
      <w:color w:val="1F4D78" w:themeColor="accent1" w:themeShade="7F"/>
      <w:sz w:val="24"/>
      <w:szCs w:val="24"/>
      <w:lang w:val="en-GB"/>
    </w:rPr>
  </w:style>
  <w:style w:type="paragraph" w:customStyle="1" w:styleId="Poglavlje5">
    <w:name w:val="Poglavlje 5"/>
    <w:basedOn w:val="Heading5"/>
    <w:link w:val="Poglavlje5Char"/>
    <w:qFormat/>
    <w:rsid w:val="00771DAB"/>
    <w:pPr>
      <w:spacing w:after="160" w:line="259" w:lineRule="auto"/>
    </w:pPr>
    <w:rPr>
      <w:rFonts w:ascii="Times New Roman" w:eastAsiaTheme="minorHAnsi" w:hAnsi="Times New Roman"/>
      <w:b/>
      <w:color w:val="auto"/>
      <w:lang w:val="bs-Latn-BA"/>
    </w:rPr>
  </w:style>
  <w:style w:type="character" w:customStyle="1" w:styleId="Poglavlje4Char">
    <w:name w:val="Poglavlje 4 Char"/>
    <w:basedOn w:val="Heading4Char"/>
    <w:link w:val="Poglavlje4"/>
    <w:rsid w:val="007B665A"/>
    <w:rPr>
      <w:rFonts w:ascii="Times New Roman" w:eastAsiaTheme="majorEastAsia" w:hAnsi="Times New Roman" w:cstheme="majorBidi"/>
      <w:b/>
      <w:i/>
      <w:iCs/>
      <w:color w:val="2E74B5" w:themeColor="accent1" w:themeShade="BF"/>
      <w:lang w:val="en-GB"/>
    </w:rPr>
  </w:style>
  <w:style w:type="paragraph" w:styleId="TOCHeading">
    <w:name w:val="TOC Heading"/>
    <w:basedOn w:val="Heading1"/>
    <w:next w:val="Normal"/>
    <w:uiPriority w:val="39"/>
    <w:unhideWhenUsed/>
    <w:qFormat/>
    <w:rsid w:val="00DE178E"/>
    <w:pPr>
      <w:keepLines/>
      <w:spacing w:before="240" w:after="0" w:line="259" w:lineRule="auto"/>
      <w:outlineLvl w:val="9"/>
    </w:pPr>
    <w:rPr>
      <w:rFonts w:asciiTheme="majorHAnsi" w:eastAsiaTheme="majorEastAsia" w:hAnsiTheme="majorHAnsi" w:cstheme="majorBidi"/>
      <w:b w:val="0"/>
      <w:color w:val="2E74B5" w:themeColor="accent1" w:themeShade="BF"/>
      <w:sz w:val="32"/>
      <w:szCs w:val="32"/>
      <w:lang w:val="en-US"/>
    </w:rPr>
  </w:style>
  <w:style w:type="character" w:customStyle="1" w:styleId="Poglavlje5Char">
    <w:name w:val="Poglavlje 5 Char"/>
    <w:basedOn w:val="Heading5Char"/>
    <w:link w:val="Poglavlje5"/>
    <w:rsid w:val="00771DAB"/>
    <w:rPr>
      <w:rFonts w:ascii="Times New Roman" w:eastAsiaTheme="majorEastAsia" w:hAnsi="Times New Roman" w:cstheme="majorBidi"/>
      <w:b/>
      <w:color w:val="2E74B5" w:themeColor="accent1" w:themeShade="BF"/>
      <w:lang w:val="en-GB"/>
    </w:rPr>
  </w:style>
  <w:style w:type="paragraph" w:styleId="TOC4">
    <w:name w:val="toc 4"/>
    <w:basedOn w:val="Normal"/>
    <w:next w:val="Normal"/>
    <w:autoRedefine/>
    <w:uiPriority w:val="39"/>
    <w:unhideWhenUsed/>
    <w:rsid w:val="00DE178E"/>
    <w:pPr>
      <w:spacing w:after="100" w:line="259" w:lineRule="auto"/>
      <w:ind w:left="660"/>
      <w:jc w:val="left"/>
    </w:pPr>
    <w:rPr>
      <w:rFonts w:asciiTheme="minorHAnsi" w:eastAsiaTheme="minorEastAsia" w:hAnsiTheme="minorHAnsi" w:cstheme="minorBidi"/>
      <w:lang w:eastAsia="en-GB"/>
    </w:rPr>
  </w:style>
  <w:style w:type="paragraph" w:styleId="TOC5">
    <w:name w:val="toc 5"/>
    <w:basedOn w:val="Normal"/>
    <w:next w:val="Normal"/>
    <w:autoRedefine/>
    <w:uiPriority w:val="39"/>
    <w:unhideWhenUsed/>
    <w:rsid w:val="00DE178E"/>
    <w:pPr>
      <w:spacing w:after="100" w:line="259" w:lineRule="auto"/>
      <w:ind w:left="880"/>
      <w:jc w:val="left"/>
    </w:pPr>
    <w:rPr>
      <w:rFonts w:asciiTheme="minorHAnsi" w:eastAsiaTheme="minorEastAsia" w:hAnsiTheme="minorHAnsi" w:cstheme="minorBidi"/>
      <w:lang w:eastAsia="en-GB"/>
    </w:rPr>
  </w:style>
  <w:style w:type="paragraph" w:styleId="TOC6">
    <w:name w:val="toc 6"/>
    <w:basedOn w:val="Normal"/>
    <w:next w:val="Normal"/>
    <w:autoRedefine/>
    <w:uiPriority w:val="39"/>
    <w:unhideWhenUsed/>
    <w:rsid w:val="00DE178E"/>
    <w:pPr>
      <w:spacing w:after="100" w:line="259" w:lineRule="auto"/>
      <w:ind w:left="1100"/>
      <w:jc w:val="left"/>
    </w:pPr>
    <w:rPr>
      <w:rFonts w:asciiTheme="minorHAnsi" w:eastAsiaTheme="minorEastAsia" w:hAnsiTheme="minorHAnsi" w:cstheme="minorBidi"/>
      <w:lang w:eastAsia="en-GB"/>
    </w:rPr>
  </w:style>
  <w:style w:type="paragraph" w:styleId="TOC7">
    <w:name w:val="toc 7"/>
    <w:basedOn w:val="Normal"/>
    <w:next w:val="Normal"/>
    <w:autoRedefine/>
    <w:uiPriority w:val="39"/>
    <w:unhideWhenUsed/>
    <w:rsid w:val="00DE178E"/>
    <w:pPr>
      <w:spacing w:after="100" w:line="259" w:lineRule="auto"/>
      <w:ind w:left="1320"/>
      <w:jc w:val="left"/>
    </w:pPr>
    <w:rPr>
      <w:rFonts w:asciiTheme="minorHAnsi" w:eastAsiaTheme="minorEastAsia" w:hAnsiTheme="minorHAnsi" w:cstheme="minorBidi"/>
      <w:lang w:eastAsia="en-GB"/>
    </w:rPr>
  </w:style>
  <w:style w:type="paragraph" w:styleId="TOC8">
    <w:name w:val="toc 8"/>
    <w:basedOn w:val="Normal"/>
    <w:next w:val="Normal"/>
    <w:autoRedefine/>
    <w:uiPriority w:val="39"/>
    <w:unhideWhenUsed/>
    <w:rsid w:val="00DE178E"/>
    <w:pPr>
      <w:spacing w:after="100" w:line="259" w:lineRule="auto"/>
      <w:ind w:left="1540"/>
      <w:jc w:val="left"/>
    </w:pPr>
    <w:rPr>
      <w:rFonts w:asciiTheme="minorHAnsi" w:eastAsiaTheme="minorEastAsia" w:hAnsiTheme="minorHAnsi" w:cstheme="minorBidi"/>
      <w:lang w:eastAsia="en-GB"/>
    </w:rPr>
  </w:style>
  <w:style w:type="paragraph" w:styleId="TOC9">
    <w:name w:val="toc 9"/>
    <w:basedOn w:val="Normal"/>
    <w:next w:val="Normal"/>
    <w:autoRedefine/>
    <w:uiPriority w:val="39"/>
    <w:unhideWhenUsed/>
    <w:rsid w:val="00DE178E"/>
    <w:pPr>
      <w:spacing w:after="100" w:line="259" w:lineRule="auto"/>
      <w:ind w:left="1760"/>
      <w:jc w:val="left"/>
    </w:pPr>
    <w:rPr>
      <w:rFonts w:asciiTheme="minorHAnsi" w:eastAsiaTheme="minorEastAsia" w:hAnsiTheme="minorHAnsi" w:cstheme="minorBidi"/>
      <w:lang w:eastAsia="en-GB"/>
    </w:rPr>
  </w:style>
  <w:style w:type="paragraph" w:customStyle="1" w:styleId="refererere">
    <w:name w:val="refererere"/>
    <w:basedOn w:val="Normal"/>
    <w:link w:val="refererereChar"/>
    <w:qFormat/>
    <w:rsid w:val="00EB7CC7"/>
    <w:pPr>
      <w:spacing w:line="276" w:lineRule="auto"/>
    </w:pPr>
    <w:rPr>
      <w:rFonts w:ascii="Times New Roman" w:hAnsi="Times New Roman"/>
      <w:sz w:val="20"/>
      <w:szCs w:val="20"/>
    </w:rPr>
  </w:style>
  <w:style w:type="character" w:customStyle="1" w:styleId="refererereChar">
    <w:name w:val="refererere Char"/>
    <w:basedOn w:val="DefaultParagraphFont"/>
    <w:link w:val="refererere"/>
    <w:rsid w:val="00EB7CC7"/>
    <w:rPr>
      <w:rFonts w:ascii="Times New Roman" w:eastAsia="Times New Roman" w:hAnsi="Times New Roman" w:cs="Times New Roman"/>
      <w:sz w:val="20"/>
      <w:szCs w:val="20"/>
      <w:lang w:val="en-GB"/>
    </w:rPr>
  </w:style>
  <w:style w:type="table" w:customStyle="1" w:styleId="TableGrid1">
    <w:name w:val="Table Grid1"/>
    <w:basedOn w:val="TableNormal"/>
    <w:next w:val="TableGrid"/>
    <w:uiPriority w:val="39"/>
    <w:rsid w:val="000C263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bs-Latn-BA"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caption" w:uiPriority="0" w:qFormat="1"/>
    <w:lsdException w:name="footnote reference" w:uiPriority="0"/>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Salutation" w:uiPriority="0"/>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0" w:unhideWhenUsed="0" w:qFormat="1"/>
    <w:lsdException w:name="Emphasis" w:semiHidden="0" w:uiPriority="0" w:unhideWhenUsed="0" w:qFormat="1"/>
    <w:lsdException w:name="Normal (Web)"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2609A"/>
    <w:pPr>
      <w:spacing w:after="0" w:line="240" w:lineRule="auto"/>
      <w:jc w:val="both"/>
    </w:pPr>
    <w:rPr>
      <w:rFonts w:ascii="Calibri" w:eastAsia="Times New Roman" w:hAnsi="Calibri" w:cs="Times New Roman"/>
      <w:lang w:val="en-GB"/>
    </w:rPr>
  </w:style>
  <w:style w:type="paragraph" w:styleId="Heading1">
    <w:name w:val="heading 1"/>
    <w:basedOn w:val="Normal"/>
    <w:next w:val="Normal"/>
    <w:link w:val="Heading1Char"/>
    <w:autoRedefine/>
    <w:qFormat/>
    <w:rsid w:val="0012609A"/>
    <w:pPr>
      <w:keepNext/>
      <w:spacing w:before="360" w:after="120"/>
      <w:jc w:val="left"/>
      <w:outlineLvl w:val="0"/>
    </w:pPr>
    <w:rPr>
      <w:b/>
      <w:sz w:val="28"/>
      <w:szCs w:val="20"/>
      <w:lang w:val="bs-Latn-BA"/>
    </w:rPr>
  </w:style>
  <w:style w:type="paragraph" w:styleId="Heading2">
    <w:name w:val="heading 2"/>
    <w:basedOn w:val="Normal"/>
    <w:next w:val="Normal"/>
    <w:link w:val="Heading2Char"/>
    <w:unhideWhenUsed/>
    <w:qFormat/>
    <w:rsid w:val="00373300"/>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nhideWhenUsed/>
    <w:qFormat/>
    <w:rsid w:val="00A22A38"/>
    <w:pPr>
      <w:keepNext/>
      <w:keepLines/>
      <w:spacing w:before="4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nhideWhenUsed/>
    <w:qFormat/>
    <w:rsid w:val="00DB1B71"/>
    <w:pPr>
      <w:keepNext/>
      <w:keepLines/>
      <w:spacing w:before="4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nhideWhenUsed/>
    <w:qFormat/>
    <w:rsid w:val="00A22A38"/>
    <w:pPr>
      <w:keepNext/>
      <w:keepLines/>
      <w:spacing w:before="4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qFormat/>
    <w:rsid w:val="0030413C"/>
    <w:pPr>
      <w:spacing w:before="240" w:after="60"/>
      <w:outlineLvl w:val="5"/>
    </w:pPr>
    <w:rPr>
      <w:rFonts w:ascii="Times New Roman" w:hAnsi="Times New Roman"/>
      <w:b/>
      <w:bCs/>
    </w:rPr>
  </w:style>
  <w:style w:type="paragraph" w:styleId="Heading7">
    <w:name w:val="heading 7"/>
    <w:basedOn w:val="Normal"/>
    <w:next w:val="Normal"/>
    <w:link w:val="Heading7Char"/>
    <w:qFormat/>
    <w:rsid w:val="0030413C"/>
    <w:pPr>
      <w:spacing w:before="240" w:after="60"/>
      <w:outlineLvl w:val="6"/>
    </w:pPr>
    <w:rPr>
      <w:rFonts w:ascii="Times New Roman" w:hAnsi="Times New Roman"/>
      <w:sz w:val="24"/>
      <w:szCs w:val="24"/>
    </w:rPr>
  </w:style>
  <w:style w:type="paragraph" w:styleId="Heading8">
    <w:name w:val="heading 8"/>
    <w:basedOn w:val="Normal"/>
    <w:next w:val="Normal"/>
    <w:link w:val="Heading8Char"/>
    <w:qFormat/>
    <w:rsid w:val="0030413C"/>
    <w:pPr>
      <w:spacing w:before="240" w:after="60"/>
      <w:jc w:val="left"/>
      <w:outlineLvl w:val="7"/>
    </w:pPr>
    <w:rPr>
      <w:rFonts w:ascii="Times New Roman" w:hAnsi="Times New Roman"/>
      <w:i/>
      <w:sz w:val="24"/>
      <w:szCs w:val="20"/>
    </w:rPr>
  </w:style>
  <w:style w:type="paragraph" w:styleId="Heading9">
    <w:name w:val="heading 9"/>
    <w:basedOn w:val="Normal"/>
    <w:next w:val="Normal"/>
    <w:link w:val="Heading9Char"/>
    <w:unhideWhenUsed/>
    <w:qFormat/>
    <w:rsid w:val="0092435E"/>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12609A"/>
    <w:rPr>
      <w:rFonts w:ascii="Calibri" w:eastAsia="Times New Roman" w:hAnsi="Calibri" w:cs="Times New Roman"/>
      <w:b/>
      <w:sz w:val="28"/>
      <w:szCs w:val="20"/>
    </w:rPr>
  </w:style>
  <w:style w:type="character" w:styleId="Hyperlink">
    <w:name w:val="Hyperlink"/>
    <w:uiPriority w:val="99"/>
    <w:unhideWhenUsed/>
    <w:rsid w:val="0012609A"/>
    <w:rPr>
      <w:color w:val="0000FF"/>
      <w:u w:val="single"/>
    </w:rPr>
  </w:style>
  <w:style w:type="character" w:styleId="Strong">
    <w:name w:val="Strong"/>
    <w:qFormat/>
    <w:rsid w:val="0012609A"/>
    <w:rPr>
      <w:rFonts w:ascii="Times New Roman" w:hAnsi="Times New Roman" w:cs="Times New Roman" w:hint="default"/>
      <w:b/>
      <w:bCs/>
    </w:rPr>
  </w:style>
  <w:style w:type="paragraph" w:styleId="TOC1">
    <w:name w:val="toc 1"/>
    <w:basedOn w:val="Normal"/>
    <w:next w:val="Normal"/>
    <w:autoRedefine/>
    <w:uiPriority w:val="39"/>
    <w:unhideWhenUsed/>
    <w:rsid w:val="0012609A"/>
    <w:pPr>
      <w:tabs>
        <w:tab w:val="right" w:leader="dot" w:pos="9017"/>
      </w:tabs>
      <w:spacing w:before="120" w:after="120"/>
      <w:jc w:val="left"/>
    </w:pPr>
    <w:rPr>
      <w:b/>
      <w:bCs/>
      <w:caps/>
      <w:noProof/>
      <w:sz w:val="20"/>
      <w:szCs w:val="24"/>
    </w:rPr>
  </w:style>
  <w:style w:type="paragraph" w:styleId="TOC2">
    <w:name w:val="toc 2"/>
    <w:basedOn w:val="Normal"/>
    <w:next w:val="Normal"/>
    <w:autoRedefine/>
    <w:uiPriority w:val="39"/>
    <w:unhideWhenUsed/>
    <w:rsid w:val="0012609A"/>
    <w:pPr>
      <w:ind w:left="220"/>
      <w:jc w:val="left"/>
    </w:pPr>
    <w:rPr>
      <w:rFonts w:ascii="Times New Roman" w:hAnsi="Times New Roman"/>
      <w:smallCaps/>
      <w:sz w:val="20"/>
      <w:szCs w:val="24"/>
    </w:rPr>
  </w:style>
  <w:style w:type="paragraph" w:styleId="TOC3">
    <w:name w:val="toc 3"/>
    <w:basedOn w:val="Normal"/>
    <w:next w:val="Normal"/>
    <w:autoRedefine/>
    <w:uiPriority w:val="39"/>
    <w:unhideWhenUsed/>
    <w:rsid w:val="0012609A"/>
    <w:pPr>
      <w:ind w:left="440"/>
      <w:jc w:val="left"/>
    </w:pPr>
    <w:rPr>
      <w:rFonts w:ascii="Times New Roman" w:hAnsi="Times New Roman"/>
      <w:i/>
      <w:iCs/>
      <w:sz w:val="20"/>
      <w:szCs w:val="24"/>
    </w:rPr>
  </w:style>
  <w:style w:type="paragraph" w:customStyle="1" w:styleId="TEKST">
    <w:name w:val="TEKST"/>
    <w:basedOn w:val="Normal"/>
    <w:link w:val="TEKSTChar"/>
    <w:autoRedefine/>
    <w:rsid w:val="00250204"/>
    <w:pPr>
      <w:tabs>
        <w:tab w:val="left" w:pos="550"/>
      </w:tabs>
      <w:spacing w:before="120" w:line="276" w:lineRule="auto"/>
    </w:pPr>
    <w:rPr>
      <w:rFonts w:ascii="Times New Roman" w:hAnsi="Times New Roman"/>
      <w:noProof/>
      <w:lang w:val="hr-HR" w:eastAsia="de-DE"/>
    </w:rPr>
  </w:style>
  <w:style w:type="paragraph" w:styleId="ListParagraph">
    <w:name w:val="List Paragraph"/>
    <w:basedOn w:val="Normal"/>
    <w:link w:val="ListParagraphChar"/>
    <w:uiPriority w:val="34"/>
    <w:qFormat/>
    <w:rsid w:val="006F7F7B"/>
    <w:pPr>
      <w:ind w:left="720"/>
      <w:contextualSpacing/>
    </w:pPr>
  </w:style>
  <w:style w:type="character" w:customStyle="1" w:styleId="Heading3Char">
    <w:name w:val="Heading 3 Char"/>
    <w:basedOn w:val="DefaultParagraphFont"/>
    <w:link w:val="Heading3"/>
    <w:rsid w:val="00A22A38"/>
    <w:rPr>
      <w:rFonts w:asciiTheme="majorHAnsi" w:eastAsiaTheme="majorEastAsia" w:hAnsiTheme="majorHAnsi" w:cstheme="majorBidi"/>
      <w:color w:val="1F4D78" w:themeColor="accent1" w:themeShade="7F"/>
      <w:sz w:val="24"/>
      <w:szCs w:val="24"/>
      <w:lang w:val="en-GB"/>
    </w:rPr>
  </w:style>
  <w:style w:type="character" w:customStyle="1" w:styleId="Heading5Char">
    <w:name w:val="Heading 5 Char"/>
    <w:basedOn w:val="DefaultParagraphFont"/>
    <w:link w:val="Heading5"/>
    <w:uiPriority w:val="9"/>
    <w:semiHidden/>
    <w:rsid w:val="00A22A38"/>
    <w:rPr>
      <w:rFonts w:asciiTheme="majorHAnsi" w:eastAsiaTheme="majorEastAsia" w:hAnsiTheme="majorHAnsi" w:cstheme="majorBidi"/>
      <w:color w:val="2E74B5" w:themeColor="accent1" w:themeShade="BF"/>
      <w:lang w:val="en-GB"/>
    </w:rPr>
  </w:style>
  <w:style w:type="paragraph" w:styleId="NormalWeb">
    <w:name w:val="Normal (Web)"/>
    <w:basedOn w:val="Normal"/>
    <w:unhideWhenUsed/>
    <w:rsid w:val="00B546B6"/>
    <w:pPr>
      <w:spacing w:before="100" w:beforeAutospacing="1" w:after="100" w:afterAutospacing="1"/>
      <w:jc w:val="left"/>
    </w:pPr>
    <w:rPr>
      <w:rFonts w:ascii="Times New Roman" w:hAnsi="Times New Roman"/>
      <w:sz w:val="24"/>
      <w:szCs w:val="24"/>
      <w:lang w:val="en-US"/>
    </w:rPr>
  </w:style>
  <w:style w:type="character" w:customStyle="1" w:styleId="Heading2Char">
    <w:name w:val="Heading 2 Char"/>
    <w:basedOn w:val="DefaultParagraphFont"/>
    <w:link w:val="Heading2"/>
    <w:rsid w:val="00373300"/>
    <w:rPr>
      <w:rFonts w:asciiTheme="majorHAnsi" w:eastAsiaTheme="majorEastAsia" w:hAnsiTheme="majorHAnsi" w:cstheme="majorBidi"/>
      <w:color w:val="2E74B5" w:themeColor="accent1" w:themeShade="BF"/>
      <w:sz w:val="26"/>
      <w:szCs w:val="26"/>
      <w:lang w:val="en-GB"/>
    </w:rPr>
  </w:style>
  <w:style w:type="paragraph" w:styleId="CommentText">
    <w:name w:val="annotation text"/>
    <w:basedOn w:val="Normal"/>
    <w:link w:val="CommentTextChar"/>
    <w:semiHidden/>
    <w:unhideWhenUsed/>
    <w:rsid w:val="00373300"/>
    <w:pPr>
      <w:jc w:val="left"/>
    </w:pPr>
    <w:rPr>
      <w:rFonts w:ascii="Times New Roman" w:hAnsi="Times New Roman"/>
      <w:noProof/>
      <w:sz w:val="20"/>
      <w:szCs w:val="20"/>
      <w:lang w:val="hr-HR"/>
    </w:rPr>
  </w:style>
  <w:style w:type="character" w:customStyle="1" w:styleId="CommentTextChar">
    <w:name w:val="Comment Text Char"/>
    <w:basedOn w:val="DefaultParagraphFont"/>
    <w:link w:val="CommentText"/>
    <w:semiHidden/>
    <w:rsid w:val="00373300"/>
    <w:rPr>
      <w:rFonts w:ascii="Times New Roman" w:eastAsia="Times New Roman" w:hAnsi="Times New Roman" w:cs="Times New Roman"/>
      <w:noProof/>
      <w:sz w:val="20"/>
      <w:szCs w:val="20"/>
      <w:lang w:val="hr-HR"/>
    </w:rPr>
  </w:style>
  <w:style w:type="paragraph" w:styleId="Header">
    <w:name w:val="header"/>
    <w:basedOn w:val="Normal"/>
    <w:link w:val="HeaderChar"/>
    <w:unhideWhenUsed/>
    <w:rsid w:val="00373300"/>
    <w:pPr>
      <w:tabs>
        <w:tab w:val="center" w:pos="4320"/>
        <w:tab w:val="right" w:pos="8640"/>
      </w:tabs>
      <w:jc w:val="left"/>
    </w:pPr>
    <w:rPr>
      <w:rFonts w:ascii="Times New Roman" w:hAnsi="Times New Roman"/>
      <w:noProof/>
      <w:sz w:val="20"/>
      <w:szCs w:val="20"/>
      <w:lang w:val="hr-HR"/>
    </w:rPr>
  </w:style>
  <w:style w:type="character" w:customStyle="1" w:styleId="HeaderChar">
    <w:name w:val="Header Char"/>
    <w:basedOn w:val="DefaultParagraphFont"/>
    <w:link w:val="Header"/>
    <w:uiPriority w:val="99"/>
    <w:semiHidden/>
    <w:rsid w:val="00373300"/>
    <w:rPr>
      <w:rFonts w:ascii="Times New Roman" w:eastAsia="Times New Roman" w:hAnsi="Times New Roman" w:cs="Times New Roman"/>
      <w:noProof/>
      <w:sz w:val="20"/>
      <w:szCs w:val="20"/>
      <w:lang w:val="hr-HR"/>
    </w:rPr>
  </w:style>
  <w:style w:type="paragraph" w:styleId="Caption">
    <w:name w:val="caption"/>
    <w:basedOn w:val="Normal"/>
    <w:next w:val="Normal"/>
    <w:unhideWhenUsed/>
    <w:qFormat/>
    <w:rsid w:val="00373300"/>
    <w:rPr>
      <w:rFonts w:ascii="Arial" w:hAnsi="Arial" w:cs="Arial"/>
      <w:b/>
      <w:bCs/>
      <w:noProof/>
      <w:sz w:val="24"/>
      <w:szCs w:val="20"/>
      <w:lang w:val="hr-HR"/>
    </w:rPr>
  </w:style>
  <w:style w:type="character" w:customStyle="1" w:styleId="BodyTextIndent2Char">
    <w:name w:val="Body Text Indent 2 Char"/>
    <w:aliases w:val="uvlaka 2 Char"/>
    <w:basedOn w:val="DefaultParagraphFont"/>
    <w:link w:val="BodyTextIndent2"/>
    <w:semiHidden/>
    <w:locked/>
    <w:rsid w:val="00373300"/>
    <w:rPr>
      <w:rFonts w:ascii="Times New Roman" w:eastAsia="Times New Roman" w:hAnsi="Times New Roman" w:cs="Times New Roman"/>
      <w:noProof/>
      <w:sz w:val="24"/>
      <w:lang w:val="hr-HR"/>
    </w:rPr>
  </w:style>
  <w:style w:type="paragraph" w:styleId="BodyTextIndent2">
    <w:name w:val="Body Text Indent 2"/>
    <w:aliases w:val="uvlaka 2"/>
    <w:basedOn w:val="Normal"/>
    <w:link w:val="BodyTextIndent2Char"/>
    <w:unhideWhenUsed/>
    <w:rsid w:val="00373300"/>
    <w:pPr>
      <w:ind w:firstLine="993"/>
    </w:pPr>
    <w:rPr>
      <w:rFonts w:ascii="Times New Roman" w:hAnsi="Times New Roman"/>
      <w:noProof/>
      <w:sz w:val="24"/>
      <w:lang w:val="hr-HR"/>
    </w:rPr>
  </w:style>
  <w:style w:type="character" w:customStyle="1" w:styleId="BodyTextIndent2Char1">
    <w:name w:val="Body Text Indent 2 Char1"/>
    <w:basedOn w:val="DefaultParagraphFont"/>
    <w:uiPriority w:val="99"/>
    <w:semiHidden/>
    <w:rsid w:val="00373300"/>
    <w:rPr>
      <w:rFonts w:ascii="Calibri" w:eastAsia="Times New Roman" w:hAnsi="Calibri" w:cs="Times New Roman"/>
      <w:lang w:val="en-GB"/>
    </w:rPr>
  </w:style>
  <w:style w:type="paragraph" w:customStyle="1" w:styleId="Tekst0">
    <w:name w:val="Tekst"/>
    <w:basedOn w:val="NormalWeb"/>
    <w:rsid w:val="00373300"/>
    <w:pPr>
      <w:spacing w:before="120" w:beforeAutospacing="0" w:after="0" w:afterAutospacing="0"/>
      <w:jc w:val="both"/>
    </w:pPr>
    <w:rPr>
      <w:noProof/>
      <w:lang w:val="sl-SI"/>
    </w:rPr>
  </w:style>
  <w:style w:type="paragraph" w:customStyle="1" w:styleId="nabrajanjecrta">
    <w:name w:val="nabrajanje crta"/>
    <w:basedOn w:val="NormalWeb"/>
    <w:semiHidden/>
    <w:rsid w:val="00373300"/>
    <w:pPr>
      <w:numPr>
        <w:numId w:val="4"/>
      </w:numPr>
      <w:spacing w:before="120" w:beforeAutospacing="0" w:after="0" w:afterAutospacing="0"/>
      <w:ind w:left="714" w:hanging="357"/>
      <w:jc w:val="both"/>
    </w:pPr>
    <w:rPr>
      <w:noProof/>
      <w:color w:val="0A153E"/>
      <w:lang w:val="sl-SI"/>
    </w:rPr>
  </w:style>
  <w:style w:type="character" w:customStyle="1" w:styleId="hps">
    <w:name w:val="hps"/>
    <w:basedOn w:val="DefaultParagraphFont"/>
    <w:rsid w:val="00373300"/>
  </w:style>
  <w:style w:type="paragraph" w:styleId="BalloonText">
    <w:name w:val="Balloon Text"/>
    <w:basedOn w:val="Normal"/>
    <w:link w:val="BalloonTextChar"/>
    <w:uiPriority w:val="99"/>
    <w:semiHidden/>
    <w:unhideWhenUsed/>
    <w:rsid w:val="00DB1B7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B1B71"/>
    <w:rPr>
      <w:rFonts w:ascii="Segoe UI" w:eastAsia="Times New Roman" w:hAnsi="Segoe UI" w:cs="Segoe UI"/>
      <w:sz w:val="18"/>
      <w:szCs w:val="18"/>
      <w:lang w:val="en-GB"/>
    </w:rPr>
  </w:style>
  <w:style w:type="character" w:customStyle="1" w:styleId="Heading4Char">
    <w:name w:val="Heading 4 Char"/>
    <w:basedOn w:val="DefaultParagraphFont"/>
    <w:link w:val="Heading4"/>
    <w:uiPriority w:val="9"/>
    <w:semiHidden/>
    <w:rsid w:val="00DB1B71"/>
    <w:rPr>
      <w:rFonts w:asciiTheme="majorHAnsi" w:eastAsiaTheme="majorEastAsia" w:hAnsiTheme="majorHAnsi" w:cstheme="majorBidi"/>
      <w:i/>
      <w:iCs/>
      <w:color w:val="2E74B5" w:themeColor="accent1" w:themeShade="BF"/>
      <w:lang w:val="en-GB"/>
    </w:rPr>
  </w:style>
  <w:style w:type="paragraph" w:customStyle="1" w:styleId="grafikon">
    <w:name w:val="grafikon"/>
    <w:basedOn w:val="Normal"/>
    <w:autoRedefine/>
    <w:rsid w:val="003066C2"/>
    <w:pPr>
      <w:spacing w:before="240" w:line="276" w:lineRule="auto"/>
      <w:ind w:right="-40"/>
      <w:jc w:val="left"/>
    </w:pPr>
    <w:rPr>
      <w:rFonts w:ascii="Times New Roman" w:hAnsi="Times New Roman"/>
      <w:iCs/>
      <w:noProof/>
      <w:sz w:val="20"/>
      <w:szCs w:val="20"/>
      <w:lang w:val="bs-Latn-BA" w:eastAsia="bs-Latn-BA"/>
    </w:rPr>
  </w:style>
  <w:style w:type="paragraph" w:customStyle="1" w:styleId="Tabele">
    <w:name w:val="Tabele"/>
    <w:basedOn w:val="Normal"/>
    <w:autoRedefine/>
    <w:rsid w:val="00DB1B71"/>
    <w:pPr>
      <w:spacing w:before="240" w:after="120"/>
      <w:jc w:val="left"/>
    </w:pPr>
    <w:rPr>
      <w:rFonts w:cs="Arial"/>
      <w:bCs/>
      <w:i/>
      <w:szCs w:val="20"/>
      <w:lang w:val="hr-HR"/>
    </w:rPr>
  </w:style>
  <w:style w:type="paragraph" w:styleId="BodyText">
    <w:name w:val="Body Text"/>
    <w:basedOn w:val="Normal"/>
    <w:link w:val="BodyTextChar"/>
    <w:unhideWhenUsed/>
    <w:rsid w:val="008E25EB"/>
    <w:pPr>
      <w:spacing w:after="120"/>
    </w:pPr>
  </w:style>
  <w:style w:type="character" w:customStyle="1" w:styleId="BodyTextChar">
    <w:name w:val="Body Text Char"/>
    <w:basedOn w:val="DefaultParagraphFont"/>
    <w:link w:val="BodyText"/>
    <w:uiPriority w:val="99"/>
    <w:semiHidden/>
    <w:rsid w:val="008E25EB"/>
    <w:rPr>
      <w:rFonts w:ascii="Calibri" w:eastAsia="Times New Roman" w:hAnsi="Calibri" w:cs="Times New Roman"/>
      <w:lang w:val="en-GB"/>
    </w:rPr>
  </w:style>
  <w:style w:type="character" w:styleId="Emphasis">
    <w:name w:val="Emphasis"/>
    <w:basedOn w:val="DefaultParagraphFont"/>
    <w:qFormat/>
    <w:rsid w:val="007C4AA9"/>
    <w:rPr>
      <w:i/>
      <w:iCs/>
    </w:rPr>
  </w:style>
  <w:style w:type="character" w:customStyle="1" w:styleId="longtext">
    <w:name w:val="long_text"/>
    <w:rsid w:val="007C4AA9"/>
  </w:style>
  <w:style w:type="table" w:styleId="TableGrid">
    <w:name w:val="Table Grid"/>
    <w:basedOn w:val="TableNormal"/>
    <w:rsid w:val="007C4AA9"/>
    <w:pPr>
      <w:spacing w:after="200" w:line="276" w:lineRule="auto"/>
    </w:pPr>
    <w:rPr>
      <w:rFonts w:ascii="Times New Roman" w:eastAsia="Times New Roman" w:hAnsi="Times New Roman" w:cs="Times New Roman"/>
      <w:sz w:val="20"/>
      <w:szCs w:val="20"/>
      <w:lang w:eastAsia="bs-Latn-B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6973FE"/>
    <w:pPr>
      <w:autoSpaceDE w:val="0"/>
      <w:autoSpaceDN w:val="0"/>
      <w:adjustRightInd w:val="0"/>
      <w:spacing w:after="0" w:line="240" w:lineRule="auto"/>
    </w:pPr>
    <w:rPr>
      <w:rFonts w:ascii="Calibri" w:hAnsi="Calibri" w:cs="Calibri"/>
      <w:color w:val="000000"/>
      <w:sz w:val="24"/>
      <w:szCs w:val="24"/>
    </w:rPr>
  </w:style>
  <w:style w:type="character" w:customStyle="1" w:styleId="ListParagraphChar">
    <w:name w:val="List Paragraph Char"/>
    <w:link w:val="ListParagraph"/>
    <w:uiPriority w:val="34"/>
    <w:locked/>
    <w:rsid w:val="00B6001F"/>
    <w:rPr>
      <w:rFonts w:ascii="Calibri" w:eastAsia="Times New Roman" w:hAnsi="Calibri" w:cs="Times New Roman"/>
      <w:lang w:val="en-GB"/>
    </w:rPr>
  </w:style>
  <w:style w:type="character" w:customStyle="1" w:styleId="mtext">
    <w:name w:val="mtext"/>
    <w:basedOn w:val="DefaultParagraphFont"/>
    <w:rsid w:val="00B6001F"/>
    <w:rPr>
      <w:rFonts w:cs="Times New Roman"/>
    </w:rPr>
  </w:style>
  <w:style w:type="paragraph" w:customStyle="1" w:styleId="tabele0">
    <w:name w:val="tabele"/>
    <w:basedOn w:val="Normal"/>
    <w:rsid w:val="00B6001F"/>
    <w:pPr>
      <w:ind w:left="1134" w:hanging="1134"/>
      <w:jc w:val="left"/>
    </w:pPr>
    <w:rPr>
      <w:rFonts w:ascii="Times New Roman" w:eastAsia="Calibri" w:hAnsi="Times New Roman"/>
      <w:i/>
      <w:iCs/>
      <w:lang w:val="en-US" w:eastAsia="hr-HR"/>
    </w:rPr>
  </w:style>
  <w:style w:type="character" w:customStyle="1" w:styleId="Heading9Char">
    <w:name w:val="Heading 9 Char"/>
    <w:basedOn w:val="DefaultParagraphFont"/>
    <w:link w:val="Heading9"/>
    <w:uiPriority w:val="9"/>
    <w:semiHidden/>
    <w:rsid w:val="0092435E"/>
    <w:rPr>
      <w:rFonts w:asciiTheme="majorHAnsi" w:eastAsiaTheme="majorEastAsia" w:hAnsiTheme="majorHAnsi" w:cstheme="majorBidi"/>
      <w:i/>
      <w:iCs/>
      <w:color w:val="272727" w:themeColor="text1" w:themeTint="D8"/>
      <w:sz w:val="21"/>
      <w:szCs w:val="21"/>
      <w:lang w:val="en-GB"/>
    </w:rPr>
  </w:style>
  <w:style w:type="table" w:styleId="LightList-Accent5">
    <w:name w:val="Light List Accent 5"/>
    <w:basedOn w:val="TableNormal"/>
    <w:uiPriority w:val="61"/>
    <w:rsid w:val="0092435E"/>
    <w:pPr>
      <w:spacing w:after="0" w:line="240" w:lineRule="auto"/>
    </w:pPr>
    <w:rPr>
      <w:lang w:val="en-US"/>
    </w:rPr>
    <w:tblPr>
      <w:tblStyleRowBandSize w:val="1"/>
      <w:tblStyleColBandSize w:val="1"/>
      <w:tblInd w:w="0" w:type="dxa"/>
      <w:tblBorders>
        <w:top w:val="single" w:sz="8" w:space="0" w:color="4472C4" w:themeColor="accent5"/>
        <w:left w:val="single" w:sz="8" w:space="0" w:color="4472C4" w:themeColor="accent5"/>
        <w:bottom w:val="single" w:sz="8" w:space="0" w:color="4472C4" w:themeColor="accent5"/>
        <w:right w:val="single" w:sz="8" w:space="0" w:color="4472C4"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character" w:customStyle="1" w:styleId="TEKSTChar">
    <w:name w:val="TEKST Char"/>
    <w:link w:val="TEKST"/>
    <w:rsid w:val="00250204"/>
    <w:rPr>
      <w:rFonts w:ascii="Times New Roman" w:eastAsia="Times New Roman" w:hAnsi="Times New Roman" w:cs="Times New Roman"/>
      <w:noProof/>
      <w:lang w:val="hr-HR" w:eastAsia="de-DE"/>
    </w:rPr>
  </w:style>
  <w:style w:type="paragraph" w:styleId="EndnoteText">
    <w:name w:val="endnote text"/>
    <w:basedOn w:val="Normal"/>
    <w:link w:val="EndnoteTextChar"/>
    <w:uiPriority w:val="99"/>
    <w:unhideWhenUsed/>
    <w:rsid w:val="0092435E"/>
    <w:pPr>
      <w:jc w:val="left"/>
    </w:pPr>
    <w:rPr>
      <w:rFonts w:ascii="Times New Roman" w:hAnsi="Times New Roman"/>
      <w:sz w:val="20"/>
      <w:szCs w:val="20"/>
      <w:lang w:val="en-US" w:eastAsia="hr-HR"/>
    </w:rPr>
  </w:style>
  <w:style w:type="character" w:customStyle="1" w:styleId="EndnoteTextChar">
    <w:name w:val="Endnote Text Char"/>
    <w:basedOn w:val="DefaultParagraphFont"/>
    <w:link w:val="EndnoteText"/>
    <w:uiPriority w:val="99"/>
    <w:rsid w:val="0092435E"/>
    <w:rPr>
      <w:rFonts w:ascii="Times New Roman" w:eastAsia="Times New Roman" w:hAnsi="Times New Roman" w:cs="Times New Roman"/>
      <w:sz w:val="20"/>
      <w:szCs w:val="20"/>
      <w:lang w:val="en-US" w:eastAsia="hr-HR"/>
    </w:rPr>
  </w:style>
  <w:style w:type="paragraph" w:styleId="FootnoteText">
    <w:name w:val="footnote text"/>
    <w:basedOn w:val="Normal"/>
    <w:link w:val="FootnoteTextChar"/>
    <w:semiHidden/>
    <w:rsid w:val="0092435E"/>
    <w:pPr>
      <w:jc w:val="left"/>
    </w:pPr>
    <w:rPr>
      <w:rFonts w:ascii="4D Times Roman" w:hAnsi="4D Times Roman"/>
      <w:sz w:val="20"/>
      <w:szCs w:val="20"/>
      <w:lang w:eastAsia="hr-HR"/>
    </w:rPr>
  </w:style>
  <w:style w:type="character" w:customStyle="1" w:styleId="FootnoteTextChar">
    <w:name w:val="Footnote Text Char"/>
    <w:basedOn w:val="DefaultParagraphFont"/>
    <w:link w:val="FootnoteText"/>
    <w:semiHidden/>
    <w:rsid w:val="0092435E"/>
    <w:rPr>
      <w:rFonts w:ascii="4D Times Roman" w:eastAsia="Times New Roman" w:hAnsi="4D Times Roman" w:cs="Times New Roman"/>
      <w:sz w:val="20"/>
      <w:szCs w:val="20"/>
      <w:lang w:val="en-GB" w:eastAsia="hr-HR"/>
    </w:rPr>
  </w:style>
  <w:style w:type="character" w:styleId="FootnoteReference">
    <w:name w:val="footnote reference"/>
    <w:basedOn w:val="DefaultParagraphFont"/>
    <w:semiHidden/>
    <w:rsid w:val="0092435E"/>
    <w:rPr>
      <w:vertAlign w:val="superscript"/>
    </w:rPr>
  </w:style>
  <w:style w:type="paragraph" w:customStyle="1" w:styleId="Grafikoni">
    <w:name w:val="Grafikoni"/>
    <w:basedOn w:val="Normal"/>
    <w:autoRedefine/>
    <w:rsid w:val="004B747B"/>
    <w:pPr>
      <w:keepNext/>
      <w:widowControl w:val="0"/>
      <w:spacing w:before="240" w:after="120"/>
      <w:jc w:val="left"/>
    </w:pPr>
    <w:rPr>
      <w:rFonts w:ascii="Times New Roman" w:hAnsi="Times New Roman"/>
      <w:bCs/>
      <w:i/>
      <w:lang w:val="hr-HR" w:eastAsia="bs-Latn-BA"/>
    </w:rPr>
  </w:style>
  <w:style w:type="table" w:styleId="MediumGrid3-Accent1">
    <w:name w:val="Medium Grid 3 Accent 1"/>
    <w:basedOn w:val="TableNormal"/>
    <w:uiPriority w:val="69"/>
    <w:rsid w:val="0092435E"/>
    <w:pPr>
      <w:spacing w:after="0" w:line="240" w:lineRule="auto"/>
    </w:pPr>
    <w:rPr>
      <w:lang w:val="en-US"/>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6E6F4"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5B9BD5"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5B9BD5"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DCCEA"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DCCEA" w:themeFill="accent1" w:themeFillTint="7F"/>
      </w:tcPr>
    </w:tblStylePr>
  </w:style>
  <w:style w:type="paragraph" w:styleId="NoSpacing">
    <w:name w:val="No Spacing"/>
    <w:link w:val="NoSpacingChar"/>
    <w:uiPriority w:val="1"/>
    <w:qFormat/>
    <w:rsid w:val="0030413C"/>
    <w:pPr>
      <w:spacing w:after="0" w:line="240" w:lineRule="auto"/>
    </w:pPr>
    <w:rPr>
      <w:rFonts w:ascii="Times New Roman" w:eastAsia="Times New Roman" w:hAnsi="Times New Roman" w:cs="Times New Roman"/>
      <w:sz w:val="24"/>
      <w:szCs w:val="24"/>
      <w:lang w:val="en-GB"/>
    </w:rPr>
  </w:style>
  <w:style w:type="character" w:customStyle="1" w:styleId="NoSpacingChar">
    <w:name w:val="No Spacing Char"/>
    <w:link w:val="NoSpacing"/>
    <w:uiPriority w:val="1"/>
    <w:rsid w:val="0030413C"/>
    <w:rPr>
      <w:rFonts w:ascii="Times New Roman" w:eastAsia="Times New Roman" w:hAnsi="Times New Roman" w:cs="Times New Roman"/>
      <w:sz w:val="24"/>
      <w:szCs w:val="24"/>
      <w:lang w:val="en-GB"/>
    </w:rPr>
  </w:style>
  <w:style w:type="paragraph" w:customStyle="1" w:styleId="TekstCharChar1">
    <w:name w:val="Tekst Char Char1"/>
    <w:basedOn w:val="Normal"/>
    <w:link w:val="TekstCharChar1Char"/>
    <w:rsid w:val="0030413C"/>
    <w:pPr>
      <w:spacing w:before="120"/>
    </w:pPr>
    <w:rPr>
      <w:szCs w:val="24"/>
      <w:lang w:val="hr-HR"/>
    </w:rPr>
  </w:style>
  <w:style w:type="character" w:customStyle="1" w:styleId="TekstCharChar1Char">
    <w:name w:val="Tekst Char Char1 Char"/>
    <w:basedOn w:val="DefaultParagraphFont"/>
    <w:link w:val="TekstCharChar1"/>
    <w:locked/>
    <w:rsid w:val="0030413C"/>
    <w:rPr>
      <w:rFonts w:ascii="Calibri" w:eastAsia="Times New Roman" w:hAnsi="Calibri" w:cs="Times New Roman"/>
      <w:szCs w:val="24"/>
      <w:lang w:val="hr-HR"/>
    </w:rPr>
  </w:style>
  <w:style w:type="paragraph" w:styleId="Footer">
    <w:name w:val="footer"/>
    <w:basedOn w:val="Normal"/>
    <w:link w:val="FooterChar"/>
    <w:uiPriority w:val="99"/>
    <w:unhideWhenUsed/>
    <w:rsid w:val="0030413C"/>
    <w:pPr>
      <w:tabs>
        <w:tab w:val="center" w:pos="4680"/>
        <w:tab w:val="right" w:pos="9360"/>
      </w:tabs>
    </w:pPr>
  </w:style>
  <w:style w:type="character" w:customStyle="1" w:styleId="FooterChar">
    <w:name w:val="Footer Char"/>
    <w:basedOn w:val="DefaultParagraphFont"/>
    <w:link w:val="Footer"/>
    <w:uiPriority w:val="99"/>
    <w:rsid w:val="0030413C"/>
    <w:rPr>
      <w:rFonts w:ascii="Calibri" w:eastAsia="Times New Roman" w:hAnsi="Calibri" w:cs="Times New Roman"/>
      <w:lang w:val="en-GB"/>
    </w:rPr>
  </w:style>
  <w:style w:type="character" w:customStyle="1" w:styleId="Heading6Char">
    <w:name w:val="Heading 6 Char"/>
    <w:basedOn w:val="DefaultParagraphFont"/>
    <w:link w:val="Heading6"/>
    <w:rsid w:val="0030413C"/>
    <w:rPr>
      <w:rFonts w:ascii="Times New Roman" w:eastAsia="Times New Roman" w:hAnsi="Times New Roman" w:cs="Times New Roman"/>
      <w:b/>
      <w:bCs/>
      <w:lang w:val="en-GB"/>
    </w:rPr>
  </w:style>
  <w:style w:type="character" w:customStyle="1" w:styleId="Heading7Char">
    <w:name w:val="Heading 7 Char"/>
    <w:basedOn w:val="DefaultParagraphFont"/>
    <w:link w:val="Heading7"/>
    <w:rsid w:val="0030413C"/>
    <w:rPr>
      <w:rFonts w:ascii="Times New Roman" w:eastAsia="Times New Roman" w:hAnsi="Times New Roman" w:cs="Times New Roman"/>
      <w:sz w:val="24"/>
      <w:szCs w:val="24"/>
      <w:lang w:val="en-GB"/>
    </w:rPr>
  </w:style>
  <w:style w:type="character" w:customStyle="1" w:styleId="Heading8Char">
    <w:name w:val="Heading 8 Char"/>
    <w:basedOn w:val="DefaultParagraphFont"/>
    <w:link w:val="Heading8"/>
    <w:rsid w:val="0030413C"/>
    <w:rPr>
      <w:rFonts w:ascii="Times New Roman" w:eastAsia="Times New Roman" w:hAnsi="Times New Roman" w:cs="Times New Roman"/>
      <w:i/>
      <w:sz w:val="24"/>
      <w:szCs w:val="20"/>
      <w:lang w:val="en-GB"/>
    </w:rPr>
  </w:style>
  <w:style w:type="character" w:customStyle="1" w:styleId="Heading2CharCharChar">
    <w:name w:val="Heading 2 Char Char Char"/>
    <w:rsid w:val="0030413C"/>
    <w:rPr>
      <w:bCs/>
      <w:iCs/>
      <w:sz w:val="22"/>
      <w:szCs w:val="22"/>
      <w:lang w:val="bs-Latn-BA" w:eastAsia="en-US" w:bidi="ar-SA"/>
    </w:rPr>
  </w:style>
  <w:style w:type="paragraph" w:styleId="BodyText2">
    <w:name w:val="Body Text 2"/>
    <w:basedOn w:val="Normal"/>
    <w:link w:val="BodyText2Char"/>
    <w:rsid w:val="0030413C"/>
    <w:pPr>
      <w:spacing w:after="120" w:line="480" w:lineRule="auto"/>
    </w:pPr>
    <w:rPr>
      <w:rFonts w:ascii="Times New Roman" w:hAnsi="Times New Roman"/>
    </w:rPr>
  </w:style>
  <w:style w:type="character" w:customStyle="1" w:styleId="BodyText2Char">
    <w:name w:val="Body Text 2 Char"/>
    <w:basedOn w:val="DefaultParagraphFont"/>
    <w:link w:val="BodyText2"/>
    <w:rsid w:val="0030413C"/>
    <w:rPr>
      <w:rFonts w:ascii="Times New Roman" w:eastAsia="Times New Roman" w:hAnsi="Times New Roman" w:cs="Times New Roman"/>
      <w:lang w:val="en-GB"/>
    </w:rPr>
  </w:style>
  <w:style w:type="paragraph" w:customStyle="1" w:styleId="tekstCharCharChar">
    <w:name w:val="tekst Char Char Char"/>
    <w:basedOn w:val="Normal"/>
    <w:rsid w:val="0030413C"/>
    <w:pPr>
      <w:spacing w:before="120"/>
      <w:ind w:firstLine="720"/>
    </w:pPr>
    <w:rPr>
      <w:rFonts w:ascii="Times New Roman" w:hAnsi="Times New Roman"/>
      <w:sz w:val="24"/>
      <w:szCs w:val="24"/>
      <w:lang w:val="hr-HR"/>
    </w:rPr>
  </w:style>
  <w:style w:type="character" w:customStyle="1" w:styleId="tekstCharCharCharChar">
    <w:name w:val="tekst Char Char Char Char"/>
    <w:rsid w:val="0030413C"/>
    <w:rPr>
      <w:sz w:val="24"/>
      <w:szCs w:val="24"/>
      <w:lang w:val="hr-HR" w:eastAsia="en-US" w:bidi="ar-SA"/>
    </w:rPr>
  </w:style>
  <w:style w:type="paragraph" w:styleId="BodyTextIndent">
    <w:name w:val="Body Text Indent"/>
    <w:basedOn w:val="Normal"/>
    <w:link w:val="BodyTextIndentChar"/>
    <w:rsid w:val="0030413C"/>
    <w:pPr>
      <w:spacing w:after="120"/>
      <w:ind w:left="283"/>
    </w:pPr>
    <w:rPr>
      <w:rFonts w:ascii="Times New Roman" w:hAnsi="Times New Roman"/>
    </w:rPr>
  </w:style>
  <w:style w:type="character" w:customStyle="1" w:styleId="BodyTextIndentChar">
    <w:name w:val="Body Text Indent Char"/>
    <w:basedOn w:val="DefaultParagraphFont"/>
    <w:link w:val="BodyTextIndent"/>
    <w:rsid w:val="0030413C"/>
    <w:rPr>
      <w:rFonts w:ascii="Times New Roman" w:eastAsia="Times New Roman" w:hAnsi="Times New Roman" w:cs="Times New Roman"/>
      <w:lang w:val="en-GB"/>
    </w:rPr>
  </w:style>
  <w:style w:type="paragraph" w:styleId="BodyText3">
    <w:name w:val="Body Text 3"/>
    <w:basedOn w:val="Normal"/>
    <w:link w:val="BodyText3Char"/>
    <w:rsid w:val="0030413C"/>
    <w:pPr>
      <w:spacing w:line="360" w:lineRule="auto"/>
    </w:pPr>
    <w:rPr>
      <w:rFonts w:ascii="Arial Narrow" w:hAnsi="Arial Narrow"/>
      <w:szCs w:val="20"/>
      <w:lang w:val="en-US"/>
    </w:rPr>
  </w:style>
  <w:style w:type="character" w:customStyle="1" w:styleId="BodyText3Char">
    <w:name w:val="Body Text 3 Char"/>
    <w:basedOn w:val="DefaultParagraphFont"/>
    <w:link w:val="BodyText3"/>
    <w:rsid w:val="0030413C"/>
    <w:rPr>
      <w:rFonts w:ascii="Arial Narrow" w:eastAsia="Times New Roman" w:hAnsi="Arial Narrow" w:cs="Times New Roman"/>
      <w:szCs w:val="20"/>
      <w:lang w:val="en-US"/>
    </w:rPr>
  </w:style>
  <w:style w:type="paragraph" w:customStyle="1" w:styleId="BodyTextuvlaka3">
    <w:name w:val="Body Text.uvlaka 3"/>
    <w:basedOn w:val="Normal"/>
    <w:rsid w:val="0030413C"/>
    <w:rPr>
      <w:rFonts w:ascii="Arial" w:hAnsi="Arial"/>
      <w:sz w:val="24"/>
      <w:szCs w:val="20"/>
      <w:lang w:val="en-US"/>
    </w:rPr>
  </w:style>
  <w:style w:type="paragraph" w:styleId="Salutation">
    <w:name w:val="Salutation"/>
    <w:basedOn w:val="Normal"/>
    <w:next w:val="Normal"/>
    <w:link w:val="SalutationChar"/>
    <w:rsid w:val="0030413C"/>
    <w:pPr>
      <w:spacing w:before="220" w:after="220" w:line="220" w:lineRule="atLeast"/>
      <w:jc w:val="left"/>
    </w:pPr>
    <w:rPr>
      <w:rFonts w:ascii="Arial" w:hAnsi="Arial"/>
      <w:spacing w:val="-5"/>
      <w:sz w:val="20"/>
      <w:szCs w:val="20"/>
      <w:lang w:val="en-US"/>
    </w:rPr>
  </w:style>
  <w:style w:type="character" w:customStyle="1" w:styleId="SalutationChar">
    <w:name w:val="Salutation Char"/>
    <w:basedOn w:val="DefaultParagraphFont"/>
    <w:link w:val="Salutation"/>
    <w:rsid w:val="0030413C"/>
    <w:rPr>
      <w:rFonts w:ascii="Arial" w:eastAsia="Times New Roman" w:hAnsi="Arial" w:cs="Times New Roman"/>
      <w:spacing w:val="-5"/>
      <w:sz w:val="20"/>
      <w:szCs w:val="20"/>
      <w:lang w:val="en-US"/>
    </w:rPr>
  </w:style>
  <w:style w:type="paragraph" w:customStyle="1" w:styleId="TekstCharChar">
    <w:name w:val="Tekst Char Char"/>
    <w:basedOn w:val="tekstCharCharChar"/>
    <w:rsid w:val="0030413C"/>
    <w:pPr>
      <w:ind w:firstLine="0"/>
    </w:pPr>
    <w:rPr>
      <w:sz w:val="22"/>
    </w:rPr>
  </w:style>
  <w:style w:type="character" w:customStyle="1" w:styleId="TekstCharCharChar0">
    <w:name w:val="Tekst Char Char Char"/>
    <w:rsid w:val="0030413C"/>
    <w:rPr>
      <w:sz w:val="22"/>
      <w:szCs w:val="24"/>
      <w:lang w:val="hr-HR" w:eastAsia="en-US" w:bidi="ar-SA"/>
    </w:rPr>
  </w:style>
  <w:style w:type="character" w:styleId="PageNumber">
    <w:name w:val="page number"/>
    <w:basedOn w:val="DefaultParagraphFont"/>
    <w:rsid w:val="0030413C"/>
  </w:style>
  <w:style w:type="paragraph" w:styleId="Title">
    <w:name w:val="Title"/>
    <w:basedOn w:val="Normal"/>
    <w:link w:val="TitleChar"/>
    <w:qFormat/>
    <w:rsid w:val="0030413C"/>
    <w:pPr>
      <w:jc w:val="center"/>
    </w:pPr>
    <w:rPr>
      <w:rFonts w:ascii="Times New Roman" w:hAnsi="Times New Roman"/>
      <w:b/>
      <w:bCs/>
      <w:i/>
      <w:iCs/>
      <w:sz w:val="24"/>
      <w:szCs w:val="24"/>
      <w:lang w:val="hr-HR"/>
    </w:rPr>
  </w:style>
  <w:style w:type="character" w:customStyle="1" w:styleId="TitleChar">
    <w:name w:val="Title Char"/>
    <w:basedOn w:val="DefaultParagraphFont"/>
    <w:link w:val="Title"/>
    <w:rsid w:val="0030413C"/>
    <w:rPr>
      <w:rFonts w:ascii="Times New Roman" w:eastAsia="Times New Roman" w:hAnsi="Times New Roman" w:cs="Times New Roman"/>
      <w:b/>
      <w:bCs/>
      <w:i/>
      <w:iCs/>
      <w:sz w:val="24"/>
      <w:szCs w:val="24"/>
      <w:lang w:val="hr-HR"/>
    </w:rPr>
  </w:style>
  <w:style w:type="paragraph" w:styleId="BodyTextIndent3">
    <w:name w:val="Body Text Indent 3"/>
    <w:basedOn w:val="Normal"/>
    <w:link w:val="BodyTextIndent3Char"/>
    <w:rsid w:val="0030413C"/>
    <w:pPr>
      <w:spacing w:after="120"/>
      <w:ind w:left="283"/>
    </w:pPr>
    <w:rPr>
      <w:rFonts w:ascii="Times New Roman" w:hAnsi="Times New Roman"/>
      <w:sz w:val="16"/>
      <w:szCs w:val="16"/>
    </w:rPr>
  </w:style>
  <w:style w:type="character" w:customStyle="1" w:styleId="BodyTextIndent3Char">
    <w:name w:val="Body Text Indent 3 Char"/>
    <w:basedOn w:val="DefaultParagraphFont"/>
    <w:link w:val="BodyTextIndent3"/>
    <w:rsid w:val="0030413C"/>
    <w:rPr>
      <w:rFonts w:ascii="Times New Roman" w:eastAsia="Times New Roman" w:hAnsi="Times New Roman" w:cs="Times New Roman"/>
      <w:sz w:val="16"/>
      <w:szCs w:val="16"/>
      <w:lang w:val="en-GB"/>
    </w:rPr>
  </w:style>
  <w:style w:type="paragraph" w:customStyle="1" w:styleId="tekstChar0">
    <w:name w:val="tekst Char"/>
    <w:basedOn w:val="Normal"/>
    <w:rsid w:val="0030413C"/>
    <w:pPr>
      <w:spacing w:before="120"/>
      <w:ind w:firstLine="720"/>
    </w:pPr>
    <w:rPr>
      <w:rFonts w:ascii="Times New Roman" w:hAnsi="Times New Roman"/>
      <w:sz w:val="24"/>
      <w:szCs w:val="24"/>
      <w:lang w:val="hr-HR"/>
    </w:rPr>
  </w:style>
  <w:style w:type="character" w:customStyle="1" w:styleId="TekstCharCharChar1">
    <w:name w:val="Tekst Char Char Char1"/>
    <w:rsid w:val="0030413C"/>
    <w:rPr>
      <w:sz w:val="22"/>
      <w:szCs w:val="24"/>
      <w:lang w:val="hr-HR" w:eastAsia="en-US" w:bidi="ar-SA"/>
    </w:rPr>
  </w:style>
  <w:style w:type="paragraph" w:customStyle="1" w:styleId="grafikoni0">
    <w:name w:val="grafikoni"/>
    <w:basedOn w:val="Normal"/>
    <w:rsid w:val="0030413C"/>
    <w:pPr>
      <w:jc w:val="right"/>
    </w:pPr>
    <w:rPr>
      <w:rFonts w:ascii="Times New Roman" w:hAnsi="Times New Roman"/>
      <w:i/>
      <w:sz w:val="20"/>
      <w:szCs w:val="20"/>
      <w:lang w:val="hr-HR"/>
    </w:rPr>
  </w:style>
  <w:style w:type="character" w:customStyle="1" w:styleId="grafikoniChar">
    <w:name w:val="grafikoni Char"/>
    <w:rsid w:val="0030413C"/>
    <w:rPr>
      <w:i/>
      <w:lang w:val="hr-HR" w:eastAsia="en-US" w:bidi="ar-SA"/>
    </w:rPr>
  </w:style>
  <w:style w:type="character" w:customStyle="1" w:styleId="tekstCharChar0">
    <w:name w:val="tekst Char Char"/>
    <w:rsid w:val="0030413C"/>
    <w:rPr>
      <w:sz w:val="24"/>
      <w:szCs w:val="24"/>
      <w:lang w:val="hr-HR" w:eastAsia="en-US" w:bidi="ar-SA"/>
    </w:rPr>
  </w:style>
  <w:style w:type="character" w:customStyle="1" w:styleId="TekstCharCharCharChar0">
    <w:name w:val="Tekst Char Char Char Char"/>
    <w:rsid w:val="0030413C"/>
    <w:rPr>
      <w:sz w:val="22"/>
      <w:szCs w:val="24"/>
      <w:lang w:val="hr-HR" w:eastAsia="en-US" w:bidi="ar-SA"/>
    </w:rPr>
  </w:style>
  <w:style w:type="character" w:customStyle="1" w:styleId="grafikoniCharChar">
    <w:name w:val="grafikoni Char Char"/>
    <w:rsid w:val="0030413C"/>
    <w:rPr>
      <w:i/>
      <w:sz w:val="22"/>
      <w:szCs w:val="22"/>
      <w:lang w:val="hr-HR" w:eastAsia="en-US" w:bidi="ar-SA"/>
    </w:rPr>
  </w:style>
  <w:style w:type="paragraph" w:customStyle="1" w:styleId="TekstChar1">
    <w:name w:val="Tekst Char"/>
    <w:basedOn w:val="Normal"/>
    <w:rsid w:val="0030413C"/>
    <w:pPr>
      <w:spacing w:before="120"/>
    </w:pPr>
    <w:rPr>
      <w:rFonts w:ascii="Times New Roman" w:hAnsi="Times New Roman"/>
      <w:szCs w:val="24"/>
      <w:lang w:val="hr-HR"/>
    </w:rPr>
  </w:style>
  <w:style w:type="paragraph" w:styleId="BlockText">
    <w:name w:val="Block Text"/>
    <w:basedOn w:val="Normal"/>
    <w:rsid w:val="0030413C"/>
    <w:pPr>
      <w:widowControl w:val="0"/>
      <w:autoSpaceDE w:val="0"/>
      <w:autoSpaceDN w:val="0"/>
      <w:adjustRightInd w:val="0"/>
      <w:ind w:left="214" w:right="-20"/>
      <w:jc w:val="left"/>
    </w:pPr>
    <w:rPr>
      <w:rFonts w:ascii="Times New Roman" w:hAnsi="Times New Roman"/>
      <w:w w:val="103"/>
      <w:sz w:val="20"/>
      <w:szCs w:val="20"/>
    </w:rPr>
  </w:style>
  <w:style w:type="paragraph" w:customStyle="1" w:styleId="xl29">
    <w:name w:val="xl29"/>
    <w:basedOn w:val="Normal"/>
    <w:rsid w:val="0030413C"/>
    <w:pPr>
      <w:pBdr>
        <w:bottom w:val="single" w:sz="4" w:space="0" w:color="auto"/>
      </w:pBdr>
      <w:spacing w:before="100" w:after="100"/>
      <w:jc w:val="left"/>
    </w:pPr>
    <w:rPr>
      <w:rFonts w:ascii="Arial" w:hAnsi="Arial"/>
      <w:i/>
      <w:sz w:val="17"/>
      <w:szCs w:val="20"/>
      <w:lang w:eastAsia="bs-Latn-BA"/>
    </w:rPr>
  </w:style>
  <w:style w:type="paragraph" w:customStyle="1" w:styleId="Poglavlje2">
    <w:name w:val="Poglavlje 2"/>
    <w:basedOn w:val="Heading2"/>
    <w:link w:val="Poglavlje2Char"/>
    <w:qFormat/>
    <w:rsid w:val="00D1726C"/>
    <w:rPr>
      <w:rFonts w:ascii="Times New Roman" w:hAnsi="Times New Roman"/>
      <w:b/>
      <w:color w:val="auto"/>
      <w:sz w:val="22"/>
    </w:rPr>
  </w:style>
  <w:style w:type="paragraph" w:customStyle="1" w:styleId="Poglavlje1">
    <w:name w:val="Poglavlje 1"/>
    <w:basedOn w:val="Heading1"/>
    <w:link w:val="Poglavlje1Char"/>
    <w:qFormat/>
    <w:rsid w:val="00A131AD"/>
    <w:pPr>
      <w:numPr>
        <w:numId w:val="3"/>
      </w:numPr>
    </w:pPr>
    <w:rPr>
      <w:rFonts w:ascii="Times New Roman" w:hAnsi="Times New Roman"/>
      <w:sz w:val="22"/>
    </w:rPr>
  </w:style>
  <w:style w:type="character" w:customStyle="1" w:styleId="Poglavlje2Char">
    <w:name w:val="Poglavlje 2 Char"/>
    <w:basedOn w:val="Heading2Char"/>
    <w:link w:val="Poglavlje2"/>
    <w:rsid w:val="00D1726C"/>
    <w:rPr>
      <w:rFonts w:ascii="Times New Roman" w:eastAsiaTheme="majorEastAsia" w:hAnsi="Times New Roman" w:cstheme="majorBidi"/>
      <w:b/>
      <w:color w:val="2E74B5" w:themeColor="accent1" w:themeShade="BF"/>
      <w:sz w:val="26"/>
      <w:szCs w:val="26"/>
      <w:lang w:val="en-GB"/>
    </w:rPr>
  </w:style>
  <w:style w:type="paragraph" w:customStyle="1" w:styleId="Poglavlje3">
    <w:name w:val="Poglavlje 3"/>
    <w:basedOn w:val="Heading3"/>
    <w:link w:val="Poglavlje3Char"/>
    <w:qFormat/>
    <w:rsid w:val="000E1376"/>
    <w:rPr>
      <w:rFonts w:ascii="Times New Roman" w:hAnsi="Times New Roman" w:cs="Times New Roman"/>
      <w:b/>
      <w:bCs/>
      <w:i/>
      <w:iCs/>
      <w:color w:val="auto"/>
      <w:sz w:val="22"/>
      <w:szCs w:val="22"/>
    </w:rPr>
  </w:style>
  <w:style w:type="character" w:customStyle="1" w:styleId="Poglavlje1Char">
    <w:name w:val="Poglavlje 1 Char"/>
    <w:basedOn w:val="Heading1Char"/>
    <w:link w:val="Poglavlje1"/>
    <w:rsid w:val="00A131AD"/>
    <w:rPr>
      <w:rFonts w:ascii="Times New Roman" w:eastAsia="Times New Roman" w:hAnsi="Times New Roman" w:cs="Times New Roman"/>
      <w:b/>
      <w:sz w:val="28"/>
      <w:szCs w:val="20"/>
    </w:rPr>
  </w:style>
  <w:style w:type="paragraph" w:customStyle="1" w:styleId="Poglavlje4">
    <w:name w:val="Poglavlje 4"/>
    <w:basedOn w:val="Heading4"/>
    <w:link w:val="Poglavlje4Char"/>
    <w:qFormat/>
    <w:rsid w:val="007B665A"/>
    <w:pPr>
      <w:spacing w:after="160" w:line="259" w:lineRule="auto"/>
    </w:pPr>
    <w:rPr>
      <w:rFonts w:ascii="Times New Roman" w:eastAsiaTheme="minorHAnsi" w:hAnsi="Times New Roman"/>
      <w:b/>
      <w:color w:val="auto"/>
      <w:lang w:val="bs-Latn-BA"/>
    </w:rPr>
  </w:style>
  <w:style w:type="character" w:customStyle="1" w:styleId="Poglavlje3Char">
    <w:name w:val="Poglavlje 3 Char"/>
    <w:basedOn w:val="Heading3Char"/>
    <w:link w:val="Poglavlje3"/>
    <w:rsid w:val="000E1376"/>
    <w:rPr>
      <w:rFonts w:ascii="Times New Roman" w:eastAsiaTheme="majorEastAsia" w:hAnsi="Times New Roman" w:cs="Times New Roman"/>
      <w:b/>
      <w:bCs/>
      <w:i/>
      <w:iCs/>
      <w:color w:val="1F4D78" w:themeColor="accent1" w:themeShade="7F"/>
      <w:sz w:val="24"/>
      <w:szCs w:val="24"/>
      <w:lang w:val="en-GB"/>
    </w:rPr>
  </w:style>
  <w:style w:type="paragraph" w:customStyle="1" w:styleId="Poglavlje5">
    <w:name w:val="Poglavlje 5"/>
    <w:basedOn w:val="Heading5"/>
    <w:link w:val="Poglavlje5Char"/>
    <w:qFormat/>
    <w:rsid w:val="00771DAB"/>
    <w:pPr>
      <w:spacing w:after="160" w:line="259" w:lineRule="auto"/>
    </w:pPr>
    <w:rPr>
      <w:rFonts w:ascii="Times New Roman" w:eastAsiaTheme="minorHAnsi" w:hAnsi="Times New Roman"/>
      <w:b/>
      <w:color w:val="auto"/>
      <w:lang w:val="bs-Latn-BA"/>
    </w:rPr>
  </w:style>
  <w:style w:type="character" w:customStyle="1" w:styleId="Poglavlje4Char">
    <w:name w:val="Poglavlje 4 Char"/>
    <w:basedOn w:val="Heading4Char"/>
    <w:link w:val="Poglavlje4"/>
    <w:rsid w:val="007B665A"/>
    <w:rPr>
      <w:rFonts w:ascii="Times New Roman" w:eastAsiaTheme="majorEastAsia" w:hAnsi="Times New Roman" w:cstheme="majorBidi"/>
      <w:b/>
      <w:i/>
      <w:iCs/>
      <w:color w:val="2E74B5" w:themeColor="accent1" w:themeShade="BF"/>
      <w:lang w:val="en-GB"/>
    </w:rPr>
  </w:style>
  <w:style w:type="paragraph" w:styleId="TOCHeading">
    <w:name w:val="TOC Heading"/>
    <w:basedOn w:val="Heading1"/>
    <w:next w:val="Normal"/>
    <w:uiPriority w:val="39"/>
    <w:unhideWhenUsed/>
    <w:qFormat/>
    <w:rsid w:val="00DE178E"/>
    <w:pPr>
      <w:keepLines/>
      <w:spacing w:before="240" w:after="0" w:line="259" w:lineRule="auto"/>
      <w:outlineLvl w:val="9"/>
    </w:pPr>
    <w:rPr>
      <w:rFonts w:asciiTheme="majorHAnsi" w:eastAsiaTheme="majorEastAsia" w:hAnsiTheme="majorHAnsi" w:cstheme="majorBidi"/>
      <w:b w:val="0"/>
      <w:color w:val="2E74B5" w:themeColor="accent1" w:themeShade="BF"/>
      <w:sz w:val="32"/>
      <w:szCs w:val="32"/>
      <w:lang w:val="en-US"/>
    </w:rPr>
  </w:style>
  <w:style w:type="character" w:customStyle="1" w:styleId="Poglavlje5Char">
    <w:name w:val="Poglavlje 5 Char"/>
    <w:basedOn w:val="Heading5Char"/>
    <w:link w:val="Poglavlje5"/>
    <w:rsid w:val="00771DAB"/>
    <w:rPr>
      <w:rFonts w:ascii="Times New Roman" w:eastAsiaTheme="majorEastAsia" w:hAnsi="Times New Roman" w:cstheme="majorBidi"/>
      <w:b/>
      <w:color w:val="2E74B5" w:themeColor="accent1" w:themeShade="BF"/>
      <w:lang w:val="en-GB"/>
    </w:rPr>
  </w:style>
  <w:style w:type="paragraph" w:styleId="TOC4">
    <w:name w:val="toc 4"/>
    <w:basedOn w:val="Normal"/>
    <w:next w:val="Normal"/>
    <w:autoRedefine/>
    <w:uiPriority w:val="39"/>
    <w:unhideWhenUsed/>
    <w:rsid w:val="00DE178E"/>
    <w:pPr>
      <w:spacing w:after="100" w:line="259" w:lineRule="auto"/>
      <w:ind w:left="660"/>
      <w:jc w:val="left"/>
    </w:pPr>
    <w:rPr>
      <w:rFonts w:asciiTheme="minorHAnsi" w:eastAsiaTheme="minorEastAsia" w:hAnsiTheme="minorHAnsi" w:cstheme="minorBidi"/>
      <w:lang w:eastAsia="en-GB"/>
    </w:rPr>
  </w:style>
  <w:style w:type="paragraph" w:styleId="TOC5">
    <w:name w:val="toc 5"/>
    <w:basedOn w:val="Normal"/>
    <w:next w:val="Normal"/>
    <w:autoRedefine/>
    <w:uiPriority w:val="39"/>
    <w:unhideWhenUsed/>
    <w:rsid w:val="00DE178E"/>
    <w:pPr>
      <w:spacing w:after="100" w:line="259" w:lineRule="auto"/>
      <w:ind w:left="880"/>
      <w:jc w:val="left"/>
    </w:pPr>
    <w:rPr>
      <w:rFonts w:asciiTheme="minorHAnsi" w:eastAsiaTheme="minorEastAsia" w:hAnsiTheme="minorHAnsi" w:cstheme="minorBidi"/>
      <w:lang w:eastAsia="en-GB"/>
    </w:rPr>
  </w:style>
  <w:style w:type="paragraph" w:styleId="TOC6">
    <w:name w:val="toc 6"/>
    <w:basedOn w:val="Normal"/>
    <w:next w:val="Normal"/>
    <w:autoRedefine/>
    <w:uiPriority w:val="39"/>
    <w:unhideWhenUsed/>
    <w:rsid w:val="00DE178E"/>
    <w:pPr>
      <w:spacing w:after="100" w:line="259" w:lineRule="auto"/>
      <w:ind w:left="1100"/>
      <w:jc w:val="left"/>
    </w:pPr>
    <w:rPr>
      <w:rFonts w:asciiTheme="minorHAnsi" w:eastAsiaTheme="minorEastAsia" w:hAnsiTheme="minorHAnsi" w:cstheme="minorBidi"/>
      <w:lang w:eastAsia="en-GB"/>
    </w:rPr>
  </w:style>
  <w:style w:type="paragraph" w:styleId="TOC7">
    <w:name w:val="toc 7"/>
    <w:basedOn w:val="Normal"/>
    <w:next w:val="Normal"/>
    <w:autoRedefine/>
    <w:uiPriority w:val="39"/>
    <w:unhideWhenUsed/>
    <w:rsid w:val="00DE178E"/>
    <w:pPr>
      <w:spacing w:after="100" w:line="259" w:lineRule="auto"/>
      <w:ind w:left="1320"/>
      <w:jc w:val="left"/>
    </w:pPr>
    <w:rPr>
      <w:rFonts w:asciiTheme="minorHAnsi" w:eastAsiaTheme="minorEastAsia" w:hAnsiTheme="minorHAnsi" w:cstheme="minorBidi"/>
      <w:lang w:eastAsia="en-GB"/>
    </w:rPr>
  </w:style>
  <w:style w:type="paragraph" w:styleId="TOC8">
    <w:name w:val="toc 8"/>
    <w:basedOn w:val="Normal"/>
    <w:next w:val="Normal"/>
    <w:autoRedefine/>
    <w:uiPriority w:val="39"/>
    <w:unhideWhenUsed/>
    <w:rsid w:val="00DE178E"/>
    <w:pPr>
      <w:spacing w:after="100" w:line="259" w:lineRule="auto"/>
      <w:ind w:left="1540"/>
      <w:jc w:val="left"/>
    </w:pPr>
    <w:rPr>
      <w:rFonts w:asciiTheme="minorHAnsi" w:eastAsiaTheme="minorEastAsia" w:hAnsiTheme="minorHAnsi" w:cstheme="minorBidi"/>
      <w:lang w:eastAsia="en-GB"/>
    </w:rPr>
  </w:style>
  <w:style w:type="paragraph" w:styleId="TOC9">
    <w:name w:val="toc 9"/>
    <w:basedOn w:val="Normal"/>
    <w:next w:val="Normal"/>
    <w:autoRedefine/>
    <w:uiPriority w:val="39"/>
    <w:unhideWhenUsed/>
    <w:rsid w:val="00DE178E"/>
    <w:pPr>
      <w:spacing w:after="100" w:line="259" w:lineRule="auto"/>
      <w:ind w:left="1760"/>
      <w:jc w:val="left"/>
    </w:pPr>
    <w:rPr>
      <w:rFonts w:asciiTheme="minorHAnsi" w:eastAsiaTheme="minorEastAsia" w:hAnsiTheme="minorHAnsi" w:cstheme="minorBidi"/>
      <w:lang w:eastAsia="en-GB"/>
    </w:rPr>
  </w:style>
  <w:style w:type="paragraph" w:customStyle="1" w:styleId="refererere">
    <w:name w:val="refererere"/>
    <w:basedOn w:val="Normal"/>
    <w:link w:val="refererereChar"/>
    <w:qFormat/>
    <w:rsid w:val="00EB7CC7"/>
    <w:pPr>
      <w:spacing w:line="276" w:lineRule="auto"/>
    </w:pPr>
    <w:rPr>
      <w:rFonts w:ascii="Times New Roman" w:hAnsi="Times New Roman"/>
      <w:sz w:val="20"/>
      <w:szCs w:val="20"/>
    </w:rPr>
  </w:style>
  <w:style w:type="character" w:customStyle="1" w:styleId="refererereChar">
    <w:name w:val="refererere Char"/>
    <w:basedOn w:val="DefaultParagraphFont"/>
    <w:link w:val="refererere"/>
    <w:rsid w:val="00EB7CC7"/>
    <w:rPr>
      <w:rFonts w:ascii="Times New Roman" w:eastAsia="Times New Roman" w:hAnsi="Times New Roman" w:cs="Times New Roman"/>
      <w:sz w:val="20"/>
      <w:szCs w:val="20"/>
      <w:lang w:val="en-GB"/>
    </w:rPr>
  </w:style>
  <w:style w:type="table" w:customStyle="1" w:styleId="TableGrid1">
    <w:name w:val="Table Grid1"/>
    <w:basedOn w:val="TableNormal"/>
    <w:next w:val="TableGrid"/>
    <w:uiPriority w:val="39"/>
    <w:rsid w:val="000C263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2530112">
      <w:bodyDiv w:val="1"/>
      <w:marLeft w:val="0"/>
      <w:marRight w:val="0"/>
      <w:marTop w:val="0"/>
      <w:marBottom w:val="0"/>
      <w:divBdr>
        <w:top w:val="none" w:sz="0" w:space="0" w:color="auto"/>
        <w:left w:val="none" w:sz="0" w:space="0" w:color="auto"/>
        <w:bottom w:val="none" w:sz="0" w:space="0" w:color="auto"/>
        <w:right w:val="none" w:sz="0" w:space="0" w:color="auto"/>
      </w:divBdr>
    </w:div>
    <w:div w:id="229927952">
      <w:bodyDiv w:val="1"/>
      <w:marLeft w:val="0"/>
      <w:marRight w:val="0"/>
      <w:marTop w:val="0"/>
      <w:marBottom w:val="0"/>
      <w:divBdr>
        <w:top w:val="none" w:sz="0" w:space="0" w:color="auto"/>
        <w:left w:val="none" w:sz="0" w:space="0" w:color="auto"/>
        <w:bottom w:val="none" w:sz="0" w:space="0" w:color="auto"/>
        <w:right w:val="none" w:sz="0" w:space="0" w:color="auto"/>
      </w:divBdr>
    </w:div>
    <w:div w:id="1021475955">
      <w:bodyDiv w:val="1"/>
      <w:marLeft w:val="0"/>
      <w:marRight w:val="0"/>
      <w:marTop w:val="0"/>
      <w:marBottom w:val="0"/>
      <w:divBdr>
        <w:top w:val="none" w:sz="0" w:space="0" w:color="auto"/>
        <w:left w:val="none" w:sz="0" w:space="0" w:color="auto"/>
        <w:bottom w:val="none" w:sz="0" w:space="0" w:color="auto"/>
        <w:right w:val="none" w:sz="0" w:space="0" w:color="auto"/>
      </w:divBdr>
    </w:div>
    <w:div w:id="1194463118">
      <w:bodyDiv w:val="1"/>
      <w:marLeft w:val="0"/>
      <w:marRight w:val="0"/>
      <w:marTop w:val="0"/>
      <w:marBottom w:val="0"/>
      <w:divBdr>
        <w:top w:val="none" w:sz="0" w:space="0" w:color="auto"/>
        <w:left w:val="none" w:sz="0" w:space="0" w:color="auto"/>
        <w:bottom w:val="none" w:sz="0" w:space="0" w:color="auto"/>
        <w:right w:val="none" w:sz="0" w:space="0" w:color="auto"/>
      </w:divBdr>
    </w:div>
    <w:div w:id="1325933005">
      <w:bodyDiv w:val="1"/>
      <w:marLeft w:val="0"/>
      <w:marRight w:val="0"/>
      <w:marTop w:val="0"/>
      <w:marBottom w:val="0"/>
      <w:divBdr>
        <w:top w:val="none" w:sz="0" w:space="0" w:color="auto"/>
        <w:left w:val="none" w:sz="0" w:space="0" w:color="auto"/>
        <w:bottom w:val="none" w:sz="0" w:space="0" w:color="auto"/>
        <w:right w:val="none" w:sz="0" w:space="0" w:color="auto"/>
      </w:divBdr>
    </w:div>
    <w:div w:id="1799299793">
      <w:bodyDiv w:val="1"/>
      <w:marLeft w:val="0"/>
      <w:marRight w:val="0"/>
      <w:marTop w:val="0"/>
      <w:marBottom w:val="0"/>
      <w:divBdr>
        <w:top w:val="none" w:sz="0" w:space="0" w:color="auto"/>
        <w:left w:val="none" w:sz="0" w:space="0" w:color="auto"/>
        <w:bottom w:val="none" w:sz="0" w:space="0" w:color="auto"/>
        <w:right w:val="none" w:sz="0" w:space="0" w:color="auto"/>
      </w:divBdr>
    </w:div>
    <w:div w:id="1983387945">
      <w:bodyDiv w:val="1"/>
      <w:marLeft w:val="0"/>
      <w:marRight w:val="0"/>
      <w:marTop w:val="0"/>
      <w:marBottom w:val="0"/>
      <w:divBdr>
        <w:top w:val="none" w:sz="0" w:space="0" w:color="auto"/>
        <w:left w:val="none" w:sz="0" w:space="0" w:color="auto"/>
        <w:bottom w:val="none" w:sz="0" w:space="0" w:color="auto"/>
        <w:right w:val="none" w:sz="0" w:space="0" w:color="auto"/>
      </w:divBdr>
    </w:div>
    <w:div w:id="2084522733">
      <w:bodyDiv w:val="1"/>
      <w:marLeft w:val="0"/>
      <w:marRight w:val="0"/>
      <w:marTop w:val="0"/>
      <w:marBottom w:val="0"/>
      <w:divBdr>
        <w:top w:val="none" w:sz="0" w:space="0" w:color="auto"/>
        <w:left w:val="none" w:sz="0" w:space="0" w:color="auto"/>
        <w:bottom w:val="none" w:sz="0" w:space="0" w:color="auto"/>
        <w:right w:val="none" w:sz="0" w:space="0" w:color="auto"/>
      </w:divBdr>
    </w:div>
    <w:div w:id="20849078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4.xml"/><Relationship Id="rId117" Type="http://schemas.openxmlformats.org/officeDocument/2006/relationships/chart" Target="charts/chart82.xml"/><Relationship Id="rId21" Type="http://schemas.openxmlformats.org/officeDocument/2006/relationships/chart" Target="charts/chart9.xml"/><Relationship Id="rId42" Type="http://schemas.openxmlformats.org/officeDocument/2006/relationships/image" Target="media/image6.png"/><Relationship Id="rId47" Type="http://schemas.openxmlformats.org/officeDocument/2006/relationships/image" Target="media/image11.png"/><Relationship Id="rId63" Type="http://schemas.openxmlformats.org/officeDocument/2006/relationships/chart" Target="charts/chart38.xml"/><Relationship Id="rId68" Type="http://schemas.openxmlformats.org/officeDocument/2006/relationships/chart" Target="charts/chart42.xml"/><Relationship Id="rId84" Type="http://schemas.openxmlformats.org/officeDocument/2006/relationships/chart" Target="charts/chart56.xml"/><Relationship Id="rId89" Type="http://schemas.openxmlformats.org/officeDocument/2006/relationships/image" Target="media/image21.png"/><Relationship Id="rId112" Type="http://schemas.openxmlformats.org/officeDocument/2006/relationships/chart" Target="charts/chart77.xml"/><Relationship Id="rId133" Type="http://schemas.openxmlformats.org/officeDocument/2006/relationships/image" Target="media/image28.jpeg"/><Relationship Id="rId138" Type="http://schemas.openxmlformats.org/officeDocument/2006/relationships/image" Target="media/image33.jpeg"/><Relationship Id="rId16" Type="http://schemas.openxmlformats.org/officeDocument/2006/relationships/image" Target="media/image4.jpeg"/><Relationship Id="rId107" Type="http://schemas.openxmlformats.org/officeDocument/2006/relationships/chart" Target="charts/chart72.xml"/><Relationship Id="rId11" Type="http://schemas.openxmlformats.org/officeDocument/2006/relationships/chart" Target="charts/chart1.xml"/><Relationship Id="rId32" Type="http://schemas.openxmlformats.org/officeDocument/2006/relationships/chart" Target="charts/chart20.xml"/><Relationship Id="rId37" Type="http://schemas.openxmlformats.org/officeDocument/2006/relationships/chart" Target="charts/chart25.xml"/><Relationship Id="rId53" Type="http://schemas.openxmlformats.org/officeDocument/2006/relationships/chart" Target="charts/chart33.xml"/><Relationship Id="rId58" Type="http://schemas.openxmlformats.org/officeDocument/2006/relationships/image" Target="media/image16.png"/><Relationship Id="rId74" Type="http://schemas.openxmlformats.org/officeDocument/2006/relationships/chart" Target="charts/chart48.xml"/><Relationship Id="rId79" Type="http://schemas.openxmlformats.org/officeDocument/2006/relationships/image" Target="media/image18.jpeg"/><Relationship Id="rId102" Type="http://schemas.openxmlformats.org/officeDocument/2006/relationships/chart" Target="charts/chart67.xml"/><Relationship Id="rId123" Type="http://schemas.openxmlformats.org/officeDocument/2006/relationships/chart" Target="charts/chart88.xml"/><Relationship Id="rId128" Type="http://schemas.openxmlformats.org/officeDocument/2006/relationships/chart" Target="charts/chart93.xml"/><Relationship Id="rId144" Type="http://schemas.openxmlformats.org/officeDocument/2006/relationships/fontTable" Target="fontTable.xml"/><Relationship Id="rId5" Type="http://schemas.openxmlformats.org/officeDocument/2006/relationships/settings" Target="settings.xml"/><Relationship Id="rId90" Type="http://schemas.openxmlformats.org/officeDocument/2006/relationships/image" Target="media/image22.png"/><Relationship Id="rId95" Type="http://schemas.openxmlformats.org/officeDocument/2006/relationships/chart" Target="charts/chart63.xml"/><Relationship Id="rId22" Type="http://schemas.openxmlformats.org/officeDocument/2006/relationships/chart" Target="charts/chart10.xml"/><Relationship Id="rId27" Type="http://schemas.openxmlformats.org/officeDocument/2006/relationships/chart" Target="charts/chart15.xml"/><Relationship Id="rId43" Type="http://schemas.openxmlformats.org/officeDocument/2006/relationships/image" Target="media/image7.png"/><Relationship Id="rId48" Type="http://schemas.openxmlformats.org/officeDocument/2006/relationships/image" Target="media/image12.png"/><Relationship Id="rId64" Type="http://schemas.openxmlformats.org/officeDocument/2006/relationships/chart" Target="charts/chart39.xml"/><Relationship Id="rId69" Type="http://schemas.openxmlformats.org/officeDocument/2006/relationships/chart" Target="charts/chart43.xml"/><Relationship Id="rId113" Type="http://schemas.openxmlformats.org/officeDocument/2006/relationships/chart" Target="charts/chart78.xml"/><Relationship Id="rId118" Type="http://schemas.openxmlformats.org/officeDocument/2006/relationships/chart" Target="charts/chart83.xml"/><Relationship Id="rId134" Type="http://schemas.openxmlformats.org/officeDocument/2006/relationships/image" Target="media/image29.jpeg"/><Relationship Id="rId139" Type="http://schemas.openxmlformats.org/officeDocument/2006/relationships/image" Target="media/image34.jpeg"/><Relationship Id="rId80" Type="http://schemas.openxmlformats.org/officeDocument/2006/relationships/hyperlink" Target="http://ihmeuw.org./3s0j" TargetMode="External"/><Relationship Id="rId85" Type="http://schemas.openxmlformats.org/officeDocument/2006/relationships/chart" Target="charts/chart57.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chart" Target="charts/chart5.xml"/><Relationship Id="rId25" Type="http://schemas.openxmlformats.org/officeDocument/2006/relationships/chart" Target="charts/chart13.xml"/><Relationship Id="rId33" Type="http://schemas.openxmlformats.org/officeDocument/2006/relationships/chart" Target="charts/chart21.xml"/><Relationship Id="rId38" Type="http://schemas.openxmlformats.org/officeDocument/2006/relationships/chart" Target="charts/chart26.xml"/><Relationship Id="rId46" Type="http://schemas.openxmlformats.org/officeDocument/2006/relationships/image" Target="media/image10.png"/><Relationship Id="rId59" Type="http://schemas.openxmlformats.org/officeDocument/2006/relationships/chart" Target="charts/chart34.xml"/><Relationship Id="rId67" Type="http://schemas.openxmlformats.org/officeDocument/2006/relationships/chart" Target="charts/chart41.xml"/><Relationship Id="rId103" Type="http://schemas.openxmlformats.org/officeDocument/2006/relationships/chart" Target="charts/chart68.xml"/><Relationship Id="rId108" Type="http://schemas.openxmlformats.org/officeDocument/2006/relationships/chart" Target="charts/chart73.xml"/><Relationship Id="rId116" Type="http://schemas.openxmlformats.org/officeDocument/2006/relationships/chart" Target="charts/chart81.xml"/><Relationship Id="rId124" Type="http://schemas.openxmlformats.org/officeDocument/2006/relationships/chart" Target="charts/chart89.xml"/><Relationship Id="rId129" Type="http://schemas.openxmlformats.org/officeDocument/2006/relationships/chart" Target="charts/chart94.xml"/><Relationship Id="rId137" Type="http://schemas.openxmlformats.org/officeDocument/2006/relationships/image" Target="media/image32.jpeg"/><Relationship Id="rId20" Type="http://schemas.openxmlformats.org/officeDocument/2006/relationships/chart" Target="charts/chart8.xml"/><Relationship Id="rId41" Type="http://schemas.openxmlformats.org/officeDocument/2006/relationships/image" Target="media/image5.png"/><Relationship Id="rId54" Type="http://schemas.openxmlformats.org/officeDocument/2006/relationships/image" Target="media/image13.png"/><Relationship Id="rId62" Type="http://schemas.openxmlformats.org/officeDocument/2006/relationships/chart" Target="charts/chart37.xml"/><Relationship Id="rId70" Type="http://schemas.openxmlformats.org/officeDocument/2006/relationships/chart" Target="charts/chart44.xml"/><Relationship Id="rId75" Type="http://schemas.openxmlformats.org/officeDocument/2006/relationships/chart" Target="charts/chart49.xml"/><Relationship Id="rId83" Type="http://schemas.openxmlformats.org/officeDocument/2006/relationships/chart" Target="charts/chart55.xml"/><Relationship Id="rId88" Type="http://schemas.openxmlformats.org/officeDocument/2006/relationships/image" Target="media/image20.png"/><Relationship Id="rId91" Type="http://schemas.openxmlformats.org/officeDocument/2006/relationships/chart" Target="charts/chart59.xml"/><Relationship Id="rId96" Type="http://schemas.openxmlformats.org/officeDocument/2006/relationships/chart" Target="charts/chart64.xml"/><Relationship Id="rId111" Type="http://schemas.openxmlformats.org/officeDocument/2006/relationships/chart" Target="charts/chart76.xml"/><Relationship Id="rId132" Type="http://schemas.openxmlformats.org/officeDocument/2006/relationships/image" Target="media/image27.jpeg"/><Relationship Id="rId140" Type="http://schemas.openxmlformats.org/officeDocument/2006/relationships/hyperlink" Target="http://www.fzs.ba" TargetMode="External"/><Relationship Id="rId14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chart" Target="charts/chart4.xml"/><Relationship Id="rId23" Type="http://schemas.openxmlformats.org/officeDocument/2006/relationships/chart" Target="charts/chart11.xml"/><Relationship Id="rId28" Type="http://schemas.openxmlformats.org/officeDocument/2006/relationships/chart" Target="charts/chart16.xml"/><Relationship Id="rId36" Type="http://schemas.openxmlformats.org/officeDocument/2006/relationships/chart" Target="charts/chart24.xml"/><Relationship Id="rId49" Type="http://schemas.openxmlformats.org/officeDocument/2006/relationships/chart" Target="charts/chart29.xml"/><Relationship Id="rId57" Type="http://schemas.openxmlformats.org/officeDocument/2006/relationships/image" Target="cid:image001.png@01D16E1D.D4458D90" TargetMode="External"/><Relationship Id="rId106" Type="http://schemas.openxmlformats.org/officeDocument/2006/relationships/chart" Target="charts/chart71.xml"/><Relationship Id="rId114" Type="http://schemas.openxmlformats.org/officeDocument/2006/relationships/chart" Target="charts/chart79.xml"/><Relationship Id="rId119" Type="http://schemas.openxmlformats.org/officeDocument/2006/relationships/chart" Target="charts/chart84.xml"/><Relationship Id="rId127" Type="http://schemas.openxmlformats.org/officeDocument/2006/relationships/chart" Target="charts/chart92.xml"/><Relationship Id="rId10" Type="http://schemas.openxmlformats.org/officeDocument/2006/relationships/image" Target="media/image2.png"/><Relationship Id="rId31" Type="http://schemas.openxmlformats.org/officeDocument/2006/relationships/chart" Target="charts/chart19.xml"/><Relationship Id="rId44" Type="http://schemas.openxmlformats.org/officeDocument/2006/relationships/image" Target="media/image8.png"/><Relationship Id="rId52" Type="http://schemas.openxmlformats.org/officeDocument/2006/relationships/chart" Target="charts/chart32.xml"/><Relationship Id="rId60" Type="http://schemas.openxmlformats.org/officeDocument/2006/relationships/chart" Target="charts/chart35.xml"/><Relationship Id="rId65" Type="http://schemas.openxmlformats.org/officeDocument/2006/relationships/chart" Target="charts/chart40.xml"/><Relationship Id="rId73" Type="http://schemas.openxmlformats.org/officeDocument/2006/relationships/chart" Target="charts/chart47.xml"/><Relationship Id="rId78" Type="http://schemas.openxmlformats.org/officeDocument/2006/relationships/chart" Target="charts/chart52.xml"/><Relationship Id="rId81" Type="http://schemas.openxmlformats.org/officeDocument/2006/relationships/chart" Target="charts/chart53.xml"/><Relationship Id="rId86" Type="http://schemas.openxmlformats.org/officeDocument/2006/relationships/chart" Target="charts/chart58.xml"/><Relationship Id="rId94" Type="http://schemas.openxmlformats.org/officeDocument/2006/relationships/chart" Target="charts/chart62.xml"/><Relationship Id="rId99" Type="http://schemas.openxmlformats.org/officeDocument/2006/relationships/image" Target="media/image23.png"/><Relationship Id="rId101" Type="http://schemas.openxmlformats.org/officeDocument/2006/relationships/image" Target="media/image24.emf"/><Relationship Id="rId122" Type="http://schemas.openxmlformats.org/officeDocument/2006/relationships/chart" Target="charts/chart87.xml"/><Relationship Id="rId130" Type="http://schemas.openxmlformats.org/officeDocument/2006/relationships/image" Target="media/image25.jpeg"/><Relationship Id="rId135" Type="http://schemas.openxmlformats.org/officeDocument/2006/relationships/image" Target="media/image30.jpeg"/><Relationship Id="rId143"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wmf"/><Relationship Id="rId13" Type="http://schemas.openxmlformats.org/officeDocument/2006/relationships/chart" Target="charts/chart2.xml"/><Relationship Id="rId18" Type="http://schemas.openxmlformats.org/officeDocument/2006/relationships/chart" Target="charts/chart6.xml"/><Relationship Id="rId39" Type="http://schemas.openxmlformats.org/officeDocument/2006/relationships/chart" Target="charts/chart27.xml"/><Relationship Id="rId109" Type="http://schemas.openxmlformats.org/officeDocument/2006/relationships/chart" Target="charts/chart74.xml"/><Relationship Id="rId34" Type="http://schemas.openxmlformats.org/officeDocument/2006/relationships/chart" Target="charts/chart22.xml"/><Relationship Id="rId50" Type="http://schemas.openxmlformats.org/officeDocument/2006/relationships/chart" Target="charts/chart30.xml"/><Relationship Id="rId55" Type="http://schemas.openxmlformats.org/officeDocument/2006/relationships/image" Target="media/image14.wmf"/><Relationship Id="rId76" Type="http://schemas.openxmlformats.org/officeDocument/2006/relationships/chart" Target="charts/chart50.xml"/><Relationship Id="rId97" Type="http://schemas.openxmlformats.org/officeDocument/2006/relationships/chart" Target="charts/chart65.xml"/><Relationship Id="rId104" Type="http://schemas.openxmlformats.org/officeDocument/2006/relationships/chart" Target="charts/chart69.xml"/><Relationship Id="rId120" Type="http://schemas.openxmlformats.org/officeDocument/2006/relationships/chart" Target="charts/chart85.xml"/><Relationship Id="rId125" Type="http://schemas.openxmlformats.org/officeDocument/2006/relationships/chart" Target="charts/chart90.xml"/><Relationship Id="rId141" Type="http://schemas.openxmlformats.org/officeDocument/2006/relationships/hyperlink" Target="http://www.who.org" TargetMode="External"/><Relationship Id="rId7" Type="http://schemas.openxmlformats.org/officeDocument/2006/relationships/footnotes" Target="footnotes.xml"/><Relationship Id="rId71" Type="http://schemas.openxmlformats.org/officeDocument/2006/relationships/chart" Target="charts/chart45.xml"/><Relationship Id="rId92" Type="http://schemas.openxmlformats.org/officeDocument/2006/relationships/chart" Target="charts/chart60.xml"/><Relationship Id="rId2" Type="http://schemas.openxmlformats.org/officeDocument/2006/relationships/numbering" Target="numbering.xml"/><Relationship Id="rId29" Type="http://schemas.openxmlformats.org/officeDocument/2006/relationships/chart" Target="charts/chart17.xml"/><Relationship Id="rId24" Type="http://schemas.openxmlformats.org/officeDocument/2006/relationships/chart" Target="charts/chart12.xml"/><Relationship Id="rId40" Type="http://schemas.openxmlformats.org/officeDocument/2006/relationships/chart" Target="charts/chart28.xml"/><Relationship Id="rId45" Type="http://schemas.openxmlformats.org/officeDocument/2006/relationships/image" Target="media/image9.png"/><Relationship Id="rId66" Type="http://schemas.openxmlformats.org/officeDocument/2006/relationships/image" Target="media/image17.emf"/><Relationship Id="rId87" Type="http://schemas.openxmlformats.org/officeDocument/2006/relationships/image" Target="media/image19.png"/><Relationship Id="rId110" Type="http://schemas.openxmlformats.org/officeDocument/2006/relationships/chart" Target="charts/chart75.xml"/><Relationship Id="rId115" Type="http://schemas.openxmlformats.org/officeDocument/2006/relationships/chart" Target="charts/chart80.xml"/><Relationship Id="rId131" Type="http://schemas.openxmlformats.org/officeDocument/2006/relationships/image" Target="media/image26.jpeg"/><Relationship Id="rId136" Type="http://schemas.openxmlformats.org/officeDocument/2006/relationships/image" Target="media/image31.jpeg"/><Relationship Id="rId61" Type="http://schemas.openxmlformats.org/officeDocument/2006/relationships/chart" Target="charts/chart36.xml"/><Relationship Id="rId82" Type="http://schemas.openxmlformats.org/officeDocument/2006/relationships/chart" Target="charts/chart54.xml"/><Relationship Id="rId19" Type="http://schemas.openxmlformats.org/officeDocument/2006/relationships/chart" Target="charts/chart7.xml"/><Relationship Id="rId14" Type="http://schemas.openxmlformats.org/officeDocument/2006/relationships/chart" Target="charts/chart3.xml"/><Relationship Id="rId30" Type="http://schemas.openxmlformats.org/officeDocument/2006/relationships/chart" Target="charts/chart18.xml"/><Relationship Id="rId35" Type="http://schemas.openxmlformats.org/officeDocument/2006/relationships/chart" Target="charts/chart23.xml"/><Relationship Id="rId56" Type="http://schemas.openxmlformats.org/officeDocument/2006/relationships/image" Target="media/image15.png"/><Relationship Id="rId77" Type="http://schemas.openxmlformats.org/officeDocument/2006/relationships/chart" Target="charts/chart51.xml"/><Relationship Id="rId100" Type="http://schemas.openxmlformats.org/officeDocument/2006/relationships/image" Target="media/image230.png"/><Relationship Id="rId105" Type="http://schemas.openxmlformats.org/officeDocument/2006/relationships/chart" Target="charts/chart70.xml"/><Relationship Id="rId126" Type="http://schemas.openxmlformats.org/officeDocument/2006/relationships/chart" Target="charts/chart91.xml"/><Relationship Id="rId8" Type="http://schemas.openxmlformats.org/officeDocument/2006/relationships/endnotes" Target="endnotes.xml"/><Relationship Id="rId51" Type="http://schemas.openxmlformats.org/officeDocument/2006/relationships/chart" Target="charts/chart31.xml"/><Relationship Id="rId72" Type="http://schemas.openxmlformats.org/officeDocument/2006/relationships/chart" Target="charts/chart46.xml"/><Relationship Id="rId93" Type="http://schemas.openxmlformats.org/officeDocument/2006/relationships/chart" Target="charts/chart61.xml"/><Relationship Id="rId98" Type="http://schemas.openxmlformats.org/officeDocument/2006/relationships/chart" Target="charts/chart66.xml"/><Relationship Id="rId121" Type="http://schemas.openxmlformats.org/officeDocument/2006/relationships/chart" Target="charts/chart86.xml"/><Relationship Id="rId142" Type="http://schemas.openxmlformats.org/officeDocument/2006/relationships/hyperlink" Target="http://www.bhas.ba/ankete/ARS-2015"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15.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16.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embeddings/oleObject2.bin"/></Relationships>
</file>

<file path=word/charts/_rels/chart21.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2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23.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25.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26.xml.rels><?xml version="1.0" encoding="UTF-8" standalone="yes"?>
<Relationships xmlns="http://schemas.openxmlformats.org/package/2006/relationships"><Relationship Id="rId1" Type="http://schemas.openxmlformats.org/officeDocument/2006/relationships/oleObject" Target="file:///C:\Users\Korisnik\Desktop\ZDR.%20ELMA%2024.06\Zdr.stanje%20GRAFIKONI%2024.06.2015.xlsx" TargetMode="External"/></Relationships>
</file>

<file path=word/charts/_rels/chart27.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28.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29.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3.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30.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31.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32.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33.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34.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Excel_Worksheet11.xlsx"/></Relationships>
</file>

<file path=word/charts/_rels/chart35.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1.xml"/></Relationships>
</file>

<file path=word/charts/_rels/chart36.xml.rels><?xml version="1.0" encoding="UTF-8" standalone="yes"?>
<Relationships xmlns="http://schemas.openxmlformats.org/package/2006/relationships"><Relationship Id="rId1" Type="http://schemas.openxmlformats.org/officeDocument/2006/relationships/package" Target="../embeddings/Microsoft_Excel_Worksheet12.xlsx"/></Relationships>
</file>

<file path=word/charts/_rels/chart37.xml.rels><?xml version="1.0" encoding="UTF-8" standalone="yes"?>
<Relationships xmlns="http://schemas.openxmlformats.org/package/2006/relationships"><Relationship Id="rId1" Type="http://schemas.openxmlformats.org/officeDocument/2006/relationships/package" Target="../embeddings/Microsoft_Excel_Worksheet13.xlsx"/></Relationships>
</file>

<file path=word/charts/_rels/chart38.xml.rels><?xml version="1.0" encoding="UTF-8" standalone="yes"?>
<Relationships xmlns="http://schemas.openxmlformats.org/package/2006/relationships"><Relationship Id="rId1" Type="http://schemas.openxmlformats.org/officeDocument/2006/relationships/package" Target="../embeddings/Microsoft_Excel_Worksheet14.xlsx"/></Relationships>
</file>

<file path=word/charts/_rels/chart39.xml.rels><?xml version="1.0" encoding="UTF-8" standalone="yes"?>
<Relationships xmlns="http://schemas.openxmlformats.org/package/2006/relationships"><Relationship Id="rId1" Type="http://schemas.openxmlformats.org/officeDocument/2006/relationships/package" Target="../embeddings/Microsoft_Excel_Worksheet15.xlsx"/></Relationships>
</file>

<file path=word/charts/_rels/chart4.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40.xml.rels><?xml version="1.0" encoding="UTF-8" standalone="yes"?>
<Relationships xmlns="http://schemas.openxmlformats.org/package/2006/relationships"><Relationship Id="rId1" Type="http://schemas.openxmlformats.org/officeDocument/2006/relationships/package" Target="../embeddings/Microsoft_Excel_Worksheet16.xlsx"/></Relationships>
</file>

<file path=word/charts/_rels/chart41.xml.rels><?xml version="1.0" encoding="UTF-8" standalone="yes"?>
<Relationships xmlns="http://schemas.openxmlformats.org/package/2006/relationships"><Relationship Id="rId1" Type="http://schemas.openxmlformats.org/officeDocument/2006/relationships/package" Target="../embeddings/Microsoft_Excel_Worksheet17.xlsx"/></Relationships>
</file>

<file path=word/charts/_rels/chart42.xml.rels><?xml version="1.0" encoding="UTF-8" standalone="yes"?>
<Relationships xmlns="http://schemas.openxmlformats.org/package/2006/relationships"><Relationship Id="rId1" Type="http://schemas.openxmlformats.org/officeDocument/2006/relationships/package" Target="../embeddings/Microsoft_Excel_Worksheet18.xlsx"/></Relationships>
</file>

<file path=word/charts/_rels/chart43.xml.rels><?xml version="1.0" encoding="UTF-8" standalone="yes"?>
<Relationships xmlns="http://schemas.openxmlformats.org/package/2006/relationships"><Relationship Id="rId2" Type="http://schemas.openxmlformats.org/officeDocument/2006/relationships/package" Target="../embeddings/Microsoft_Excel_Worksheet19.xlsx"/><Relationship Id="rId1" Type="http://schemas.openxmlformats.org/officeDocument/2006/relationships/themeOverride" Target="../theme/themeOverride2.xml"/></Relationships>
</file>

<file path=word/charts/_rels/chart44.xml.rels><?xml version="1.0" encoding="UTF-8" standalone="yes"?>
<Relationships xmlns="http://schemas.openxmlformats.org/package/2006/relationships"><Relationship Id="rId2" Type="http://schemas.openxmlformats.org/officeDocument/2006/relationships/oleObject" Target="../embeddings/oleObject3.bin"/><Relationship Id="rId1" Type="http://schemas.openxmlformats.org/officeDocument/2006/relationships/themeOverride" Target="../theme/themeOverride3.xml"/></Relationships>
</file>

<file path=word/charts/_rels/chart45.xml.rels><?xml version="1.0" encoding="UTF-8" standalone="yes"?>
<Relationships xmlns="http://schemas.openxmlformats.org/package/2006/relationships"><Relationship Id="rId2" Type="http://schemas.openxmlformats.org/officeDocument/2006/relationships/oleObject" Target="../embeddings/oleObject4.bin"/><Relationship Id="rId1" Type="http://schemas.openxmlformats.org/officeDocument/2006/relationships/themeOverride" Target="../theme/themeOverride4.xml"/></Relationships>
</file>

<file path=word/charts/_rels/chart46.xml.rels><?xml version="1.0" encoding="UTF-8" standalone="yes"?>
<Relationships xmlns="http://schemas.openxmlformats.org/package/2006/relationships"><Relationship Id="rId1" Type="http://schemas.openxmlformats.org/officeDocument/2006/relationships/package" Target="../embeddings/Microsoft_Excel_Worksheet20.xlsx"/></Relationships>
</file>

<file path=word/charts/_rels/chart47.xml.rels><?xml version="1.0" encoding="UTF-8" standalone="yes"?>
<Relationships xmlns="http://schemas.openxmlformats.org/package/2006/relationships"><Relationship Id="rId2" Type="http://schemas.openxmlformats.org/officeDocument/2006/relationships/oleObject" Target="../embeddings/oleObject5.bin"/><Relationship Id="rId1" Type="http://schemas.openxmlformats.org/officeDocument/2006/relationships/themeOverride" Target="../theme/themeOverride5.xml"/></Relationships>
</file>

<file path=word/charts/_rels/chart48.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49.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50.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51.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52.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53.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54.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55.xml.rels><?xml version="1.0" encoding="UTF-8" standalone="yes"?>
<Relationships xmlns="http://schemas.openxmlformats.org/package/2006/relationships"><Relationship Id="rId1" Type="http://schemas.openxmlformats.org/officeDocument/2006/relationships/oleObject" Target="../embeddings/oleObject6.bin"/></Relationships>
</file>

<file path=word/charts/_rels/chart56.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57.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58.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59.xml.rels><?xml version="1.0" encoding="UTF-8" standalone="yes"?>
<Relationships xmlns="http://schemas.openxmlformats.org/package/2006/relationships"><Relationship Id="rId1" Type="http://schemas.openxmlformats.org/officeDocument/2006/relationships/package" Target="../embeddings/Microsoft_Excel_Worksheet21.xlsx"/></Relationships>
</file>

<file path=word/charts/_rels/chart6.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60.xml.rels><?xml version="1.0" encoding="UTF-8" standalone="yes"?>
<Relationships xmlns="http://schemas.openxmlformats.org/package/2006/relationships"><Relationship Id="rId1" Type="http://schemas.openxmlformats.org/officeDocument/2006/relationships/package" Target="../embeddings/Microsoft_Excel_Worksheet22.xlsx"/></Relationships>
</file>

<file path=word/charts/_rels/chart61.xml.rels><?xml version="1.0" encoding="UTF-8" standalone="yes"?>
<Relationships xmlns="http://schemas.openxmlformats.org/package/2006/relationships"><Relationship Id="rId1" Type="http://schemas.openxmlformats.org/officeDocument/2006/relationships/package" Target="../embeddings/Microsoft_Excel_Worksheet23.xlsx"/></Relationships>
</file>

<file path=word/charts/_rels/chart62.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63.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6.xml"/></Relationships>
</file>

<file path=word/charts/_rels/chart64.xml.rels><?xml version="1.0" encoding="UTF-8" standalone="yes"?>
<Relationships xmlns="http://schemas.openxmlformats.org/package/2006/relationships"><Relationship Id="rId1" Type="http://schemas.openxmlformats.org/officeDocument/2006/relationships/package" Target="../embeddings/Microsoft_Excel_Worksheet24.xlsx"/></Relationships>
</file>

<file path=word/charts/_rels/chart65.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7.xml"/></Relationships>
</file>

<file path=word/charts/_rels/chart66.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8.xml"/></Relationships>
</file>

<file path=word/charts/_rels/chart67.xml.rels><?xml version="1.0" encoding="UTF-8" standalone="yes"?>
<Relationships xmlns="http://schemas.openxmlformats.org/package/2006/relationships"><Relationship Id="rId1" Type="http://schemas.openxmlformats.org/officeDocument/2006/relationships/oleObject" Target="../embeddings/oleObject7.bin"/></Relationships>
</file>

<file path=word/charts/_rels/chart68.xml.rels><?xml version="1.0" encoding="UTF-8" standalone="yes"?>
<Relationships xmlns="http://schemas.openxmlformats.org/package/2006/relationships"><Relationship Id="rId1" Type="http://schemas.openxmlformats.org/officeDocument/2006/relationships/oleObject" Target="file:///C:\Documents%20and%20Settings\enida\Desktop\Zdravstveno%20%202016\1-ELMI%202015.%20-Enida%20REDOM%20org.+stom%20morb.xlsx" TargetMode="External"/></Relationships>
</file>

<file path=word/charts/_rels/chart69.xml.rels><?xml version="1.0" encoding="UTF-8" standalone="yes"?>
<Relationships xmlns="http://schemas.openxmlformats.org/package/2006/relationships"><Relationship Id="rId1" Type="http://schemas.openxmlformats.org/officeDocument/2006/relationships/oleObject" Target="file:///C:\Documents%20and%20Settings\enida\Desktop\Zdravstveno%20%202016\1-ELMI%202015.%20-Enida%20REDOM%20org.+stom%20morb.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embeddings/oleObject1.bin"/></Relationships>
</file>

<file path=word/charts/_rels/chart70.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71.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72.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73.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74.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75.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76.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77.xml.rels><?xml version="1.0" encoding="UTF-8" standalone="yes"?>
<Relationships xmlns="http://schemas.openxmlformats.org/package/2006/relationships"><Relationship Id="rId1" Type="http://schemas.openxmlformats.org/officeDocument/2006/relationships/oleObject" Target="file:///C:\Documents%20and%20Settings\enida\Desktop\Zdravstveno%20%202016\1-ELMI%202015.%20-Enida%20REDOM%20org.+stom%20morb.xlsx" TargetMode="External"/></Relationships>
</file>

<file path=word/charts/_rels/chart78.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79.xml.rels><?xml version="1.0" encoding="UTF-8" standalone="yes"?>
<Relationships xmlns="http://schemas.openxmlformats.org/package/2006/relationships"><Relationship Id="rId1" Type="http://schemas.openxmlformats.org/officeDocument/2006/relationships/package" Target="../embeddings/Microsoft_Excel_Worksheet25.xlsx"/></Relationships>
</file>

<file path=word/charts/_rels/chart8.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80.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81.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82.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83.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84.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85.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86.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87.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88.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89.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90.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91.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92.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93.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94.xml.rels><?xml version="1.0" encoding="UTF-8" standalone="yes"?>
<Relationships xmlns="http://schemas.openxmlformats.org/package/2006/relationships"><Relationship Id="rId1" Type="http://schemas.openxmlformats.org/officeDocument/2006/relationships/oleObject" Target="NULL"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bs-Latn-B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perspective val="30"/>
    </c:view3D>
    <c:floor>
      <c:thickness val="0"/>
    </c:floor>
    <c:sideWall>
      <c:thickness val="0"/>
    </c:sideWall>
    <c:backWall>
      <c:thickness val="0"/>
    </c:backWall>
    <c:plotArea>
      <c:layout/>
      <c:pie3DChart>
        <c:varyColors val="1"/>
        <c:ser>
          <c:idx val="0"/>
          <c:order val="0"/>
          <c:explosion val="25"/>
          <c:dLbls>
            <c:dLbl>
              <c:idx val="0"/>
              <c:layout>
                <c:manualLayout>
                  <c:x val="-5.8696412948381731E-3"/>
                  <c:y val="-3.8340988626421754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0.18573709536307997"/>
                  <c:y val="-0.10861548556430446"/>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1.1571959755030651E-2"/>
                  <c:y val="-3.6743948673082658E-2"/>
                </c:manualLayout>
              </c:layout>
              <c:tx>
                <c:rich>
                  <a:bodyPr/>
                  <a:lstStyle/>
                  <a:p>
                    <a:r>
                      <a:rPr lang="en-US"/>
                      <a:t>14,3%</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b="1"/>
                </a:pPr>
                <a:endParaRPr lang="sr-Latn-RS"/>
              </a:p>
            </c:txPr>
            <c:showLegendKey val="0"/>
            <c:showVal val="1"/>
            <c:showCatName val="0"/>
            <c:showSerName val="0"/>
            <c:showPercent val="0"/>
            <c:showBubbleSize val="0"/>
            <c:showLeaderLines val="1"/>
            <c:extLst>
              <c:ext xmlns:c15="http://schemas.microsoft.com/office/drawing/2012/chart" uri="{CE6537A1-D6FC-4f65-9D91-7224C49458BB}"/>
            </c:extLst>
          </c:dLbls>
          <c:cat>
            <c:strRef>
              <c:f>'starosne skupine'!$A$18:$A$20</c:f>
              <c:strCache>
                <c:ptCount val="3"/>
                <c:pt idx="0">
                  <c:v>0-14</c:v>
                </c:pt>
                <c:pt idx="1">
                  <c:v>15-64</c:v>
                </c:pt>
                <c:pt idx="2">
                  <c:v>65+</c:v>
                </c:pt>
              </c:strCache>
            </c:strRef>
          </c:cat>
          <c:val>
            <c:numRef>
              <c:f>'starosne skupine'!$C$18:$C$20</c:f>
              <c:numCache>
                <c:formatCode>0.0%</c:formatCode>
                <c:ptCount val="3"/>
                <c:pt idx="0">
                  <c:v>0.18100000000000024</c:v>
                </c:pt>
                <c:pt idx="1">
                  <c:v>0.67800000000000138</c:v>
                </c:pt>
                <c:pt idx="2">
                  <c:v>0.14100000000000001</c:v>
                </c:pt>
              </c:numCache>
            </c:numRef>
          </c:val>
        </c:ser>
        <c:dLbls>
          <c:showLegendKey val="0"/>
          <c:showVal val="0"/>
          <c:showCatName val="0"/>
          <c:showSerName val="0"/>
          <c:showPercent val="0"/>
          <c:showBubbleSize val="0"/>
          <c:showLeaderLines val="1"/>
        </c:dLbls>
      </c:pie3DChart>
    </c:plotArea>
    <c:legend>
      <c:legendPos val="b"/>
      <c:overlay val="0"/>
    </c:legend>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bs-Latn-B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grafikon!$C$12</c:f>
              <c:strCache>
                <c:ptCount val="1"/>
                <c:pt idx="0">
                  <c:v>Kardio vaskularne bolesti</c:v>
                </c:pt>
              </c:strCache>
            </c:strRef>
          </c:tx>
          <c:cat>
            <c:strRef>
              <c:f>grafikon!$B$13:$B$18</c:f>
              <c:strCache>
                <c:ptCount val="6"/>
                <c:pt idx="0">
                  <c:v>2010.</c:v>
                </c:pt>
                <c:pt idx="1">
                  <c:v>2011.</c:v>
                </c:pt>
                <c:pt idx="2">
                  <c:v>2012.</c:v>
                </c:pt>
                <c:pt idx="3">
                  <c:v>2013.</c:v>
                </c:pt>
                <c:pt idx="4">
                  <c:v>2014.</c:v>
                </c:pt>
                <c:pt idx="5">
                  <c:v>2015.</c:v>
                </c:pt>
              </c:strCache>
            </c:strRef>
          </c:cat>
          <c:val>
            <c:numRef>
              <c:f>grafikon!$C$13:$C$18</c:f>
              <c:numCache>
                <c:formatCode>General</c:formatCode>
                <c:ptCount val="6"/>
                <c:pt idx="0">
                  <c:v>335.2</c:v>
                </c:pt>
                <c:pt idx="1">
                  <c:v>370.2</c:v>
                </c:pt>
                <c:pt idx="2">
                  <c:v>381.4</c:v>
                </c:pt>
                <c:pt idx="3">
                  <c:v>380.9</c:v>
                </c:pt>
                <c:pt idx="4" formatCode="0.0">
                  <c:v>361</c:v>
                </c:pt>
                <c:pt idx="5">
                  <c:v>400.9</c:v>
                </c:pt>
              </c:numCache>
            </c:numRef>
          </c:val>
          <c:smooth val="0"/>
        </c:ser>
        <c:ser>
          <c:idx val="1"/>
          <c:order val="1"/>
          <c:tx>
            <c:strRef>
              <c:f>grafikon!$D$12</c:f>
              <c:strCache>
                <c:ptCount val="1"/>
                <c:pt idx="0">
                  <c:v>Maligne noplazme</c:v>
                </c:pt>
              </c:strCache>
            </c:strRef>
          </c:tx>
          <c:cat>
            <c:strRef>
              <c:f>grafikon!$B$13:$B$18</c:f>
              <c:strCache>
                <c:ptCount val="6"/>
                <c:pt idx="0">
                  <c:v>2010.</c:v>
                </c:pt>
                <c:pt idx="1">
                  <c:v>2011.</c:v>
                </c:pt>
                <c:pt idx="2">
                  <c:v>2012.</c:v>
                </c:pt>
                <c:pt idx="3">
                  <c:v>2013.</c:v>
                </c:pt>
                <c:pt idx="4">
                  <c:v>2014.</c:v>
                </c:pt>
                <c:pt idx="5">
                  <c:v>2015.</c:v>
                </c:pt>
              </c:strCache>
            </c:strRef>
          </c:cat>
          <c:val>
            <c:numRef>
              <c:f>grafikon!$D$13:$D$18</c:f>
              <c:numCache>
                <c:formatCode>General</c:formatCode>
                <c:ptCount val="6"/>
                <c:pt idx="0">
                  <c:v>151.5</c:v>
                </c:pt>
                <c:pt idx="1">
                  <c:v>154.6</c:v>
                </c:pt>
                <c:pt idx="2">
                  <c:v>162.6</c:v>
                </c:pt>
                <c:pt idx="3">
                  <c:v>153.6</c:v>
                </c:pt>
                <c:pt idx="4">
                  <c:v>159.6</c:v>
                </c:pt>
                <c:pt idx="5">
                  <c:v>164.1</c:v>
                </c:pt>
              </c:numCache>
            </c:numRef>
          </c:val>
          <c:smooth val="0"/>
        </c:ser>
        <c:ser>
          <c:idx val="2"/>
          <c:order val="2"/>
          <c:tx>
            <c:strRef>
              <c:f>grafikon!$E$12</c:f>
              <c:strCache>
                <c:ptCount val="1"/>
                <c:pt idx="0">
                  <c:v>Diabetes mellitus</c:v>
                </c:pt>
              </c:strCache>
            </c:strRef>
          </c:tx>
          <c:cat>
            <c:strRef>
              <c:f>grafikon!$B$13:$B$18</c:f>
              <c:strCache>
                <c:ptCount val="6"/>
                <c:pt idx="0">
                  <c:v>2010.</c:v>
                </c:pt>
                <c:pt idx="1">
                  <c:v>2011.</c:v>
                </c:pt>
                <c:pt idx="2">
                  <c:v>2012.</c:v>
                </c:pt>
                <c:pt idx="3">
                  <c:v>2013.</c:v>
                </c:pt>
                <c:pt idx="4">
                  <c:v>2014.</c:v>
                </c:pt>
                <c:pt idx="5">
                  <c:v>2015.</c:v>
                </c:pt>
              </c:strCache>
            </c:strRef>
          </c:cat>
          <c:val>
            <c:numRef>
              <c:f>grafikon!$E$13:$E$18</c:f>
              <c:numCache>
                <c:formatCode>General</c:formatCode>
                <c:ptCount val="6"/>
                <c:pt idx="0">
                  <c:v>39.9</c:v>
                </c:pt>
                <c:pt idx="1">
                  <c:v>41.9</c:v>
                </c:pt>
                <c:pt idx="2">
                  <c:v>44.6</c:v>
                </c:pt>
                <c:pt idx="3">
                  <c:v>38.1</c:v>
                </c:pt>
                <c:pt idx="4">
                  <c:v>43.8</c:v>
                </c:pt>
                <c:pt idx="5">
                  <c:v>40.300000000000004</c:v>
                </c:pt>
              </c:numCache>
            </c:numRef>
          </c:val>
          <c:smooth val="0"/>
        </c:ser>
        <c:ser>
          <c:idx val="3"/>
          <c:order val="3"/>
          <c:tx>
            <c:strRef>
              <c:f>grafikon!$F$12</c:f>
              <c:strCache>
                <c:ptCount val="1"/>
                <c:pt idx="0">
                  <c:v>Hronične respiratorne bolesti</c:v>
                </c:pt>
              </c:strCache>
            </c:strRef>
          </c:tx>
          <c:cat>
            <c:strRef>
              <c:f>grafikon!$B$13:$B$18</c:f>
              <c:strCache>
                <c:ptCount val="6"/>
                <c:pt idx="0">
                  <c:v>2010.</c:v>
                </c:pt>
                <c:pt idx="1">
                  <c:v>2011.</c:v>
                </c:pt>
                <c:pt idx="2">
                  <c:v>2012.</c:v>
                </c:pt>
                <c:pt idx="3">
                  <c:v>2013.</c:v>
                </c:pt>
                <c:pt idx="4">
                  <c:v>2014.</c:v>
                </c:pt>
                <c:pt idx="5">
                  <c:v>2015.</c:v>
                </c:pt>
              </c:strCache>
            </c:strRef>
          </c:cat>
          <c:val>
            <c:numRef>
              <c:f>grafikon!$F$13:$F$18</c:f>
              <c:numCache>
                <c:formatCode>General</c:formatCode>
                <c:ptCount val="6"/>
                <c:pt idx="0">
                  <c:v>10.200000000000001</c:v>
                </c:pt>
                <c:pt idx="1">
                  <c:v>12.3</c:v>
                </c:pt>
                <c:pt idx="2">
                  <c:v>16.2</c:v>
                </c:pt>
                <c:pt idx="3">
                  <c:v>17.7</c:v>
                </c:pt>
                <c:pt idx="4">
                  <c:v>15.9</c:v>
                </c:pt>
                <c:pt idx="5">
                  <c:v>25.4</c:v>
                </c:pt>
              </c:numCache>
            </c:numRef>
          </c:val>
          <c:smooth val="0"/>
        </c:ser>
        <c:dLbls>
          <c:showLegendKey val="0"/>
          <c:showVal val="0"/>
          <c:showCatName val="0"/>
          <c:showSerName val="0"/>
          <c:showPercent val="0"/>
          <c:showBubbleSize val="0"/>
        </c:dLbls>
        <c:marker val="1"/>
        <c:smooth val="0"/>
        <c:axId val="37374592"/>
        <c:axId val="37384576"/>
      </c:lineChart>
      <c:catAx>
        <c:axId val="37374592"/>
        <c:scaling>
          <c:orientation val="minMax"/>
        </c:scaling>
        <c:delete val="0"/>
        <c:axPos val="b"/>
        <c:numFmt formatCode="General" sourceLinked="0"/>
        <c:majorTickMark val="out"/>
        <c:minorTickMark val="none"/>
        <c:tickLblPos val="nextTo"/>
        <c:txPr>
          <a:bodyPr/>
          <a:lstStyle/>
          <a:p>
            <a:pPr>
              <a:defRPr lang="en-US"/>
            </a:pPr>
            <a:endParaRPr lang="sr-Latn-RS"/>
          </a:p>
        </c:txPr>
        <c:crossAx val="37384576"/>
        <c:crosses val="autoZero"/>
        <c:auto val="1"/>
        <c:lblAlgn val="ctr"/>
        <c:lblOffset val="100"/>
        <c:noMultiLvlLbl val="0"/>
      </c:catAx>
      <c:valAx>
        <c:axId val="37384576"/>
        <c:scaling>
          <c:orientation val="minMax"/>
        </c:scaling>
        <c:delete val="0"/>
        <c:axPos val="l"/>
        <c:numFmt formatCode="General" sourceLinked="1"/>
        <c:majorTickMark val="out"/>
        <c:minorTickMark val="none"/>
        <c:tickLblPos val="nextTo"/>
        <c:txPr>
          <a:bodyPr/>
          <a:lstStyle/>
          <a:p>
            <a:pPr>
              <a:defRPr lang="en-US"/>
            </a:pPr>
            <a:endParaRPr lang="sr-Latn-RS"/>
          </a:p>
        </c:txPr>
        <c:crossAx val="37374592"/>
        <c:crosses val="autoZero"/>
        <c:crossBetween val="between"/>
      </c:valAx>
    </c:plotArea>
    <c:legend>
      <c:legendPos val="r"/>
      <c:overlay val="0"/>
      <c:txPr>
        <a:bodyPr/>
        <a:lstStyle/>
        <a:p>
          <a:pPr>
            <a:defRPr lang="en-US"/>
          </a:pPr>
          <a:endParaRPr lang="sr-Latn-RS"/>
        </a:p>
      </c:txPr>
    </c:legend>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bs-Latn-BA"/>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Sheet1!$B$53</c:f>
              <c:strCache>
                <c:ptCount val="1"/>
                <c:pt idx="0">
                  <c:v>Moždani udar (I63)</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Sheet1!$C$52:$D$52</c:f>
              <c:strCache>
                <c:ptCount val="2"/>
                <c:pt idx="0">
                  <c:v>2010.</c:v>
                </c:pt>
                <c:pt idx="1">
                  <c:v>2015.</c:v>
                </c:pt>
              </c:strCache>
            </c:strRef>
          </c:cat>
          <c:val>
            <c:numRef>
              <c:f>Sheet1!$C$53:$D$53</c:f>
              <c:numCache>
                <c:formatCode>0.0</c:formatCode>
                <c:ptCount val="2"/>
                <c:pt idx="0">
                  <c:v>89.918978807867688</c:v>
                </c:pt>
                <c:pt idx="1">
                  <c:v>93.430799520894055</c:v>
                </c:pt>
              </c:numCache>
            </c:numRef>
          </c:val>
        </c:ser>
        <c:ser>
          <c:idx val="1"/>
          <c:order val="1"/>
          <c:tx>
            <c:strRef>
              <c:f>Sheet1!$B$54</c:f>
              <c:strCache>
                <c:ptCount val="1"/>
                <c:pt idx="0">
                  <c:v>Kardiomiopatija (I42)</c:v>
                </c:pt>
              </c:strCache>
            </c:strRef>
          </c:tx>
          <c:invertIfNegative val="0"/>
          <c:dLbls>
            <c:dLbl>
              <c:idx val="0"/>
              <c:layout>
                <c:manualLayout>
                  <c:x val="4.2941492216854475E-3"/>
                  <c:y val="0.2314814814814819"/>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0"/>
                  <c:y val="0.15740740740740797"/>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Sheet1!$C$52:$D$52</c:f>
              <c:strCache>
                <c:ptCount val="2"/>
                <c:pt idx="0">
                  <c:v>2010.</c:v>
                </c:pt>
                <c:pt idx="1">
                  <c:v>2015.</c:v>
                </c:pt>
              </c:strCache>
            </c:strRef>
          </c:cat>
          <c:val>
            <c:numRef>
              <c:f>Sheet1!$C$54:$D$54</c:f>
              <c:numCache>
                <c:formatCode>0.0</c:formatCode>
                <c:ptCount val="2"/>
                <c:pt idx="0">
                  <c:v>78.711189822300966</c:v>
                </c:pt>
                <c:pt idx="1">
                  <c:v>64.043578763749011</c:v>
                </c:pt>
              </c:numCache>
            </c:numRef>
          </c:val>
        </c:ser>
        <c:ser>
          <c:idx val="2"/>
          <c:order val="2"/>
          <c:tx>
            <c:strRef>
              <c:f>Sheet1!$B$55</c:f>
              <c:strCache>
                <c:ptCount val="1"/>
                <c:pt idx="0">
                  <c:v>Srčani zastoj (I46)</c:v>
                </c:pt>
              </c:strCache>
            </c:strRef>
          </c:tx>
          <c:invertIfNegative val="0"/>
          <c:dLbls>
            <c:dLbl>
              <c:idx val="0"/>
              <c:layout>
                <c:manualLayout>
                  <c:x val="4.2941492216854735E-3"/>
                  <c:y val="0.31944444444444497"/>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4.2941492216854475E-3"/>
                  <c:y val="0.2870370370370370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Sheet1!$C$52:$D$52</c:f>
              <c:strCache>
                <c:ptCount val="2"/>
                <c:pt idx="0">
                  <c:v>2010.</c:v>
                </c:pt>
                <c:pt idx="1">
                  <c:v>2015.</c:v>
                </c:pt>
              </c:strCache>
            </c:strRef>
          </c:cat>
          <c:val>
            <c:numRef>
              <c:f>Sheet1!$C$55:$D$55</c:f>
              <c:numCache>
                <c:formatCode>0.0</c:formatCode>
                <c:ptCount val="2"/>
                <c:pt idx="0">
                  <c:v>75.6739645628533</c:v>
                </c:pt>
                <c:pt idx="1">
                  <c:v>69.826778183886461</c:v>
                </c:pt>
              </c:numCache>
            </c:numRef>
          </c:val>
        </c:ser>
        <c:ser>
          <c:idx val="3"/>
          <c:order val="3"/>
          <c:tx>
            <c:strRef>
              <c:f>Sheet1!$B$56</c:f>
              <c:strCache>
                <c:ptCount val="1"/>
                <c:pt idx="0">
                  <c:v>Akutni infarkt miokarda (I21)</c:v>
                </c:pt>
              </c:strCache>
            </c:strRef>
          </c:tx>
          <c:invertIfNegative val="0"/>
          <c:dLbls>
            <c:dLbl>
              <c:idx val="0"/>
              <c:layout>
                <c:manualLayout>
                  <c:x val="1.9681289906118014E-17"/>
                  <c:y val="0.37962962962963037"/>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4.2941492216854475E-3"/>
                  <c:y val="0.24537000583260421"/>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Sheet1!$C$52:$D$52</c:f>
              <c:strCache>
                <c:ptCount val="2"/>
                <c:pt idx="0">
                  <c:v>2010.</c:v>
                </c:pt>
                <c:pt idx="1">
                  <c:v>2015.</c:v>
                </c:pt>
              </c:strCache>
            </c:strRef>
          </c:cat>
          <c:val>
            <c:numRef>
              <c:f>Sheet1!$C$56:$D$56</c:f>
              <c:numCache>
                <c:formatCode>0.0</c:formatCode>
                <c:ptCount val="2"/>
                <c:pt idx="0">
                  <c:v>69.214513658958367</c:v>
                </c:pt>
                <c:pt idx="1">
                  <c:v>89.532494726578889</c:v>
                </c:pt>
              </c:numCache>
            </c:numRef>
          </c:val>
        </c:ser>
        <c:ser>
          <c:idx val="4"/>
          <c:order val="4"/>
          <c:tx>
            <c:strRef>
              <c:f>Sheet1!$B$57</c:f>
              <c:strCache>
                <c:ptCount val="1"/>
                <c:pt idx="0">
                  <c:v>Maligne neoplazme bronha i pluća (C34)</c:v>
                </c:pt>
              </c:strCache>
            </c:strRef>
          </c:tx>
          <c:invertIfNegative val="0"/>
          <c:dLbls>
            <c:dLbl>
              <c:idx val="0"/>
              <c:layout>
                <c:manualLayout>
                  <c:x val="3.0059044551798191E-2"/>
                  <c:y val="-3.6453776611257058E-7"/>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Sheet1!$C$52:$D$52</c:f>
              <c:strCache>
                <c:ptCount val="2"/>
                <c:pt idx="0">
                  <c:v>2010.</c:v>
                </c:pt>
                <c:pt idx="1">
                  <c:v>2015.</c:v>
                </c:pt>
              </c:strCache>
            </c:strRef>
          </c:cat>
          <c:val>
            <c:numRef>
              <c:f>Sheet1!$C$57:$D$57</c:f>
              <c:numCache>
                <c:formatCode>General</c:formatCode>
                <c:ptCount val="2"/>
                <c:pt idx="0" formatCode="0.0">
                  <c:v>43.804488248932614</c:v>
                </c:pt>
              </c:numCache>
            </c:numRef>
          </c:val>
        </c:ser>
        <c:ser>
          <c:idx val="5"/>
          <c:order val="5"/>
          <c:tx>
            <c:strRef>
              <c:f>Sheet1!$B$58</c:f>
              <c:strCache>
                <c:ptCount val="1"/>
                <c:pt idx="0">
                  <c:v>Esencijalna hipertenzija (I10)</c:v>
                </c:pt>
              </c:strCache>
            </c:strRef>
          </c:tx>
          <c:invertIfNegative val="0"/>
          <c:dLbls>
            <c:dLbl>
              <c:idx val="1"/>
              <c:layout>
                <c:manualLayout>
                  <c:x val="1.9323671497584575E-2"/>
                  <c:y val="-4.6296296296295903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Sheet1!$C$52:$D$52</c:f>
              <c:strCache>
                <c:ptCount val="2"/>
                <c:pt idx="0">
                  <c:v>2010.</c:v>
                </c:pt>
                <c:pt idx="1">
                  <c:v>2015.</c:v>
                </c:pt>
              </c:strCache>
            </c:strRef>
          </c:cat>
          <c:val>
            <c:numRef>
              <c:f>Sheet1!$C$58:$D$58</c:f>
              <c:numCache>
                <c:formatCode>0.0</c:formatCode>
                <c:ptCount val="2"/>
                <c:pt idx="1">
                  <c:v>45.151793991298533</c:v>
                </c:pt>
              </c:numCache>
            </c:numRef>
          </c:val>
        </c:ser>
        <c:dLbls>
          <c:showLegendKey val="0"/>
          <c:showVal val="0"/>
          <c:showCatName val="0"/>
          <c:showSerName val="0"/>
          <c:showPercent val="0"/>
          <c:showBubbleSize val="0"/>
        </c:dLbls>
        <c:gapWidth val="150"/>
        <c:shape val="box"/>
        <c:axId val="37420032"/>
        <c:axId val="37794560"/>
        <c:axId val="0"/>
      </c:bar3DChart>
      <c:catAx>
        <c:axId val="37420032"/>
        <c:scaling>
          <c:orientation val="minMax"/>
        </c:scaling>
        <c:delete val="0"/>
        <c:axPos val="b"/>
        <c:numFmt formatCode="General" sourceLinked="0"/>
        <c:majorTickMark val="out"/>
        <c:minorTickMark val="none"/>
        <c:tickLblPos val="nextTo"/>
        <c:txPr>
          <a:bodyPr rot="0" vert="horz"/>
          <a:lstStyle/>
          <a:p>
            <a:pPr>
              <a:defRPr/>
            </a:pPr>
            <a:endParaRPr lang="sr-Latn-RS"/>
          </a:p>
        </c:txPr>
        <c:crossAx val="37794560"/>
        <c:crosses val="autoZero"/>
        <c:auto val="1"/>
        <c:lblAlgn val="ctr"/>
        <c:lblOffset val="100"/>
        <c:noMultiLvlLbl val="0"/>
      </c:catAx>
      <c:valAx>
        <c:axId val="37794560"/>
        <c:scaling>
          <c:orientation val="minMax"/>
        </c:scaling>
        <c:delete val="1"/>
        <c:axPos val="l"/>
        <c:numFmt formatCode="0.0" sourceLinked="1"/>
        <c:majorTickMark val="out"/>
        <c:minorTickMark val="none"/>
        <c:tickLblPos val="nextTo"/>
        <c:crossAx val="37420032"/>
        <c:crosses val="autoZero"/>
        <c:crossBetween val="between"/>
      </c:valAx>
    </c:plotArea>
    <c:legend>
      <c:legendPos val="r"/>
      <c:overlay val="0"/>
      <c:txPr>
        <a:bodyPr/>
        <a:lstStyle/>
        <a:p>
          <a:pPr>
            <a:defRPr sz="800"/>
          </a:pPr>
          <a:endParaRPr lang="sr-Latn-RS"/>
        </a:p>
      </c:txPr>
    </c:legend>
    <c:plotVisOnly val="1"/>
    <c:dispBlanksAs val="gap"/>
    <c:showDLblsOverMax val="0"/>
  </c:chart>
  <c:spPr>
    <a:ln>
      <a:solidFill>
        <a:schemeClr val="tx1"/>
      </a:solidFill>
    </a:ln>
  </c:sp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bs-Latn-BA"/>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Sheet1!$B$122</c:f>
              <c:strCache>
                <c:ptCount val="1"/>
                <c:pt idx="0">
                  <c:v>Moždani udar (I63)</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Sheet1!$C$121:$D$121</c:f>
              <c:strCache>
                <c:ptCount val="2"/>
                <c:pt idx="0">
                  <c:v>2010.</c:v>
                </c:pt>
                <c:pt idx="1">
                  <c:v>2015.</c:v>
                </c:pt>
              </c:strCache>
            </c:strRef>
          </c:cat>
          <c:val>
            <c:numRef>
              <c:f>Sheet1!$C$122:$D$122</c:f>
              <c:numCache>
                <c:formatCode>0.0</c:formatCode>
                <c:ptCount val="2"/>
                <c:pt idx="0">
                  <c:v>96.081274538629629</c:v>
                </c:pt>
                <c:pt idx="1">
                  <c:v>105</c:v>
                </c:pt>
              </c:numCache>
            </c:numRef>
          </c:val>
        </c:ser>
        <c:ser>
          <c:idx val="1"/>
          <c:order val="1"/>
          <c:tx>
            <c:strRef>
              <c:f>Sheet1!$B$123</c:f>
              <c:strCache>
                <c:ptCount val="1"/>
                <c:pt idx="0">
                  <c:v>Kardiomiopatija (I42)</c:v>
                </c:pt>
              </c:strCache>
            </c:strRef>
          </c:tx>
          <c:invertIfNegative val="0"/>
          <c:dLbls>
            <c:dLbl>
              <c:idx val="0"/>
              <c:layout>
                <c:manualLayout>
                  <c:x val="-2.1680216802168048E-3"/>
                  <c:y val="0.18055555555555555"/>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0"/>
                  <c:y val="0.1388888888888889"/>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Sheet1!$C$121:$D$121</c:f>
              <c:strCache>
                <c:ptCount val="2"/>
                <c:pt idx="0">
                  <c:v>2010.</c:v>
                </c:pt>
                <c:pt idx="1">
                  <c:v>2015.</c:v>
                </c:pt>
              </c:strCache>
            </c:strRef>
          </c:cat>
          <c:val>
            <c:numRef>
              <c:f>Sheet1!$C$123:$D$123</c:f>
              <c:numCache>
                <c:formatCode>0.0</c:formatCode>
                <c:ptCount val="2"/>
                <c:pt idx="0">
                  <c:v>85.526574807272013</c:v>
                </c:pt>
                <c:pt idx="1">
                  <c:v>75.099999999999994</c:v>
                </c:pt>
              </c:numCache>
            </c:numRef>
          </c:val>
        </c:ser>
        <c:ser>
          <c:idx val="2"/>
          <c:order val="2"/>
          <c:tx>
            <c:strRef>
              <c:f>Sheet1!$B$124</c:f>
              <c:strCache>
                <c:ptCount val="1"/>
                <c:pt idx="0">
                  <c:v>Srčani zastoj (I46)</c:v>
                </c:pt>
              </c:strCache>
            </c:strRef>
          </c:tx>
          <c:invertIfNegative val="0"/>
          <c:dLbls>
            <c:dLbl>
              <c:idx val="0"/>
              <c:layout>
                <c:manualLayout>
                  <c:x val="-4.3360433604336139E-3"/>
                  <c:y val="0.23611111111111124"/>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0"/>
                  <c:y val="0.20370370370370369"/>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Sheet1!$C$121:$D$121</c:f>
              <c:strCache>
                <c:ptCount val="2"/>
                <c:pt idx="0">
                  <c:v>2010.</c:v>
                </c:pt>
                <c:pt idx="1">
                  <c:v>2015.</c:v>
                </c:pt>
              </c:strCache>
            </c:strRef>
          </c:cat>
          <c:val>
            <c:numRef>
              <c:f>Sheet1!$C$124:$D$124</c:f>
              <c:numCache>
                <c:formatCode>0.0</c:formatCode>
                <c:ptCount val="2"/>
                <c:pt idx="0">
                  <c:v>82.008341563485786</c:v>
                </c:pt>
                <c:pt idx="1">
                  <c:v>74.099999999999994</c:v>
                </c:pt>
              </c:numCache>
            </c:numRef>
          </c:val>
        </c:ser>
        <c:ser>
          <c:idx val="3"/>
          <c:order val="3"/>
          <c:tx>
            <c:strRef>
              <c:f>Sheet1!$B$125</c:f>
              <c:strCache>
                <c:ptCount val="1"/>
                <c:pt idx="0">
                  <c:v>Akutni infarkt miokarda (I21)</c:v>
                </c:pt>
              </c:strCache>
            </c:strRef>
          </c:tx>
          <c:invertIfNegative val="0"/>
          <c:dLbls>
            <c:dLbl>
              <c:idx val="0"/>
              <c:layout>
                <c:manualLayout>
                  <c:x val="-2.1680216802168048E-3"/>
                  <c:y val="0.16666666666666666"/>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0"/>
                  <c:y val="0.2916666666666670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Sheet1!$C$121:$D$121</c:f>
              <c:strCache>
                <c:ptCount val="2"/>
                <c:pt idx="0">
                  <c:v>2010.</c:v>
                </c:pt>
                <c:pt idx="1">
                  <c:v>2015.</c:v>
                </c:pt>
              </c:strCache>
            </c:strRef>
          </c:cat>
          <c:val>
            <c:numRef>
              <c:f>Sheet1!$C$125:$D$125</c:f>
              <c:numCache>
                <c:formatCode>0.0</c:formatCode>
                <c:ptCount val="2"/>
                <c:pt idx="0">
                  <c:v>55.705359693277082</c:v>
                </c:pt>
                <c:pt idx="1">
                  <c:v>75</c:v>
                </c:pt>
              </c:numCache>
            </c:numRef>
          </c:val>
        </c:ser>
        <c:ser>
          <c:idx val="4"/>
          <c:order val="4"/>
          <c:tx>
            <c:strRef>
              <c:f>Sheet1!$B$126</c:f>
              <c:strCache>
                <c:ptCount val="1"/>
                <c:pt idx="0">
                  <c:v>Inzulin-ovisni diabetes mellitus (E10)</c:v>
                </c:pt>
              </c:strCache>
            </c:strRef>
          </c:tx>
          <c:invertIfNegative val="0"/>
          <c:dLbls>
            <c:dLbl>
              <c:idx val="0"/>
              <c:layout>
                <c:manualLayout>
                  <c:x val="0"/>
                  <c:y val="0.12962962962962937"/>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Sheet1!$C$121:$D$121</c:f>
              <c:strCache>
                <c:ptCount val="2"/>
                <c:pt idx="0">
                  <c:v>2010.</c:v>
                </c:pt>
                <c:pt idx="1">
                  <c:v>2015.</c:v>
                </c:pt>
              </c:strCache>
            </c:strRef>
          </c:cat>
          <c:val>
            <c:numRef>
              <c:f>Sheet1!$C$126:$D$126</c:f>
              <c:numCache>
                <c:formatCode>General</c:formatCode>
                <c:ptCount val="2"/>
                <c:pt idx="0" formatCode="0.0">
                  <c:v>34.093355481449279</c:v>
                </c:pt>
              </c:numCache>
            </c:numRef>
          </c:val>
        </c:ser>
        <c:ser>
          <c:idx val="5"/>
          <c:order val="5"/>
          <c:tx>
            <c:strRef>
              <c:f>Sheet1!$B$127</c:f>
              <c:strCache>
                <c:ptCount val="1"/>
                <c:pt idx="0">
                  <c:v>Esencijalna hipertenzija (I10)</c:v>
                </c:pt>
              </c:strCache>
            </c:strRef>
          </c:tx>
          <c:invertIfNegative val="0"/>
          <c:dLbls>
            <c:dLbl>
              <c:idx val="1"/>
              <c:layout>
                <c:manualLayout>
                  <c:x val="4.3360433604336139E-3"/>
                  <c:y val="0.1574074074074078"/>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Sheet1!$C$121:$D$121</c:f>
              <c:strCache>
                <c:ptCount val="2"/>
                <c:pt idx="0">
                  <c:v>2010.</c:v>
                </c:pt>
                <c:pt idx="1">
                  <c:v>2015.</c:v>
                </c:pt>
              </c:strCache>
            </c:strRef>
          </c:cat>
          <c:val>
            <c:numRef>
              <c:f>Sheet1!$C$127:$D$127</c:f>
              <c:numCache>
                <c:formatCode>0.0</c:formatCode>
                <c:ptCount val="2"/>
                <c:pt idx="1">
                  <c:v>55.1</c:v>
                </c:pt>
              </c:numCache>
            </c:numRef>
          </c:val>
        </c:ser>
        <c:dLbls>
          <c:showLegendKey val="0"/>
          <c:showVal val="0"/>
          <c:showCatName val="0"/>
          <c:showSerName val="0"/>
          <c:showPercent val="0"/>
          <c:showBubbleSize val="0"/>
        </c:dLbls>
        <c:gapWidth val="150"/>
        <c:shape val="box"/>
        <c:axId val="37829632"/>
        <c:axId val="37856000"/>
        <c:axId val="0"/>
      </c:bar3DChart>
      <c:catAx>
        <c:axId val="37829632"/>
        <c:scaling>
          <c:orientation val="minMax"/>
        </c:scaling>
        <c:delete val="0"/>
        <c:axPos val="b"/>
        <c:numFmt formatCode="General" sourceLinked="0"/>
        <c:majorTickMark val="out"/>
        <c:minorTickMark val="none"/>
        <c:tickLblPos val="nextTo"/>
        <c:txPr>
          <a:bodyPr rot="0" vert="horz"/>
          <a:lstStyle/>
          <a:p>
            <a:pPr>
              <a:defRPr/>
            </a:pPr>
            <a:endParaRPr lang="sr-Latn-RS"/>
          </a:p>
        </c:txPr>
        <c:crossAx val="37856000"/>
        <c:crosses val="autoZero"/>
        <c:auto val="1"/>
        <c:lblAlgn val="ctr"/>
        <c:lblOffset val="100"/>
        <c:noMultiLvlLbl val="0"/>
      </c:catAx>
      <c:valAx>
        <c:axId val="37856000"/>
        <c:scaling>
          <c:orientation val="minMax"/>
        </c:scaling>
        <c:delete val="1"/>
        <c:axPos val="l"/>
        <c:numFmt formatCode="0.0" sourceLinked="1"/>
        <c:majorTickMark val="out"/>
        <c:minorTickMark val="none"/>
        <c:tickLblPos val="nextTo"/>
        <c:crossAx val="37829632"/>
        <c:crosses val="autoZero"/>
        <c:crossBetween val="between"/>
      </c:valAx>
    </c:plotArea>
    <c:legend>
      <c:legendPos val="r"/>
      <c:overlay val="0"/>
    </c:legend>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bs-Latn-BA"/>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Sheet1!$B$84</c:f>
              <c:strCache>
                <c:ptCount val="1"/>
                <c:pt idx="0">
                  <c:v>Moždani udar (I63)</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Sheet1!$C$83:$D$83</c:f>
              <c:strCache>
                <c:ptCount val="2"/>
                <c:pt idx="0">
                  <c:v>2010.</c:v>
                </c:pt>
                <c:pt idx="1">
                  <c:v>2015.</c:v>
                </c:pt>
              </c:strCache>
            </c:strRef>
          </c:cat>
          <c:val>
            <c:numRef>
              <c:f>Sheet1!$C$84:$D$84</c:f>
              <c:numCache>
                <c:formatCode>0.0</c:formatCode>
                <c:ptCount val="2"/>
                <c:pt idx="0">
                  <c:v>83.487851424844763</c:v>
                </c:pt>
                <c:pt idx="1">
                  <c:v>66.301891157848559</c:v>
                </c:pt>
              </c:numCache>
            </c:numRef>
          </c:val>
        </c:ser>
        <c:ser>
          <c:idx val="1"/>
          <c:order val="1"/>
          <c:tx>
            <c:strRef>
              <c:f>Sheet1!$B$85</c:f>
              <c:strCache>
                <c:ptCount val="1"/>
                <c:pt idx="0">
                  <c:v>Akutni infarkt miokarda (I21)</c:v>
                </c:pt>
              </c:strCache>
            </c:strRef>
          </c:tx>
          <c:invertIfNegative val="0"/>
          <c:dLbls>
            <c:dLbl>
              <c:idx val="0"/>
              <c:layout>
                <c:manualLayout>
                  <c:x val="-8.771929824561403E-3"/>
                  <c:y val="0.12078941351843214"/>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Sheet1!$C$83:$D$83</c:f>
              <c:strCache>
                <c:ptCount val="2"/>
                <c:pt idx="0">
                  <c:v>2010.</c:v>
                </c:pt>
                <c:pt idx="1">
                  <c:v>2015.</c:v>
                </c:pt>
              </c:strCache>
            </c:strRef>
          </c:cat>
          <c:val>
            <c:numRef>
              <c:f>Sheet1!$C$85:$D$85</c:f>
              <c:numCache>
                <c:formatCode>0.0</c:formatCode>
                <c:ptCount val="2"/>
                <c:pt idx="0">
                  <c:v>83.313007756939172</c:v>
                </c:pt>
                <c:pt idx="1">
                  <c:v>104.28734963369931</c:v>
                </c:pt>
              </c:numCache>
            </c:numRef>
          </c:val>
        </c:ser>
        <c:ser>
          <c:idx val="2"/>
          <c:order val="2"/>
          <c:tx>
            <c:strRef>
              <c:f>Sheet1!$B$86</c:f>
              <c:strCache>
                <c:ptCount val="1"/>
                <c:pt idx="0">
                  <c:v>Kardiomiopatija (I42)</c:v>
                </c:pt>
              </c:strCache>
            </c:strRef>
          </c:tx>
          <c:invertIfNegative val="0"/>
          <c:dLbls>
            <c:dLbl>
              <c:idx val="0"/>
              <c:layout>
                <c:manualLayout>
                  <c:x val="2.1929824561403512E-3"/>
                  <c:y val="0.15795586527293859"/>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1929824561403512E-3"/>
                  <c:y val="0.15795586527293881"/>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Sheet1!$C$83:$D$83</c:f>
              <c:strCache>
                <c:ptCount val="2"/>
                <c:pt idx="0">
                  <c:v>2010.</c:v>
                </c:pt>
                <c:pt idx="1">
                  <c:v>2015.</c:v>
                </c:pt>
              </c:strCache>
            </c:strRef>
          </c:cat>
          <c:val>
            <c:numRef>
              <c:f>Sheet1!$C$86:$D$86</c:f>
              <c:numCache>
                <c:formatCode>0.0</c:formatCode>
                <c:ptCount val="2"/>
                <c:pt idx="0">
                  <c:v>71.598482007275251</c:v>
                </c:pt>
                <c:pt idx="1">
                  <c:v>52.834319516410574</c:v>
                </c:pt>
              </c:numCache>
            </c:numRef>
          </c:val>
        </c:ser>
        <c:ser>
          <c:idx val="3"/>
          <c:order val="3"/>
          <c:tx>
            <c:strRef>
              <c:f>Sheet1!$B$87</c:f>
              <c:strCache>
                <c:ptCount val="1"/>
                <c:pt idx="0">
                  <c:v>Maligne neoplazme bronha i pluća (C34)</c:v>
                </c:pt>
              </c:strCache>
            </c:strRef>
          </c:tx>
          <c:invertIfNegative val="0"/>
          <c:dLbls>
            <c:dLbl>
              <c:idx val="0"/>
              <c:layout>
                <c:manualLayout>
                  <c:x val="2.1929824561403512E-3"/>
                  <c:y val="0.22764227642276424"/>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0"/>
                  <c:y val="0.13008130081300814"/>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Sheet1!$C$83:$D$83</c:f>
              <c:strCache>
                <c:ptCount val="2"/>
                <c:pt idx="0">
                  <c:v>2010.</c:v>
                </c:pt>
                <c:pt idx="1">
                  <c:v>2015.</c:v>
                </c:pt>
              </c:strCache>
            </c:strRef>
          </c:cat>
          <c:val>
            <c:numRef>
              <c:f>Sheet1!$C$87:$D$87</c:f>
              <c:numCache>
                <c:formatCode>0.0</c:formatCode>
                <c:ptCount val="2"/>
                <c:pt idx="0">
                  <c:v>70.024888996126066</c:v>
                </c:pt>
                <c:pt idx="1">
                  <c:v>66.301891157848559</c:v>
                </c:pt>
              </c:numCache>
            </c:numRef>
          </c:val>
        </c:ser>
        <c:ser>
          <c:idx val="4"/>
          <c:order val="4"/>
          <c:tx>
            <c:strRef>
              <c:f>Sheet1!$B$88</c:f>
              <c:strCache>
                <c:ptCount val="1"/>
                <c:pt idx="0">
                  <c:v>Srčani zastoj (I46)</c:v>
                </c:pt>
              </c:strCache>
            </c:strRef>
          </c:tx>
          <c:invertIfNegative val="0"/>
          <c:dLbls>
            <c:dLbl>
              <c:idx val="0"/>
              <c:layout>
                <c:manualLayout>
                  <c:x val="2.1929824561403512E-3"/>
                  <c:y val="0.31126596980255583"/>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6.5789473684210523E-3"/>
                  <c:y val="0.24622531939605125"/>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Sheet1!$C$83:$D$83</c:f>
              <c:strCache>
                <c:ptCount val="2"/>
                <c:pt idx="0">
                  <c:v>2010.</c:v>
                </c:pt>
                <c:pt idx="1">
                  <c:v>2015.</c:v>
                </c:pt>
              </c:strCache>
            </c:strRef>
          </c:cat>
          <c:val>
            <c:numRef>
              <c:f>Sheet1!$C$88:$D$88</c:f>
              <c:numCache>
                <c:formatCode>0.0</c:formatCode>
                <c:ptCount val="2"/>
                <c:pt idx="0">
                  <c:v>69.063248822646358</c:v>
                </c:pt>
                <c:pt idx="1">
                  <c:v>65.4385852833976</c:v>
                </c:pt>
              </c:numCache>
            </c:numRef>
          </c:val>
        </c:ser>
        <c:dLbls>
          <c:showLegendKey val="0"/>
          <c:showVal val="0"/>
          <c:showCatName val="0"/>
          <c:showSerName val="0"/>
          <c:showPercent val="0"/>
          <c:showBubbleSize val="0"/>
        </c:dLbls>
        <c:gapWidth val="150"/>
        <c:shape val="box"/>
        <c:axId val="37902208"/>
        <c:axId val="37903744"/>
        <c:axId val="0"/>
      </c:bar3DChart>
      <c:catAx>
        <c:axId val="37902208"/>
        <c:scaling>
          <c:orientation val="minMax"/>
        </c:scaling>
        <c:delete val="0"/>
        <c:axPos val="b"/>
        <c:numFmt formatCode="General" sourceLinked="0"/>
        <c:majorTickMark val="out"/>
        <c:minorTickMark val="none"/>
        <c:tickLblPos val="nextTo"/>
        <c:txPr>
          <a:bodyPr rot="0" vert="horz"/>
          <a:lstStyle/>
          <a:p>
            <a:pPr>
              <a:defRPr/>
            </a:pPr>
            <a:endParaRPr lang="sr-Latn-RS"/>
          </a:p>
        </c:txPr>
        <c:crossAx val="37903744"/>
        <c:crosses val="autoZero"/>
        <c:auto val="1"/>
        <c:lblAlgn val="ctr"/>
        <c:lblOffset val="100"/>
        <c:noMultiLvlLbl val="0"/>
      </c:catAx>
      <c:valAx>
        <c:axId val="37903744"/>
        <c:scaling>
          <c:orientation val="minMax"/>
        </c:scaling>
        <c:delete val="1"/>
        <c:axPos val="l"/>
        <c:numFmt formatCode="0.0" sourceLinked="1"/>
        <c:majorTickMark val="out"/>
        <c:minorTickMark val="none"/>
        <c:tickLblPos val="nextTo"/>
        <c:crossAx val="37902208"/>
        <c:crosses val="autoZero"/>
        <c:crossBetween val="between"/>
      </c:valAx>
    </c:plotArea>
    <c:legend>
      <c:legendPos val="r"/>
      <c:overlay val="0"/>
      <c:txPr>
        <a:bodyPr/>
        <a:lstStyle/>
        <a:p>
          <a:pPr>
            <a:defRPr sz="800"/>
          </a:pPr>
          <a:endParaRPr lang="sr-Latn-RS"/>
        </a:p>
      </c:txPr>
    </c:legend>
    <c:plotVisOnly val="1"/>
    <c:dispBlanksAs val="gap"/>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bs-Latn-BA"/>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ukupno!$B$19</c:f>
              <c:strCache>
                <c:ptCount val="1"/>
                <c:pt idx="0">
                  <c:v>Moždani udar (I63)</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ukupno!$C$18:$D$18</c:f>
              <c:strCache>
                <c:ptCount val="2"/>
                <c:pt idx="0">
                  <c:v>2010.</c:v>
                </c:pt>
                <c:pt idx="1">
                  <c:v>2015.</c:v>
                </c:pt>
              </c:strCache>
            </c:strRef>
          </c:cat>
          <c:val>
            <c:numRef>
              <c:f>ukupno!$C$19:$D$19</c:f>
              <c:numCache>
                <c:formatCode>0.0</c:formatCode>
                <c:ptCount val="2"/>
                <c:pt idx="0" formatCode="General">
                  <c:v>89.9</c:v>
                </c:pt>
                <c:pt idx="1">
                  <c:v>93.430799520894055</c:v>
                </c:pt>
              </c:numCache>
            </c:numRef>
          </c:val>
        </c:ser>
        <c:ser>
          <c:idx val="1"/>
          <c:order val="1"/>
          <c:tx>
            <c:strRef>
              <c:f>ukupno!$B$20</c:f>
              <c:strCache>
                <c:ptCount val="1"/>
                <c:pt idx="0">
                  <c:v>Kardiomiopatija (I42)</c:v>
                </c:pt>
              </c:strCache>
            </c:strRef>
          </c:tx>
          <c:invertIfNegative val="0"/>
          <c:dLbls>
            <c:dLbl>
              <c:idx val="0"/>
              <c:layout>
                <c:manualLayout>
                  <c:x val="0"/>
                  <c:y val="0.1574074074074078"/>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4.3931905546403084E-3"/>
                  <c:y val="0.21759259259259287"/>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ukupno!$C$18:$D$18</c:f>
              <c:strCache>
                <c:ptCount val="2"/>
                <c:pt idx="0">
                  <c:v>2010.</c:v>
                </c:pt>
                <c:pt idx="1">
                  <c:v>2015.</c:v>
                </c:pt>
              </c:strCache>
            </c:strRef>
          </c:cat>
          <c:val>
            <c:numRef>
              <c:f>ukupno!$C$20:$D$20</c:f>
              <c:numCache>
                <c:formatCode>0.0</c:formatCode>
                <c:ptCount val="2"/>
                <c:pt idx="0" formatCode="General">
                  <c:v>78.7</c:v>
                </c:pt>
                <c:pt idx="1">
                  <c:v>64.043578763749011</c:v>
                </c:pt>
              </c:numCache>
            </c:numRef>
          </c:val>
        </c:ser>
        <c:ser>
          <c:idx val="2"/>
          <c:order val="2"/>
          <c:tx>
            <c:strRef>
              <c:f>ukupno!$B$21</c:f>
              <c:strCache>
                <c:ptCount val="1"/>
                <c:pt idx="0">
                  <c:v>Srčani zastoj (I46)</c:v>
                </c:pt>
              </c:strCache>
            </c:strRef>
          </c:tx>
          <c:invertIfNegative val="0"/>
          <c:dLbls>
            <c:dLbl>
              <c:idx val="0"/>
              <c:layout>
                <c:manualLayout>
                  <c:x val="6.5897858319604614E-3"/>
                  <c:y val="0.18981481481481491"/>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0"/>
                  <c:y val="0.125"/>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ukupno!$C$18:$D$18</c:f>
              <c:strCache>
                <c:ptCount val="2"/>
                <c:pt idx="0">
                  <c:v>2010.</c:v>
                </c:pt>
                <c:pt idx="1">
                  <c:v>2015.</c:v>
                </c:pt>
              </c:strCache>
            </c:strRef>
          </c:cat>
          <c:val>
            <c:numRef>
              <c:f>ukupno!$C$21:$D$21</c:f>
              <c:numCache>
                <c:formatCode>0.0</c:formatCode>
                <c:ptCount val="2"/>
                <c:pt idx="0" formatCode="General">
                  <c:v>75.7</c:v>
                </c:pt>
                <c:pt idx="1">
                  <c:v>69.826778183886617</c:v>
                </c:pt>
              </c:numCache>
            </c:numRef>
          </c:val>
        </c:ser>
        <c:ser>
          <c:idx val="3"/>
          <c:order val="3"/>
          <c:tx>
            <c:strRef>
              <c:f>ukupno!$B$22</c:f>
              <c:strCache>
                <c:ptCount val="1"/>
                <c:pt idx="0">
                  <c:v>Akutni infarkt miokarda (I21)</c:v>
                </c:pt>
              </c:strCache>
            </c:strRef>
          </c:tx>
          <c:invertIfNegative val="0"/>
          <c:dLbls>
            <c:dLbl>
              <c:idx val="0"/>
              <c:layout>
                <c:manualLayout>
                  <c:x val="6.5897858319604614E-3"/>
                  <c:y val="0.22685185185185178"/>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1965952773201577E-3"/>
                  <c:y val="0.1203703703703704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ukupno!$C$18:$D$18</c:f>
              <c:strCache>
                <c:ptCount val="2"/>
                <c:pt idx="0">
                  <c:v>2010.</c:v>
                </c:pt>
                <c:pt idx="1">
                  <c:v>2015.</c:v>
                </c:pt>
              </c:strCache>
            </c:strRef>
          </c:cat>
          <c:val>
            <c:numRef>
              <c:f>ukupno!$C$22:$D$22</c:f>
              <c:numCache>
                <c:formatCode>0.0</c:formatCode>
                <c:ptCount val="2"/>
                <c:pt idx="0" formatCode="General">
                  <c:v>69.2</c:v>
                </c:pt>
                <c:pt idx="1">
                  <c:v>89.532494726578889</c:v>
                </c:pt>
              </c:numCache>
            </c:numRef>
          </c:val>
        </c:ser>
        <c:ser>
          <c:idx val="4"/>
          <c:order val="4"/>
          <c:tx>
            <c:strRef>
              <c:f>ukupno!$B$23</c:f>
              <c:strCache>
                <c:ptCount val="1"/>
                <c:pt idx="0">
                  <c:v>Hipertenzija (I10)</c:v>
                </c:pt>
              </c:strCache>
            </c:strRef>
          </c:tx>
          <c:invertIfNegative val="0"/>
          <c:dLbls>
            <c:dLbl>
              <c:idx val="0"/>
              <c:layout>
                <c:manualLayout>
                  <c:x val="0"/>
                  <c:y val="0.13425925925925936"/>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0"/>
                  <c:y val="0.1435185185185185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ukupno!$C$18:$D$18</c:f>
              <c:strCache>
                <c:ptCount val="2"/>
                <c:pt idx="0">
                  <c:v>2010.</c:v>
                </c:pt>
                <c:pt idx="1">
                  <c:v>2015.</c:v>
                </c:pt>
              </c:strCache>
            </c:strRef>
          </c:cat>
          <c:val>
            <c:numRef>
              <c:f>ukupno!$C$23:$D$23</c:f>
              <c:numCache>
                <c:formatCode>0.0</c:formatCode>
                <c:ptCount val="2"/>
                <c:pt idx="0" formatCode="General">
                  <c:v>24.5</c:v>
                </c:pt>
                <c:pt idx="1">
                  <c:v>45.151793991298568</c:v>
                </c:pt>
              </c:numCache>
            </c:numRef>
          </c:val>
        </c:ser>
        <c:dLbls>
          <c:showLegendKey val="0"/>
          <c:showVal val="0"/>
          <c:showCatName val="0"/>
          <c:showSerName val="0"/>
          <c:showPercent val="0"/>
          <c:showBubbleSize val="0"/>
        </c:dLbls>
        <c:gapWidth val="150"/>
        <c:shape val="box"/>
        <c:axId val="37974784"/>
        <c:axId val="37976320"/>
        <c:axId val="0"/>
      </c:bar3DChart>
      <c:catAx>
        <c:axId val="37974784"/>
        <c:scaling>
          <c:orientation val="minMax"/>
        </c:scaling>
        <c:delete val="0"/>
        <c:axPos val="b"/>
        <c:numFmt formatCode="General" sourceLinked="0"/>
        <c:majorTickMark val="out"/>
        <c:minorTickMark val="none"/>
        <c:tickLblPos val="nextTo"/>
        <c:crossAx val="37976320"/>
        <c:crosses val="autoZero"/>
        <c:auto val="1"/>
        <c:lblAlgn val="ctr"/>
        <c:lblOffset val="100"/>
        <c:noMultiLvlLbl val="0"/>
      </c:catAx>
      <c:valAx>
        <c:axId val="37976320"/>
        <c:scaling>
          <c:orientation val="minMax"/>
        </c:scaling>
        <c:delete val="1"/>
        <c:axPos val="l"/>
        <c:numFmt formatCode="General" sourceLinked="1"/>
        <c:majorTickMark val="out"/>
        <c:minorTickMark val="none"/>
        <c:tickLblPos val="nextTo"/>
        <c:crossAx val="37974784"/>
        <c:crosses val="autoZero"/>
        <c:crossBetween val="between"/>
      </c:valAx>
    </c:plotArea>
    <c:legend>
      <c:legendPos val="r"/>
      <c:overlay val="0"/>
    </c:legend>
    <c:plotVisOnly val="1"/>
    <c:dispBlanksAs val="gap"/>
    <c:showDLblsOverMax val="0"/>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bs-Latn-B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'vodeći po polu'!$C$46</c:f>
              <c:strCache>
                <c:ptCount val="1"/>
                <c:pt idx="0">
                  <c:v>Muškarci</c:v>
                </c:pt>
              </c:strCache>
            </c:strRef>
          </c:tx>
          <c:invertIfNegative val="0"/>
          <c:dLbls>
            <c:spPr>
              <a:noFill/>
              <a:ln>
                <a:noFill/>
              </a:ln>
              <a:effectLst/>
            </c:spPr>
            <c:txPr>
              <a:bodyPr/>
              <a:lstStyle/>
              <a:p>
                <a:pPr>
                  <a:defRPr lang="en-US"/>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'vodeći po polu'!$B$47:$B$51</c:f>
              <c:strCache>
                <c:ptCount val="5"/>
                <c:pt idx="0">
                  <c:v>Akutni infarkt miokarda (I21)</c:v>
                </c:pt>
                <c:pt idx="1">
                  <c:v>Moždani udar (I63)</c:v>
                </c:pt>
                <c:pt idx="2">
                  <c:v>Srčani zastoj (I46)</c:v>
                </c:pt>
                <c:pt idx="3">
                  <c:v>Kardiomiopatija (I42)</c:v>
                </c:pt>
                <c:pt idx="4">
                  <c:v>Hipertenzija (I10)</c:v>
                </c:pt>
              </c:strCache>
            </c:strRef>
          </c:cat>
          <c:val>
            <c:numRef>
              <c:f>'vodeći po polu'!$C$47:$C$51</c:f>
              <c:numCache>
                <c:formatCode>0.0</c:formatCode>
                <c:ptCount val="5"/>
                <c:pt idx="0">
                  <c:v>104.28734963369932</c:v>
                </c:pt>
                <c:pt idx="1">
                  <c:v>80.891760436073056</c:v>
                </c:pt>
                <c:pt idx="2">
                  <c:v>65.438585283397416</c:v>
                </c:pt>
                <c:pt idx="3">
                  <c:v>52.834319516410581</c:v>
                </c:pt>
                <c:pt idx="4">
                  <c:v>35.050218502716824</c:v>
                </c:pt>
              </c:numCache>
            </c:numRef>
          </c:val>
        </c:ser>
        <c:ser>
          <c:idx val="1"/>
          <c:order val="1"/>
          <c:tx>
            <c:strRef>
              <c:f>'vodeći po polu'!$D$46</c:f>
              <c:strCache>
                <c:ptCount val="1"/>
                <c:pt idx="0">
                  <c:v>Žene</c:v>
                </c:pt>
              </c:strCache>
            </c:strRef>
          </c:tx>
          <c:invertIfNegative val="0"/>
          <c:dLbls>
            <c:spPr>
              <a:noFill/>
              <a:ln>
                <a:noFill/>
              </a:ln>
              <a:effectLst/>
            </c:spPr>
            <c:txPr>
              <a:bodyPr/>
              <a:lstStyle/>
              <a:p>
                <a:pPr>
                  <a:defRPr lang="en-US"/>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'vodeći po polu'!$B$47:$B$51</c:f>
              <c:strCache>
                <c:ptCount val="5"/>
                <c:pt idx="0">
                  <c:v>Akutni infarkt miokarda (I21)</c:v>
                </c:pt>
                <c:pt idx="1">
                  <c:v>Moždani udar (I63)</c:v>
                </c:pt>
                <c:pt idx="2">
                  <c:v>Srčani zastoj (I46)</c:v>
                </c:pt>
                <c:pt idx="3">
                  <c:v>Kardiomiopatija (I42)</c:v>
                </c:pt>
                <c:pt idx="4">
                  <c:v>Hipertenzija (I10)</c:v>
                </c:pt>
              </c:strCache>
            </c:strRef>
          </c:cat>
          <c:val>
            <c:numRef>
              <c:f>'vodeći po polu'!$D$47:$D$51</c:f>
              <c:numCache>
                <c:formatCode>0.0</c:formatCode>
                <c:ptCount val="5"/>
                <c:pt idx="0">
                  <c:v>74.999362250320999</c:v>
                </c:pt>
                <c:pt idx="1">
                  <c:v>105.78141342335525</c:v>
                </c:pt>
                <c:pt idx="2">
                  <c:v>74.149029344988563</c:v>
                </c:pt>
                <c:pt idx="3">
                  <c:v>75.084395540854246</c:v>
                </c:pt>
                <c:pt idx="4">
                  <c:v>55.101572265541961</c:v>
                </c:pt>
              </c:numCache>
            </c:numRef>
          </c:val>
        </c:ser>
        <c:dLbls>
          <c:showLegendKey val="0"/>
          <c:showVal val="0"/>
          <c:showCatName val="0"/>
          <c:showSerName val="0"/>
          <c:showPercent val="0"/>
          <c:showBubbleSize val="0"/>
        </c:dLbls>
        <c:gapWidth val="150"/>
        <c:axId val="38010240"/>
        <c:axId val="38016128"/>
      </c:barChart>
      <c:catAx>
        <c:axId val="38010240"/>
        <c:scaling>
          <c:orientation val="minMax"/>
        </c:scaling>
        <c:delete val="0"/>
        <c:axPos val="b"/>
        <c:numFmt formatCode="General" sourceLinked="0"/>
        <c:majorTickMark val="out"/>
        <c:minorTickMark val="none"/>
        <c:tickLblPos val="nextTo"/>
        <c:txPr>
          <a:bodyPr rot="0" vert="horz"/>
          <a:lstStyle/>
          <a:p>
            <a:pPr>
              <a:defRPr lang="en-US"/>
            </a:pPr>
            <a:endParaRPr lang="sr-Latn-RS"/>
          </a:p>
        </c:txPr>
        <c:crossAx val="38016128"/>
        <c:crosses val="autoZero"/>
        <c:auto val="1"/>
        <c:lblAlgn val="ctr"/>
        <c:lblOffset val="100"/>
        <c:noMultiLvlLbl val="0"/>
      </c:catAx>
      <c:valAx>
        <c:axId val="38016128"/>
        <c:scaling>
          <c:orientation val="minMax"/>
        </c:scaling>
        <c:delete val="0"/>
        <c:axPos val="l"/>
        <c:majorGridlines/>
        <c:numFmt formatCode="0.0" sourceLinked="1"/>
        <c:majorTickMark val="out"/>
        <c:minorTickMark val="none"/>
        <c:tickLblPos val="nextTo"/>
        <c:txPr>
          <a:bodyPr/>
          <a:lstStyle/>
          <a:p>
            <a:pPr>
              <a:defRPr lang="en-US"/>
            </a:pPr>
            <a:endParaRPr lang="sr-Latn-RS"/>
          </a:p>
        </c:txPr>
        <c:crossAx val="38010240"/>
        <c:crosses val="autoZero"/>
        <c:crossBetween val="between"/>
      </c:valAx>
    </c:plotArea>
    <c:legend>
      <c:legendPos val="r"/>
      <c:overlay val="0"/>
      <c:txPr>
        <a:bodyPr/>
        <a:lstStyle/>
        <a:p>
          <a:pPr>
            <a:defRPr lang="en-US"/>
          </a:pPr>
          <a:endParaRPr lang="sr-Latn-RS"/>
        </a:p>
      </c:txPr>
    </c:legend>
    <c:plotVisOnly val="1"/>
    <c:dispBlanksAs val="gap"/>
    <c:showDLblsOverMax val="0"/>
  </c:chart>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bs-Latn-B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cked"/>
        <c:varyColors val="0"/>
        <c:ser>
          <c:idx val="0"/>
          <c:order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'SDR M.N'!$B$16:$B$21</c:f>
              <c:strCache>
                <c:ptCount val="6"/>
                <c:pt idx="0">
                  <c:v>2010.</c:v>
                </c:pt>
                <c:pt idx="1">
                  <c:v>2011.</c:v>
                </c:pt>
                <c:pt idx="2">
                  <c:v>2012.</c:v>
                </c:pt>
                <c:pt idx="3">
                  <c:v>2013.</c:v>
                </c:pt>
                <c:pt idx="4">
                  <c:v>2014.</c:v>
                </c:pt>
                <c:pt idx="5">
                  <c:v>2015.</c:v>
                </c:pt>
              </c:strCache>
            </c:strRef>
          </c:cat>
          <c:val>
            <c:numRef>
              <c:f>'SDR M.N'!$C$16:$C$21</c:f>
              <c:numCache>
                <c:formatCode>General</c:formatCode>
                <c:ptCount val="6"/>
                <c:pt idx="0">
                  <c:v>151.5</c:v>
                </c:pt>
                <c:pt idx="1">
                  <c:v>154.6</c:v>
                </c:pt>
                <c:pt idx="2">
                  <c:v>162.6</c:v>
                </c:pt>
                <c:pt idx="3">
                  <c:v>153.6</c:v>
                </c:pt>
                <c:pt idx="4">
                  <c:v>159.6</c:v>
                </c:pt>
                <c:pt idx="5">
                  <c:v>164.1</c:v>
                </c:pt>
              </c:numCache>
            </c:numRef>
          </c:val>
          <c:smooth val="0"/>
        </c:ser>
        <c:dLbls>
          <c:showLegendKey val="0"/>
          <c:showVal val="0"/>
          <c:showCatName val="0"/>
          <c:showSerName val="0"/>
          <c:showPercent val="0"/>
          <c:showBubbleSize val="0"/>
        </c:dLbls>
        <c:marker val="1"/>
        <c:smooth val="0"/>
        <c:axId val="37573376"/>
        <c:axId val="37574912"/>
      </c:lineChart>
      <c:catAx>
        <c:axId val="37573376"/>
        <c:scaling>
          <c:orientation val="minMax"/>
        </c:scaling>
        <c:delete val="0"/>
        <c:axPos val="b"/>
        <c:numFmt formatCode="General" sourceLinked="0"/>
        <c:majorTickMark val="out"/>
        <c:minorTickMark val="none"/>
        <c:tickLblPos val="nextTo"/>
        <c:crossAx val="37574912"/>
        <c:crosses val="autoZero"/>
        <c:auto val="1"/>
        <c:lblAlgn val="ctr"/>
        <c:lblOffset val="100"/>
        <c:noMultiLvlLbl val="0"/>
      </c:catAx>
      <c:valAx>
        <c:axId val="37574912"/>
        <c:scaling>
          <c:orientation val="minMax"/>
        </c:scaling>
        <c:delete val="0"/>
        <c:axPos val="l"/>
        <c:numFmt formatCode="General" sourceLinked="1"/>
        <c:majorTickMark val="out"/>
        <c:minorTickMark val="none"/>
        <c:tickLblPos val="nextTo"/>
        <c:crossAx val="37573376"/>
        <c:crosses val="autoZero"/>
        <c:crossBetween val="between"/>
      </c:valAx>
    </c:plotArea>
    <c:plotVisOnly val="1"/>
    <c:dispBlanksAs val="zero"/>
    <c:showDLblsOverMax val="0"/>
  </c:chart>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bs-Latn-BA"/>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barChart>
        <c:barDir val="col"/>
        <c:grouping val="clustered"/>
        <c:varyColors val="0"/>
        <c:ser>
          <c:idx val="0"/>
          <c:order val="0"/>
          <c:tx>
            <c:strRef>
              <c:f>ukupno!$B$23</c:f>
              <c:strCache>
                <c:ptCount val="1"/>
                <c:pt idx="0">
                  <c:v>Bronha i pluća (C34)</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ukupno!$C$22:$D$22</c:f>
              <c:strCache>
                <c:ptCount val="2"/>
                <c:pt idx="0">
                  <c:v>2010.</c:v>
                </c:pt>
                <c:pt idx="1">
                  <c:v>2015.</c:v>
                </c:pt>
              </c:strCache>
            </c:strRef>
          </c:cat>
          <c:val>
            <c:numRef>
              <c:f>ukupno!$C$23:$D$23</c:f>
              <c:numCache>
                <c:formatCode>0.0</c:formatCode>
                <c:ptCount val="2"/>
                <c:pt idx="0" formatCode="General">
                  <c:v>24.8</c:v>
                </c:pt>
                <c:pt idx="1">
                  <c:v>22.527472527472533</c:v>
                </c:pt>
              </c:numCache>
            </c:numRef>
          </c:val>
        </c:ser>
        <c:ser>
          <c:idx val="1"/>
          <c:order val="1"/>
          <c:tx>
            <c:strRef>
              <c:f>ukupno!$B$24</c:f>
              <c:strCache>
                <c:ptCount val="1"/>
                <c:pt idx="0">
                  <c:v>Želuca (C16)</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ukupno!$C$22:$D$22</c:f>
              <c:strCache>
                <c:ptCount val="2"/>
                <c:pt idx="0">
                  <c:v>2010.</c:v>
                </c:pt>
                <c:pt idx="1">
                  <c:v>2015.</c:v>
                </c:pt>
              </c:strCache>
            </c:strRef>
          </c:cat>
          <c:val>
            <c:numRef>
              <c:f>ukupno!$C$24:$D$24</c:f>
              <c:numCache>
                <c:formatCode>0.0</c:formatCode>
                <c:ptCount val="2"/>
                <c:pt idx="0" formatCode="General">
                  <c:v>7.1</c:v>
                </c:pt>
                <c:pt idx="1">
                  <c:v>7.4065934065934114</c:v>
                </c:pt>
              </c:numCache>
            </c:numRef>
          </c:val>
        </c:ser>
        <c:ser>
          <c:idx val="2"/>
          <c:order val="2"/>
          <c:tx>
            <c:strRef>
              <c:f>ukupno!$B$25</c:f>
              <c:strCache>
                <c:ptCount val="1"/>
                <c:pt idx="0">
                  <c:v>Dojke (C50)</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ukupno!$C$22:$D$22</c:f>
              <c:strCache>
                <c:ptCount val="2"/>
                <c:pt idx="0">
                  <c:v>2010.</c:v>
                </c:pt>
                <c:pt idx="1">
                  <c:v>2015.</c:v>
                </c:pt>
              </c:strCache>
            </c:strRef>
          </c:cat>
          <c:val>
            <c:numRef>
              <c:f>ukupno!$C$25:$D$25</c:f>
              <c:numCache>
                <c:formatCode>0.0</c:formatCode>
                <c:ptCount val="2"/>
                <c:pt idx="0" formatCode="General">
                  <c:v>6.1</c:v>
                </c:pt>
                <c:pt idx="1">
                  <c:v>6.6373626373626404</c:v>
                </c:pt>
              </c:numCache>
            </c:numRef>
          </c:val>
        </c:ser>
        <c:ser>
          <c:idx val="3"/>
          <c:order val="3"/>
          <c:tx>
            <c:strRef>
              <c:f>ukupno!$B$26</c:f>
              <c:strCache>
                <c:ptCount val="1"/>
                <c:pt idx="0">
                  <c:v>Jetre i intrahepatalnih žučnih vodova (C22)</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ukupno!$C$22:$D$22</c:f>
              <c:strCache>
                <c:ptCount val="2"/>
                <c:pt idx="0">
                  <c:v>2010.</c:v>
                </c:pt>
                <c:pt idx="1">
                  <c:v>2015.</c:v>
                </c:pt>
              </c:strCache>
            </c:strRef>
          </c:cat>
          <c:val>
            <c:numRef>
              <c:f>ukupno!$C$26:$D$26</c:f>
              <c:numCache>
                <c:formatCode>0.0</c:formatCode>
                <c:ptCount val="2"/>
                <c:pt idx="0" formatCode="General">
                  <c:v>5.9</c:v>
                </c:pt>
                <c:pt idx="1">
                  <c:v>7.0329670329670328</c:v>
                </c:pt>
              </c:numCache>
            </c:numRef>
          </c:val>
        </c:ser>
        <c:ser>
          <c:idx val="4"/>
          <c:order val="4"/>
          <c:tx>
            <c:strRef>
              <c:f>ukupno!$B$27</c:f>
              <c:strCache>
                <c:ptCount val="1"/>
                <c:pt idx="0">
                  <c:v>Pankreasa (C25)</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ukupno!$C$22:$D$22</c:f>
              <c:strCache>
                <c:ptCount val="2"/>
                <c:pt idx="0">
                  <c:v>2010.</c:v>
                </c:pt>
                <c:pt idx="1">
                  <c:v>2015.</c:v>
                </c:pt>
              </c:strCache>
            </c:strRef>
          </c:cat>
          <c:val>
            <c:numRef>
              <c:f>ukupno!$C$27:$D$27</c:f>
              <c:numCache>
                <c:formatCode>General</c:formatCode>
                <c:ptCount val="2"/>
                <c:pt idx="0">
                  <c:v>5.5</c:v>
                </c:pt>
              </c:numCache>
            </c:numRef>
          </c:val>
        </c:ser>
        <c:ser>
          <c:idx val="5"/>
          <c:order val="5"/>
          <c:tx>
            <c:strRef>
              <c:f>ukupno!$B$28</c:f>
              <c:strCache>
                <c:ptCount val="1"/>
                <c:pt idx="0">
                  <c:v>Kolona (C18)</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ukupno!$C$22:$D$22</c:f>
              <c:strCache>
                <c:ptCount val="2"/>
                <c:pt idx="0">
                  <c:v>2010.</c:v>
                </c:pt>
                <c:pt idx="1">
                  <c:v>2015.</c:v>
                </c:pt>
              </c:strCache>
            </c:strRef>
          </c:cat>
          <c:val>
            <c:numRef>
              <c:f>ukupno!$C$28:$D$28</c:f>
              <c:numCache>
                <c:formatCode>0.0</c:formatCode>
                <c:ptCount val="2"/>
                <c:pt idx="1">
                  <c:v>6.197802197802198</c:v>
                </c:pt>
              </c:numCache>
            </c:numRef>
          </c:val>
        </c:ser>
        <c:dLbls>
          <c:showLegendKey val="0"/>
          <c:showVal val="0"/>
          <c:showCatName val="0"/>
          <c:showSerName val="0"/>
          <c:showPercent val="0"/>
          <c:showBubbleSize val="0"/>
        </c:dLbls>
        <c:gapWidth val="150"/>
        <c:axId val="37638528"/>
        <c:axId val="37640064"/>
      </c:barChart>
      <c:catAx>
        <c:axId val="37638528"/>
        <c:scaling>
          <c:orientation val="minMax"/>
        </c:scaling>
        <c:delete val="0"/>
        <c:axPos val="b"/>
        <c:numFmt formatCode="General" sourceLinked="0"/>
        <c:majorTickMark val="out"/>
        <c:minorTickMark val="none"/>
        <c:tickLblPos val="nextTo"/>
        <c:crossAx val="37640064"/>
        <c:crosses val="autoZero"/>
        <c:auto val="1"/>
        <c:lblAlgn val="ctr"/>
        <c:lblOffset val="100"/>
        <c:noMultiLvlLbl val="0"/>
      </c:catAx>
      <c:valAx>
        <c:axId val="37640064"/>
        <c:scaling>
          <c:orientation val="minMax"/>
        </c:scaling>
        <c:delete val="0"/>
        <c:axPos val="l"/>
        <c:numFmt formatCode="General" sourceLinked="1"/>
        <c:majorTickMark val="out"/>
        <c:minorTickMark val="none"/>
        <c:tickLblPos val="nextTo"/>
        <c:crossAx val="37638528"/>
        <c:crosses val="autoZero"/>
        <c:crossBetween val="between"/>
      </c:valAx>
    </c:plotArea>
    <c:legend>
      <c:legendPos val="r"/>
      <c:overlay val="0"/>
    </c:legend>
    <c:plotVisOnly val="1"/>
    <c:dispBlanksAs val="gap"/>
    <c:showDLblsOverMax val="0"/>
  </c:chart>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bs-Latn-BA"/>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barChart>
        <c:barDir val="col"/>
        <c:grouping val="clustered"/>
        <c:varyColors val="0"/>
        <c:ser>
          <c:idx val="0"/>
          <c:order val="0"/>
          <c:tx>
            <c:strRef>
              <c:f>'m.n. muškarci'!$B$17</c:f>
              <c:strCache>
                <c:ptCount val="1"/>
                <c:pt idx="0">
                  <c:v>Maligna neoplazma bronha i pluća (C34)</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'm.n. muškarci'!$C$16:$D$16</c:f>
              <c:strCache>
                <c:ptCount val="2"/>
                <c:pt idx="0">
                  <c:v>2010.</c:v>
                </c:pt>
                <c:pt idx="1">
                  <c:v>2015.</c:v>
                </c:pt>
              </c:strCache>
            </c:strRef>
          </c:cat>
          <c:val>
            <c:numRef>
              <c:f>'m.n. muškarci'!$C$17:$D$17</c:f>
              <c:numCache>
                <c:formatCode>0.0</c:formatCode>
                <c:ptCount val="2"/>
                <c:pt idx="0" formatCode="General">
                  <c:v>33.800000000000004</c:v>
                </c:pt>
                <c:pt idx="1">
                  <c:v>29.618202853837236</c:v>
                </c:pt>
              </c:numCache>
            </c:numRef>
          </c:val>
        </c:ser>
        <c:ser>
          <c:idx val="1"/>
          <c:order val="1"/>
          <c:tx>
            <c:strRef>
              <c:f>'m.n. muškarci'!$B$18</c:f>
              <c:strCache>
                <c:ptCount val="1"/>
                <c:pt idx="0">
                  <c:v>Maligna neoplazma prostate (C61)</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'm.n. muškarci'!$C$16:$D$16</c:f>
              <c:strCache>
                <c:ptCount val="2"/>
                <c:pt idx="0">
                  <c:v>2010.</c:v>
                </c:pt>
                <c:pt idx="1">
                  <c:v>2015.</c:v>
                </c:pt>
              </c:strCache>
            </c:strRef>
          </c:cat>
          <c:val>
            <c:numRef>
              <c:f>'m.n. muškarci'!$C$18:$D$18</c:f>
              <c:numCache>
                <c:formatCode>0.0</c:formatCode>
                <c:ptCount val="2"/>
                <c:pt idx="0" formatCode="General">
                  <c:v>7.7</c:v>
                </c:pt>
                <c:pt idx="1">
                  <c:v>9.0242961820285359</c:v>
                </c:pt>
              </c:numCache>
            </c:numRef>
          </c:val>
        </c:ser>
        <c:ser>
          <c:idx val="2"/>
          <c:order val="2"/>
          <c:tx>
            <c:strRef>
              <c:f>'m.n. muškarci'!$B$19</c:f>
              <c:strCache>
                <c:ptCount val="1"/>
                <c:pt idx="0">
                  <c:v>Maligna neoplazma želuca (C16)</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'm.n. muškarci'!$C$16:$D$16</c:f>
              <c:strCache>
                <c:ptCount val="2"/>
                <c:pt idx="0">
                  <c:v>2010.</c:v>
                </c:pt>
                <c:pt idx="1">
                  <c:v>2015.</c:v>
                </c:pt>
              </c:strCache>
            </c:strRef>
          </c:cat>
          <c:val>
            <c:numRef>
              <c:f>'m.n. muškarci'!$C$19:$D$19</c:f>
              <c:numCache>
                <c:formatCode>0.0</c:formatCode>
                <c:ptCount val="2"/>
                <c:pt idx="0">
                  <c:v>7</c:v>
                </c:pt>
                <c:pt idx="1">
                  <c:v>8.1372927111453937</c:v>
                </c:pt>
              </c:numCache>
            </c:numRef>
          </c:val>
        </c:ser>
        <c:ser>
          <c:idx val="3"/>
          <c:order val="3"/>
          <c:tx>
            <c:strRef>
              <c:f>'m.n. muškarci'!$B$20</c:f>
              <c:strCache>
                <c:ptCount val="1"/>
                <c:pt idx="0">
                  <c:v>Maligna neoplazma jetre i intrahepatalnih žučnih vodova C22</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'm.n. muškarci'!$C$16:$D$16</c:f>
              <c:strCache>
                <c:ptCount val="2"/>
                <c:pt idx="0">
                  <c:v>2010.</c:v>
                </c:pt>
                <c:pt idx="1">
                  <c:v>2015.</c:v>
                </c:pt>
              </c:strCache>
            </c:strRef>
          </c:cat>
          <c:val>
            <c:numRef>
              <c:f>'m.n. muškarci'!$C$20:$D$20</c:f>
              <c:numCache>
                <c:formatCode>0.0</c:formatCode>
                <c:ptCount val="2"/>
                <c:pt idx="0" formatCode="General">
                  <c:v>5.9</c:v>
                </c:pt>
                <c:pt idx="1">
                  <c:v>6.5946779791746986</c:v>
                </c:pt>
              </c:numCache>
            </c:numRef>
          </c:val>
        </c:ser>
        <c:ser>
          <c:idx val="4"/>
          <c:order val="4"/>
          <c:tx>
            <c:strRef>
              <c:f>'m.n. muškarci'!$B$21</c:f>
              <c:strCache>
                <c:ptCount val="1"/>
                <c:pt idx="0">
                  <c:v>Maligna neoplazma kolona (C18)</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'm.n. muškarci'!$C$16:$D$16</c:f>
              <c:strCache>
                <c:ptCount val="2"/>
                <c:pt idx="0">
                  <c:v>2010.</c:v>
                </c:pt>
                <c:pt idx="1">
                  <c:v>2015.</c:v>
                </c:pt>
              </c:strCache>
            </c:strRef>
          </c:cat>
          <c:val>
            <c:numRef>
              <c:f>'m.n. muškarci'!$C$21:$D$21</c:f>
              <c:numCache>
                <c:formatCode>0.0</c:formatCode>
                <c:ptCount val="2"/>
                <c:pt idx="0" formatCode="General">
                  <c:v>5.4</c:v>
                </c:pt>
                <c:pt idx="1">
                  <c:v>6.0547628229849595</c:v>
                </c:pt>
              </c:numCache>
            </c:numRef>
          </c:val>
        </c:ser>
        <c:dLbls>
          <c:showLegendKey val="0"/>
          <c:showVal val="0"/>
          <c:showCatName val="0"/>
          <c:showSerName val="0"/>
          <c:showPercent val="0"/>
          <c:showBubbleSize val="0"/>
        </c:dLbls>
        <c:gapWidth val="150"/>
        <c:axId val="37677696"/>
        <c:axId val="37691776"/>
      </c:barChart>
      <c:catAx>
        <c:axId val="37677696"/>
        <c:scaling>
          <c:orientation val="minMax"/>
        </c:scaling>
        <c:delete val="0"/>
        <c:axPos val="b"/>
        <c:numFmt formatCode="General" sourceLinked="0"/>
        <c:majorTickMark val="out"/>
        <c:minorTickMark val="none"/>
        <c:tickLblPos val="nextTo"/>
        <c:crossAx val="37691776"/>
        <c:crosses val="autoZero"/>
        <c:auto val="1"/>
        <c:lblAlgn val="ctr"/>
        <c:lblOffset val="100"/>
        <c:noMultiLvlLbl val="0"/>
      </c:catAx>
      <c:valAx>
        <c:axId val="37691776"/>
        <c:scaling>
          <c:orientation val="minMax"/>
        </c:scaling>
        <c:delete val="0"/>
        <c:axPos val="l"/>
        <c:numFmt formatCode="General" sourceLinked="1"/>
        <c:majorTickMark val="out"/>
        <c:minorTickMark val="none"/>
        <c:tickLblPos val="nextTo"/>
        <c:crossAx val="37677696"/>
        <c:crosses val="autoZero"/>
        <c:crossBetween val="between"/>
      </c:valAx>
    </c:plotArea>
    <c:legend>
      <c:legendPos val="r"/>
      <c:overlay val="0"/>
    </c:legend>
    <c:plotVisOnly val="1"/>
    <c:dispBlanksAs val="gap"/>
    <c:showDLblsOverMax val="0"/>
  </c:chart>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bs-Latn-BA"/>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barChart>
        <c:barDir val="col"/>
        <c:grouping val="clustered"/>
        <c:varyColors val="0"/>
        <c:ser>
          <c:idx val="0"/>
          <c:order val="0"/>
          <c:tx>
            <c:strRef>
              <c:f>m.n.žene!$B$20</c:f>
              <c:strCache>
                <c:ptCount val="1"/>
                <c:pt idx="0">
                  <c:v>Maligna neoplazma dojke žene (C50)</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m.n.žene!$C$19:$D$19</c:f>
              <c:strCache>
                <c:ptCount val="2"/>
                <c:pt idx="0">
                  <c:v>2010.</c:v>
                </c:pt>
                <c:pt idx="1">
                  <c:v>2015.</c:v>
                </c:pt>
              </c:strCache>
            </c:strRef>
          </c:cat>
          <c:val>
            <c:numRef>
              <c:f>m.n.žene!$C$20:$D$20</c:f>
              <c:numCache>
                <c:formatCode>0.0</c:formatCode>
                <c:ptCount val="2"/>
                <c:pt idx="0" formatCode="General">
                  <c:v>14.1</c:v>
                </c:pt>
                <c:pt idx="1">
                  <c:v>15.125191619826275</c:v>
                </c:pt>
              </c:numCache>
            </c:numRef>
          </c:val>
        </c:ser>
        <c:ser>
          <c:idx val="1"/>
          <c:order val="1"/>
          <c:tx>
            <c:strRef>
              <c:f>m.n.žene!$B$21</c:f>
              <c:strCache>
                <c:ptCount val="1"/>
                <c:pt idx="0">
                  <c:v>Maligna neoplazma bronha i pluća (C34)</c:v>
                </c:pt>
              </c:strCache>
            </c:strRef>
          </c:tx>
          <c:invertIfNegative val="0"/>
          <c:dLbls>
            <c:dLbl>
              <c:idx val="0"/>
              <c:layout>
                <c:manualLayout>
                  <c:x val="1.1111111111111125E-2"/>
                  <c:y val="0"/>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6666666666666694E-2"/>
                  <c:y val="3.2520325203251885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m.n.žene!$C$19:$D$19</c:f>
              <c:strCache>
                <c:ptCount val="2"/>
                <c:pt idx="0">
                  <c:v>2010.</c:v>
                </c:pt>
                <c:pt idx="1">
                  <c:v>2015.</c:v>
                </c:pt>
              </c:strCache>
            </c:strRef>
          </c:cat>
          <c:val>
            <c:numRef>
              <c:f>m.n.žene!$C$21:$D$21</c:f>
              <c:numCache>
                <c:formatCode>0.0</c:formatCode>
                <c:ptCount val="2"/>
                <c:pt idx="0" formatCode="General">
                  <c:v>12.8</c:v>
                </c:pt>
                <c:pt idx="1">
                  <c:v>13.132345426673467</c:v>
                </c:pt>
              </c:numCache>
            </c:numRef>
          </c:val>
        </c:ser>
        <c:ser>
          <c:idx val="2"/>
          <c:order val="2"/>
          <c:tx>
            <c:strRef>
              <c:f>m.n.žene!$B$22</c:f>
              <c:strCache>
                <c:ptCount val="1"/>
                <c:pt idx="0">
                  <c:v>Maligna neoplazma želuca (C16)</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m.n.žene!$C$19:$D$19</c:f>
              <c:strCache>
                <c:ptCount val="2"/>
                <c:pt idx="0">
                  <c:v>2010.</c:v>
                </c:pt>
                <c:pt idx="1">
                  <c:v>2015.</c:v>
                </c:pt>
              </c:strCache>
            </c:strRef>
          </c:cat>
          <c:val>
            <c:numRef>
              <c:f>m.n.žene!$C$22:$D$22</c:f>
              <c:numCache>
                <c:formatCode>0.0</c:formatCode>
                <c:ptCount val="2"/>
                <c:pt idx="0" formatCode="General">
                  <c:v>7.3</c:v>
                </c:pt>
                <c:pt idx="1">
                  <c:v>6.4384261624936192</c:v>
                </c:pt>
              </c:numCache>
            </c:numRef>
          </c:val>
        </c:ser>
        <c:ser>
          <c:idx val="3"/>
          <c:order val="3"/>
          <c:tx>
            <c:strRef>
              <c:f>m.n.žene!$B$23</c:f>
              <c:strCache>
                <c:ptCount val="1"/>
                <c:pt idx="0">
                  <c:v>Maligna neoplazma pankreasa (C25)</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m.n.žene!$C$19:$D$19</c:f>
              <c:strCache>
                <c:ptCount val="2"/>
                <c:pt idx="0">
                  <c:v>2010.</c:v>
                </c:pt>
                <c:pt idx="1">
                  <c:v>2015.</c:v>
                </c:pt>
              </c:strCache>
            </c:strRef>
          </c:cat>
          <c:val>
            <c:numRef>
              <c:f>m.n.žene!$C$23:$D$23</c:f>
              <c:numCache>
                <c:formatCode>General</c:formatCode>
                <c:ptCount val="2"/>
                <c:pt idx="0">
                  <c:v>6.5</c:v>
                </c:pt>
              </c:numCache>
            </c:numRef>
          </c:val>
        </c:ser>
        <c:ser>
          <c:idx val="4"/>
          <c:order val="4"/>
          <c:tx>
            <c:strRef>
              <c:f>m.n.žene!$B$24</c:f>
              <c:strCache>
                <c:ptCount val="1"/>
                <c:pt idx="0">
                  <c:v>Maligna neoplazma jetre i intrahepatalnih žučnih vodova  (C22)</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m.n.žene!$C$19:$D$19</c:f>
              <c:strCache>
                <c:ptCount val="2"/>
                <c:pt idx="0">
                  <c:v>2010.</c:v>
                </c:pt>
                <c:pt idx="1">
                  <c:v>2015.</c:v>
                </c:pt>
              </c:strCache>
            </c:strRef>
          </c:cat>
          <c:val>
            <c:numRef>
              <c:f>m.n.žene!$C$24:$D$24</c:f>
              <c:numCache>
                <c:formatCode>0.0</c:formatCode>
                <c:ptCount val="2"/>
                <c:pt idx="0">
                  <c:v>6</c:v>
                </c:pt>
                <c:pt idx="1">
                  <c:v>7.6136944302503835</c:v>
                </c:pt>
              </c:numCache>
            </c:numRef>
          </c:val>
        </c:ser>
        <c:ser>
          <c:idx val="5"/>
          <c:order val="5"/>
          <c:tx>
            <c:strRef>
              <c:f>m.n.žene!$B$25</c:f>
              <c:strCache>
                <c:ptCount val="1"/>
                <c:pt idx="0">
                  <c:v>Maligna neoplazma kolona  (C18)</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m.n.žene!$C$19:$D$19</c:f>
              <c:strCache>
                <c:ptCount val="2"/>
                <c:pt idx="0">
                  <c:v>2010.</c:v>
                </c:pt>
                <c:pt idx="1">
                  <c:v>2015.</c:v>
                </c:pt>
              </c:strCache>
            </c:strRef>
          </c:cat>
          <c:val>
            <c:numRef>
              <c:f>m.n.žene!$C$25:$D$25</c:f>
              <c:numCache>
                <c:formatCode>0.0</c:formatCode>
                <c:ptCount val="2"/>
                <c:pt idx="1">
                  <c:v>6.3873275421563616</c:v>
                </c:pt>
              </c:numCache>
            </c:numRef>
          </c:val>
        </c:ser>
        <c:dLbls>
          <c:showLegendKey val="0"/>
          <c:showVal val="0"/>
          <c:showCatName val="0"/>
          <c:showSerName val="0"/>
          <c:showPercent val="0"/>
          <c:showBubbleSize val="0"/>
        </c:dLbls>
        <c:gapWidth val="150"/>
        <c:axId val="37742848"/>
        <c:axId val="38354944"/>
      </c:barChart>
      <c:catAx>
        <c:axId val="37742848"/>
        <c:scaling>
          <c:orientation val="minMax"/>
        </c:scaling>
        <c:delete val="0"/>
        <c:axPos val="b"/>
        <c:numFmt formatCode="General" sourceLinked="0"/>
        <c:majorTickMark val="out"/>
        <c:minorTickMark val="none"/>
        <c:tickLblPos val="nextTo"/>
        <c:crossAx val="38354944"/>
        <c:crosses val="autoZero"/>
        <c:auto val="1"/>
        <c:lblAlgn val="ctr"/>
        <c:lblOffset val="100"/>
        <c:noMultiLvlLbl val="0"/>
      </c:catAx>
      <c:valAx>
        <c:axId val="38354944"/>
        <c:scaling>
          <c:orientation val="minMax"/>
        </c:scaling>
        <c:delete val="0"/>
        <c:axPos val="l"/>
        <c:numFmt formatCode="General" sourceLinked="1"/>
        <c:majorTickMark val="out"/>
        <c:minorTickMark val="none"/>
        <c:tickLblPos val="nextTo"/>
        <c:crossAx val="37742848"/>
        <c:crosses val="autoZero"/>
        <c:crossBetween val="between"/>
      </c:valAx>
    </c:plotArea>
    <c:legend>
      <c:legendPos val="r"/>
      <c:layout>
        <c:manualLayout>
          <c:xMode val="edge"/>
          <c:yMode val="edge"/>
          <c:x val="0.65833333333333421"/>
          <c:y val="0.1756220472440945"/>
          <c:w val="0.34166666666666717"/>
          <c:h val="0.72030062095896541"/>
        </c:manualLayout>
      </c:layout>
      <c:overlay val="0"/>
      <c:txPr>
        <a:bodyPr/>
        <a:lstStyle/>
        <a:p>
          <a:pPr>
            <a:defRPr sz="900"/>
          </a:pPr>
          <a:endParaRPr lang="sr-Latn-RS"/>
        </a:p>
      </c:txPr>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bs-Latn-B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9925477418770985"/>
          <c:y val="4.7930283224400932E-2"/>
          <c:w val="0.5111658973662776"/>
          <c:h val="0.8323273806460465"/>
        </c:manualLayout>
      </c:layout>
      <c:barChart>
        <c:barDir val="bar"/>
        <c:grouping val="clustered"/>
        <c:varyColors val="0"/>
        <c:ser>
          <c:idx val="0"/>
          <c:order val="0"/>
          <c:tx>
            <c:strRef>
              <c:f>'trend kantoni'!$B$3</c:f>
              <c:strCache>
                <c:ptCount val="1"/>
                <c:pt idx="0">
                  <c:v>mortalitet </c:v>
                </c:pt>
              </c:strCache>
            </c:strRef>
          </c:tx>
          <c:invertIfNegative val="0"/>
          <c:dLbls>
            <c:spPr>
              <a:noFill/>
              <a:ln>
                <a:noFill/>
              </a:ln>
              <a:effectLst/>
            </c:spPr>
            <c:txPr>
              <a:bodyPr/>
              <a:lstStyle/>
              <a:p>
                <a:pPr>
                  <a:defRPr b="1">
                    <a:solidFill>
                      <a:srgbClr val="0070C0"/>
                    </a:solidFill>
                  </a:defRPr>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'trend kantoni'!$A$4:$A$13</c:f>
              <c:strCache>
                <c:ptCount val="10"/>
                <c:pt idx="0">
                  <c:v>Unsko-sanski </c:v>
                </c:pt>
                <c:pt idx="1">
                  <c:v>Posavski </c:v>
                </c:pt>
                <c:pt idx="2">
                  <c:v>Tuzlanski </c:v>
                </c:pt>
                <c:pt idx="3">
                  <c:v>Zeničko-dobojski </c:v>
                </c:pt>
                <c:pt idx="4">
                  <c:v>Bosansko-podrinjski </c:v>
                </c:pt>
                <c:pt idx="5">
                  <c:v>Srednjobosanski </c:v>
                </c:pt>
                <c:pt idx="6">
                  <c:v>Hercegovačko-neretvanski </c:v>
                </c:pt>
                <c:pt idx="7">
                  <c:v>Zapadno-hercegovački </c:v>
                </c:pt>
                <c:pt idx="8">
                  <c:v>Kanton Sarajevo</c:v>
                </c:pt>
                <c:pt idx="9">
                  <c:v>Kanton 10</c:v>
                </c:pt>
              </c:strCache>
            </c:strRef>
          </c:cat>
          <c:val>
            <c:numRef>
              <c:f>'trend kantoni'!$B$4:$B$13</c:f>
              <c:numCache>
                <c:formatCode>0.0</c:formatCode>
                <c:ptCount val="10"/>
                <c:pt idx="0">
                  <c:v>7.6542521687628469</c:v>
                </c:pt>
                <c:pt idx="1">
                  <c:v>12.117263843648209</c:v>
                </c:pt>
                <c:pt idx="2">
                  <c:v>8.2062530324841685</c:v>
                </c:pt>
                <c:pt idx="3">
                  <c:v>8.8850911950636728</c:v>
                </c:pt>
                <c:pt idx="4">
                  <c:v>9.6781175597538684</c:v>
                </c:pt>
                <c:pt idx="5">
                  <c:v>9.0578990441532845</c:v>
                </c:pt>
                <c:pt idx="6">
                  <c:v>10.596453231068031</c:v>
                </c:pt>
                <c:pt idx="7">
                  <c:v>11.007391555670345</c:v>
                </c:pt>
                <c:pt idx="8">
                  <c:v>10.001051800032668</c:v>
                </c:pt>
                <c:pt idx="9">
                  <c:v>11.17584268940417</c:v>
                </c:pt>
              </c:numCache>
            </c:numRef>
          </c:val>
        </c:ser>
        <c:ser>
          <c:idx val="1"/>
          <c:order val="1"/>
          <c:tx>
            <c:strRef>
              <c:f>'trend kantoni'!$C$3</c:f>
              <c:strCache>
                <c:ptCount val="1"/>
                <c:pt idx="0">
                  <c:v>natalitet</c:v>
                </c:pt>
              </c:strCache>
            </c:strRef>
          </c:tx>
          <c:invertIfNegative val="0"/>
          <c:dLbls>
            <c:spPr>
              <a:noFill/>
              <a:ln>
                <a:noFill/>
              </a:ln>
              <a:effectLst/>
            </c:sp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'trend kantoni'!$A$4:$A$13</c:f>
              <c:strCache>
                <c:ptCount val="10"/>
                <c:pt idx="0">
                  <c:v>Unsko-sanski </c:v>
                </c:pt>
                <c:pt idx="1">
                  <c:v>Posavski </c:v>
                </c:pt>
                <c:pt idx="2">
                  <c:v>Tuzlanski </c:v>
                </c:pt>
                <c:pt idx="3">
                  <c:v>Zeničko-dobojski </c:v>
                </c:pt>
                <c:pt idx="4">
                  <c:v>Bosansko-podrinjski </c:v>
                </c:pt>
                <c:pt idx="5">
                  <c:v>Srednjobosanski </c:v>
                </c:pt>
                <c:pt idx="6">
                  <c:v>Hercegovačko-neretvanski </c:v>
                </c:pt>
                <c:pt idx="7">
                  <c:v>Zapadno-hercegovački </c:v>
                </c:pt>
                <c:pt idx="8">
                  <c:v>Kanton Sarajevo</c:v>
                </c:pt>
                <c:pt idx="9">
                  <c:v>Kanton 10</c:v>
                </c:pt>
              </c:strCache>
            </c:strRef>
          </c:cat>
          <c:val>
            <c:numRef>
              <c:f>'trend kantoni'!$C$4:$C$13</c:f>
              <c:numCache>
                <c:formatCode>0.0</c:formatCode>
                <c:ptCount val="10"/>
                <c:pt idx="0">
                  <c:v>7.3581158763892116</c:v>
                </c:pt>
                <c:pt idx="1">
                  <c:v>5.0553745928338794</c:v>
                </c:pt>
                <c:pt idx="2">
                  <c:v>7.8072683382588233</c:v>
                </c:pt>
                <c:pt idx="3">
                  <c:v>8.7162114475262769</c:v>
                </c:pt>
                <c:pt idx="4">
                  <c:v>6.7097492347175489</c:v>
                </c:pt>
                <c:pt idx="5">
                  <c:v>7.8541519343381765</c:v>
                </c:pt>
                <c:pt idx="6">
                  <c:v>7.9160159483780834</c:v>
                </c:pt>
                <c:pt idx="7">
                  <c:v>9.0641872363453242</c:v>
                </c:pt>
                <c:pt idx="8">
                  <c:v>10.397155216592482</c:v>
                </c:pt>
                <c:pt idx="9">
                  <c:v>5.2471160152783671</c:v>
                </c:pt>
              </c:numCache>
            </c:numRef>
          </c:val>
        </c:ser>
        <c:dLbls>
          <c:showLegendKey val="0"/>
          <c:showVal val="0"/>
          <c:showCatName val="0"/>
          <c:showSerName val="0"/>
          <c:showPercent val="0"/>
          <c:showBubbleSize val="0"/>
        </c:dLbls>
        <c:gapWidth val="150"/>
        <c:axId val="34666368"/>
        <c:axId val="34667904"/>
      </c:barChart>
      <c:catAx>
        <c:axId val="34666368"/>
        <c:scaling>
          <c:orientation val="maxMin"/>
        </c:scaling>
        <c:delete val="0"/>
        <c:axPos val="l"/>
        <c:numFmt formatCode="General" sourceLinked="1"/>
        <c:majorTickMark val="out"/>
        <c:minorTickMark val="none"/>
        <c:tickLblPos val="nextTo"/>
        <c:txPr>
          <a:bodyPr/>
          <a:lstStyle/>
          <a:p>
            <a:pPr>
              <a:defRPr>
                <a:latin typeface="Arial" pitchFamily="34" charset="0"/>
                <a:cs typeface="Arial" pitchFamily="34" charset="0"/>
              </a:defRPr>
            </a:pPr>
            <a:endParaRPr lang="sr-Latn-RS"/>
          </a:p>
        </c:txPr>
        <c:crossAx val="34667904"/>
        <c:crosses val="autoZero"/>
        <c:auto val="1"/>
        <c:lblAlgn val="ctr"/>
        <c:lblOffset val="100"/>
        <c:noMultiLvlLbl val="0"/>
      </c:catAx>
      <c:valAx>
        <c:axId val="34667904"/>
        <c:scaling>
          <c:orientation val="minMax"/>
        </c:scaling>
        <c:delete val="0"/>
        <c:axPos val="t"/>
        <c:numFmt formatCode="0" sourceLinked="0"/>
        <c:majorTickMark val="out"/>
        <c:minorTickMark val="none"/>
        <c:tickLblPos val="high"/>
        <c:spPr>
          <a:noFill/>
          <a:ln>
            <a:noFill/>
          </a:ln>
        </c:spPr>
        <c:crossAx val="34666368"/>
        <c:crosses val="autoZero"/>
        <c:crossBetween val="between"/>
      </c:valAx>
    </c:plotArea>
    <c:legend>
      <c:legendPos val="r"/>
      <c:overlay val="0"/>
      <c:txPr>
        <a:bodyPr/>
        <a:lstStyle/>
        <a:p>
          <a:pPr>
            <a:defRPr>
              <a:latin typeface="Arial" pitchFamily="34" charset="0"/>
              <a:cs typeface="Arial" pitchFamily="34" charset="0"/>
            </a:defRPr>
          </a:pPr>
          <a:endParaRPr lang="sr-Latn-RS"/>
        </a:p>
      </c:txPr>
    </c:legend>
    <c:plotVisOnly val="1"/>
    <c:dispBlanksAs val="gap"/>
    <c:showDLblsOverMax val="0"/>
  </c:chart>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bs-Latn-BA"/>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bar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trendline>
            <c:trendlineType val="linear"/>
            <c:dispRSqr val="0"/>
            <c:dispEq val="0"/>
          </c:trendline>
          <c:cat>
            <c:strRef>
              <c:f>mortalitet!$E$43:$E$48</c:f>
              <c:strCache>
                <c:ptCount val="6"/>
                <c:pt idx="0">
                  <c:v>2010.</c:v>
                </c:pt>
                <c:pt idx="1">
                  <c:v>2011.</c:v>
                </c:pt>
                <c:pt idx="2">
                  <c:v>2012.</c:v>
                </c:pt>
                <c:pt idx="3">
                  <c:v>2013.</c:v>
                </c:pt>
                <c:pt idx="4">
                  <c:v>2014.</c:v>
                </c:pt>
                <c:pt idx="5">
                  <c:v>2015.</c:v>
                </c:pt>
              </c:strCache>
            </c:strRef>
          </c:cat>
          <c:val>
            <c:numRef>
              <c:f>mortalitet!$F$43:$F$48</c:f>
              <c:numCache>
                <c:formatCode>General</c:formatCode>
                <c:ptCount val="6"/>
                <c:pt idx="0">
                  <c:v>24.9</c:v>
                </c:pt>
                <c:pt idx="1">
                  <c:v>23.3</c:v>
                </c:pt>
                <c:pt idx="2">
                  <c:v>21.7</c:v>
                </c:pt>
                <c:pt idx="3">
                  <c:v>21.4</c:v>
                </c:pt>
                <c:pt idx="4">
                  <c:v>20.399999999999999</c:v>
                </c:pt>
                <c:pt idx="5">
                  <c:v>21.7</c:v>
                </c:pt>
              </c:numCache>
            </c:numRef>
          </c:val>
        </c:ser>
        <c:dLbls>
          <c:showLegendKey val="0"/>
          <c:showVal val="0"/>
          <c:showCatName val="0"/>
          <c:showSerName val="0"/>
          <c:showPercent val="0"/>
          <c:showBubbleSize val="0"/>
        </c:dLbls>
        <c:gapWidth val="150"/>
        <c:axId val="38371712"/>
        <c:axId val="38373248"/>
      </c:barChart>
      <c:catAx>
        <c:axId val="38371712"/>
        <c:scaling>
          <c:orientation val="minMax"/>
        </c:scaling>
        <c:delete val="0"/>
        <c:axPos val="b"/>
        <c:numFmt formatCode="General" sourceLinked="0"/>
        <c:majorTickMark val="out"/>
        <c:minorTickMark val="none"/>
        <c:tickLblPos val="nextTo"/>
        <c:crossAx val="38373248"/>
        <c:crosses val="autoZero"/>
        <c:auto val="1"/>
        <c:lblAlgn val="ctr"/>
        <c:lblOffset val="100"/>
        <c:noMultiLvlLbl val="0"/>
      </c:catAx>
      <c:valAx>
        <c:axId val="38373248"/>
        <c:scaling>
          <c:orientation val="minMax"/>
        </c:scaling>
        <c:delete val="1"/>
        <c:axPos val="l"/>
        <c:numFmt formatCode="General" sourceLinked="1"/>
        <c:majorTickMark val="out"/>
        <c:minorTickMark val="none"/>
        <c:tickLblPos val="none"/>
        <c:crossAx val="38371712"/>
        <c:crosses val="autoZero"/>
        <c:crossBetween val="between"/>
      </c:valAx>
    </c:plotArea>
    <c:plotVisOnly val="1"/>
    <c:dispBlanksAs val="gap"/>
    <c:showDLblsOverMax val="0"/>
  </c:chart>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bs-Latn-BA"/>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barChart>
        <c:barDir val="col"/>
        <c:grouping val="clustered"/>
        <c:varyColors val="0"/>
        <c:ser>
          <c:idx val="0"/>
          <c:order val="0"/>
          <c:tx>
            <c:strRef>
              <c:f>mortalitet!$D$16</c:f>
              <c:strCache>
                <c:ptCount val="1"/>
                <c:pt idx="0">
                  <c:v>Do 5 god.</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mortalitet!$E$15:$J$15</c:f>
              <c:strCache>
                <c:ptCount val="6"/>
                <c:pt idx="0">
                  <c:v>2010.</c:v>
                </c:pt>
                <c:pt idx="1">
                  <c:v>2011.</c:v>
                </c:pt>
                <c:pt idx="2">
                  <c:v>2012.</c:v>
                </c:pt>
                <c:pt idx="3">
                  <c:v>2013.</c:v>
                </c:pt>
                <c:pt idx="4">
                  <c:v>2014.</c:v>
                </c:pt>
                <c:pt idx="5">
                  <c:v>2015.</c:v>
                </c:pt>
              </c:strCache>
            </c:strRef>
          </c:cat>
          <c:val>
            <c:numRef>
              <c:f>mortalitet!$E$16:$J$16</c:f>
              <c:numCache>
                <c:formatCode>0.0</c:formatCode>
                <c:ptCount val="6"/>
                <c:pt idx="0">
                  <c:v>5.0313959104814039</c:v>
                </c:pt>
                <c:pt idx="1">
                  <c:v>2.5156979552406997</c:v>
                </c:pt>
                <c:pt idx="2">
                  <c:v>3.0188071686607572</c:v>
                </c:pt>
                <c:pt idx="3">
                  <c:v>2.5</c:v>
                </c:pt>
                <c:pt idx="4">
                  <c:v>1.5104143066443119</c:v>
                </c:pt>
                <c:pt idx="5">
                  <c:v>2.5199126013672637</c:v>
                </c:pt>
              </c:numCache>
            </c:numRef>
          </c:val>
        </c:ser>
        <c:ser>
          <c:idx val="1"/>
          <c:order val="1"/>
          <c:tx>
            <c:strRef>
              <c:f>mortalitet!$D$17</c:f>
              <c:strCache>
                <c:ptCount val="1"/>
                <c:pt idx="0">
                  <c:v>Od 5-19</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mortalitet!$E$15:$J$15</c:f>
              <c:strCache>
                <c:ptCount val="6"/>
                <c:pt idx="0">
                  <c:v>2010.</c:v>
                </c:pt>
                <c:pt idx="1">
                  <c:v>2011.</c:v>
                </c:pt>
                <c:pt idx="2">
                  <c:v>2012.</c:v>
                </c:pt>
                <c:pt idx="3">
                  <c:v>2013.</c:v>
                </c:pt>
                <c:pt idx="4">
                  <c:v>2014.</c:v>
                </c:pt>
                <c:pt idx="5">
                  <c:v>2015.</c:v>
                </c:pt>
              </c:strCache>
            </c:strRef>
          </c:cat>
          <c:val>
            <c:numRef>
              <c:f>mortalitet!$E$17:$J$17</c:f>
              <c:numCache>
                <c:formatCode>0.0</c:formatCode>
                <c:ptCount val="6"/>
                <c:pt idx="0">
                  <c:v>7.6389025297862592</c:v>
                </c:pt>
                <c:pt idx="1">
                  <c:v>9.1642828621364529</c:v>
                </c:pt>
                <c:pt idx="2">
                  <c:v>5.2367216376974115</c:v>
                </c:pt>
                <c:pt idx="3">
                  <c:v>6.5</c:v>
                </c:pt>
                <c:pt idx="4">
                  <c:v>4.8035249139186496</c:v>
                </c:pt>
                <c:pt idx="5">
                  <c:v>6.9940431384887338</c:v>
                </c:pt>
              </c:numCache>
            </c:numRef>
          </c:val>
        </c:ser>
        <c:ser>
          <c:idx val="2"/>
          <c:order val="2"/>
          <c:tx>
            <c:strRef>
              <c:f>mortalitet!$D$18</c:f>
              <c:strCache>
                <c:ptCount val="1"/>
                <c:pt idx="0">
                  <c:v>Od 20-64</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mortalitet!$E$15:$J$15</c:f>
              <c:strCache>
                <c:ptCount val="6"/>
                <c:pt idx="0">
                  <c:v>2010.</c:v>
                </c:pt>
                <c:pt idx="1">
                  <c:v>2011.</c:v>
                </c:pt>
                <c:pt idx="2">
                  <c:v>2012.</c:v>
                </c:pt>
                <c:pt idx="3">
                  <c:v>2013.</c:v>
                </c:pt>
                <c:pt idx="4">
                  <c:v>2014.</c:v>
                </c:pt>
                <c:pt idx="5">
                  <c:v>2015.</c:v>
                </c:pt>
              </c:strCache>
            </c:strRef>
          </c:cat>
          <c:val>
            <c:numRef>
              <c:f>mortalitet!$E$18:$J$18</c:f>
              <c:numCache>
                <c:formatCode>0.0</c:formatCode>
                <c:ptCount val="6"/>
                <c:pt idx="0">
                  <c:v>28.419877039625746</c:v>
                </c:pt>
                <c:pt idx="1">
                  <c:v>25.452804654903623</c:v>
                </c:pt>
                <c:pt idx="2">
                  <c:v>26.266644173540357</c:v>
                </c:pt>
                <c:pt idx="3">
                  <c:v>24.1</c:v>
                </c:pt>
                <c:pt idx="4">
                  <c:v>24.136973623322554</c:v>
                </c:pt>
                <c:pt idx="5">
                  <c:v>24.1615149425214</c:v>
                </c:pt>
              </c:numCache>
            </c:numRef>
          </c:val>
        </c:ser>
        <c:ser>
          <c:idx val="3"/>
          <c:order val="3"/>
          <c:tx>
            <c:strRef>
              <c:f>mortalitet!$D$19</c:f>
              <c:strCache>
                <c:ptCount val="1"/>
                <c:pt idx="0">
                  <c:v>65 i više god.</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mortalitet!$E$15:$J$15</c:f>
              <c:strCache>
                <c:ptCount val="6"/>
                <c:pt idx="0">
                  <c:v>2010.</c:v>
                </c:pt>
                <c:pt idx="1">
                  <c:v>2011.</c:v>
                </c:pt>
                <c:pt idx="2">
                  <c:v>2012.</c:v>
                </c:pt>
                <c:pt idx="3">
                  <c:v>2013.</c:v>
                </c:pt>
                <c:pt idx="4">
                  <c:v>2014.</c:v>
                </c:pt>
                <c:pt idx="5">
                  <c:v>2015.</c:v>
                </c:pt>
              </c:strCache>
            </c:strRef>
          </c:cat>
          <c:val>
            <c:numRef>
              <c:f>mortalitet!$E$19:$J$19</c:f>
              <c:numCache>
                <c:formatCode>0.0</c:formatCode>
                <c:ptCount val="6"/>
                <c:pt idx="0">
                  <c:v>46.721741689445999</c:v>
                </c:pt>
                <c:pt idx="1">
                  <c:v>46.70969620498888</c:v>
                </c:pt>
                <c:pt idx="2">
                  <c:v>37.306981865167053</c:v>
                </c:pt>
                <c:pt idx="3">
                  <c:v>42.5</c:v>
                </c:pt>
                <c:pt idx="4">
                  <c:v>37.938800162681574</c:v>
                </c:pt>
                <c:pt idx="5">
                  <c:v>43.74997197267421</c:v>
                </c:pt>
              </c:numCache>
            </c:numRef>
          </c:val>
        </c:ser>
        <c:dLbls>
          <c:showLegendKey val="0"/>
          <c:showVal val="0"/>
          <c:showCatName val="0"/>
          <c:showSerName val="0"/>
          <c:showPercent val="0"/>
          <c:showBubbleSize val="0"/>
        </c:dLbls>
        <c:gapWidth val="150"/>
        <c:axId val="38421632"/>
        <c:axId val="38423168"/>
      </c:barChart>
      <c:catAx>
        <c:axId val="38421632"/>
        <c:scaling>
          <c:orientation val="minMax"/>
        </c:scaling>
        <c:delete val="0"/>
        <c:axPos val="b"/>
        <c:numFmt formatCode="General" sourceLinked="0"/>
        <c:majorTickMark val="out"/>
        <c:minorTickMark val="none"/>
        <c:tickLblPos val="nextTo"/>
        <c:crossAx val="38423168"/>
        <c:crosses val="autoZero"/>
        <c:auto val="1"/>
        <c:lblAlgn val="ctr"/>
        <c:lblOffset val="100"/>
        <c:noMultiLvlLbl val="0"/>
      </c:catAx>
      <c:valAx>
        <c:axId val="38423168"/>
        <c:scaling>
          <c:orientation val="minMax"/>
        </c:scaling>
        <c:delete val="1"/>
        <c:axPos val="l"/>
        <c:numFmt formatCode="0.0" sourceLinked="1"/>
        <c:majorTickMark val="out"/>
        <c:minorTickMark val="none"/>
        <c:tickLblPos val="none"/>
        <c:crossAx val="38421632"/>
        <c:crosses val="autoZero"/>
        <c:crossBetween val="between"/>
      </c:valAx>
    </c:plotArea>
    <c:legend>
      <c:legendPos val="r"/>
      <c:overlay val="0"/>
    </c:legend>
    <c:plotVisOnly val="1"/>
    <c:dispBlanksAs val="gap"/>
    <c:showDLblsOverMax val="0"/>
  </c:chart>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bs-Latn-B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Mortalitet!$B$320</c:f>
              <c:strCache>
                <c:ptCount val="1"/>
                <c:pt idx="0">
                  <c:v>%</c:v>
                </c:pt>
              </c:strCache>
            </c:strRef>
          </c:tx>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noFill/>
              </a:ln>
              <a:effectLst/>
              <a:sp3d/>
            </c:spPr>
          </c:dPt>
          <c:dLbls>
            <c:dLbl>
              <c:idx val="0"/>
              <c:layout>
                <c:manualLayout>
                  <c:x val="-0.14360520559930018"/>
                  <c:y val="-0.14057596967045782"/>
                </c:manualLayout>
              </c:layout>
              <c:dLblPos val="bestFit"/>
              <c:showLegendKey val="0"/>
              <c:showVal val="1"/>
              <c:showCatName val="1"/>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dLblPos val="bestFit"/>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Mortalitet!$A$321:$A$322</c:f>
              <c:strCache>
                <c:ptCount val="2"/>
                <c:pt idx="0">
                  <c:v>muškarci</c:v>
                </c:pt>
                <c:pt idx="1">
                  <c:v>žene</c:v>
                </c:pt>
              </c:strCache>
            </c:strRef>
          </c:cat>
          <c:val>
            <c:numRef>
              <c:f>Mortalitet!$B$321:$B$322</c:f>
              <c:numCache>
                <c:formatCode>General</c:formatCode>
                <c:ptCount val="2"/>
                <c:pt idx="0">
                  <c:v>59.8</c:v>
                </c:pt>
                <c:pt idx="1">
                  <c:v>41.8</c:v>
                </c:pt>
              </c:numCache>
            </c:numRef>
          </c:val>
        </c:ser>
        <c:dLbls>
          <c:showLegendKey val="0"/>
          <c:showVal val="0"/>
          <c:showCatName val="0"/>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bs-Latn-BA"/>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barChart>
        <c:barDir val="col"/>
        <c:grouping val="clustered"/>
        <c:varyColors val="0"/>
        <c:ser>
          <c:idx val="0"/>
          <c:order val="0"/>
          <c:tx>
            <c:strRef>
              <c:f>Sheet1!$C$19</c:f>
              <c:strCache>
                <c:ptCount val="1"/>
                <c:pt idx="0">
                  <c:v>2010.</c:v>
                </c:pt>
              </c:strCache>
            </c:strRef>
          </c:tx>
          <c:invertIfNegative val="0"/>
          <c:dLbls>
            <c:dLbl>
              <c:idx val="2"/>
              <c:layout>
                <c:manualLayout>
                  <c:x val="-1.1574074074074073E-2"/>
                  <c:y val="0"/>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Sheet1!$B$20:$B$26</c:f>
              <c:strCache>
                <c:ptCount val="7"/>
                <c:pt idx="0">
                  <c:v>Respiratorni distres novorođenčeta P22</c:v>
                </c:pt>
                <c:pt idx="1">
                  <c:v>Asfiksija novorođenčeta P21</c:v>
                </c:pt>
                <c:pt idx="2">
                  <c:v>Poremećaji vezani za kraću trudnoću i malu porođajnu težinu novorođenčeta P07</c:v>
                </c:pt>
                <c:pt idx="3">
                  <c:v>Druga plućna oboljenja srca I27</c:v>
                </c:pt>
                <c:pt idx="4">
                  <c:v>Druge kongentalne malformacije Q24</c:v>
                </c:pt>
                <c:pt idx="5">
                  <c:v>Kardiovaskularni poremećaji porijeklom iz perinatalnog perioda P29</c:v>
                </c:pt>
                <c:pt idx="6">
                  <c:v>Bakterijska sepsa novorođenčeta P36</c:v>
                </c:pt>
              </c:strCache>
            </c:strRef>
          </c:cat>
          <c:val>
            <c:numRef>
              <c:f>Sheet1!$C$20:$C$26</c:f>
              <c:numCache>
                <c:formatCode>0.0</c:formatCode>
                <c:ptCount val="7"/>
                <c:pt idx="0">
                  <c:v>18.02325581395349</c:v>
                </c:pt>
                <c:pt idx="1">
                  <c:v>16.279069767441861</c:v>
                </c:pt>
                <c:pt idx="2">
                  <c:v>15.697674418604652</c:v>
                </c:pt>
                <c:pt idx="3">
                  <c:v>5.8139534883720927</c:v>
                </c:pt>
                <c:pt idx="4">
                  <c:v>5.232558139534885</c:v>
                </c:pt>
              </c:numCache>
            </c:numRef>
          </c:val>
        </c:ser>
        <c:ser>
          <c:idx val="1"/>
          <c:order val="1"/>
          <c:tx>
            <c:strRef>
              <c:f>Sheet1!$D$19</c:f>
              <c:strCache>
                <c:ptCount val="1"/>
                <c:pt idx="0">
                  <c:v>2015.</c:v>
                </c:pt>
              </c:strCache>
            </c:strRef>
          </c:tx>
          <c:invertIfNegative val="0"/>
          <c:dLbls>
            <c:dLbl>
              <c:idx val="0"/>
              <c:layout>
                <c:manualLayout>
                  <c:x val="1.6203703703703703E-2"/>
                  <c:y val="0"/>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1574074074074073E-2"/>
                  <c:y val="0"/>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Sheet1!$B$20:$B$26</c:f>
              <c:strCache>
                <c:ptCount val="7"/>
                <c:pt idx="0">
                  <c:v>Respiratorni distres novorođenčeta P22</c:v>
                </c:pt>
                <c:pt idx="1">
                  <c:v>Asfiksija novorođenčeta P21</c:v>
                </c:pt>
                <c:pt idx="2">
                  <c:v>Poremećaji vezani za kraću trudnoću i malu porođajnu težinu novorođenčeta P07</c:v>
                </c:pt>
                <c:pt idx="3">
                  <c:v>Druga plućna oboljenja srca I27</c:v>
                </c:pt>
                <c:pt idx="4">
                  <c:v>Druge kongentalne malformacije Q24</c:v>
                </c:pt>
                <c:pt idx="5">
                  <c:v>Kardiovaskularni poremećaji porijeklom iz perinatalnog perioda P29</c:v>
                </c:pt>
                <c:pt idx="6">
                  <c:v>Bakterijska sepsa novorođenčeta P36</c:v>
                </c:pt>
              </c:strCache>
            </c:strRef>
          </c:cat>
          <c:val>
            <c:numRef>
              <c:f>Sheet1!$D$20:$D$26</c:f>
              <c:numCache>
                <c:formatCode>0.0</c:formatCode>
                <c:ptCount val="7"/>
                <c:pt idx="0">
                  <c:v>11</c:v>
                </c:pt>
                <c:pt idx="1">
                  <c:v>10.4</c:v>
                </c:pt>
                <c:pt idx="2">
                  <c:v>28.6</c:v>
                </c:pt>
                <c:pt idx="5">
                  <c:v>3.2</c:v>
                </c:pt>
                <c:pt idx="6">
                  <c:v>2.6</c:v>
                </c:pt>
              </c:numCache>
            </c:numRef>
          </c:val>
        </c:ser>
        <c:dLbls>
          <c:showLegendKey val="0"/>
          <c:showVal val="0"/>
          <c:showCatName val="0"/>
          <c:showSerName val="0"/>
          <c:showPercent val="0"/>
          <c:showBubbleSize val="0"/>
        </c:dLbls>
        <c:gapWidth val="150"/>
        <c:axId val="38513664"/>
        <c:axId val="38523648"/>
      </c:barChart>
      <c:catAx>
        <c:axId val="38513664"/>
        <c:scaling>
          <c:orientation val="minMax"/>
        </c:scaling>
        <c:delete val="0"/>
        <c:axPos val="b"/>
        <c:numFmt formatCode="General" sourceLinked="0"/>
        <c:majorTickMark val="out"/>
        <c:minorTickMark val="none"/>
        <c:tickLblPos val="nextTo"/>
        <c:txPr>
          <a:bodyPr rot="-5400000" vert="horz"/>
          <a:lstStyle/>
          <a:p>
            <a:pPr>
              <a:defRPr baseline="0">
                <a:latin typeface="Times New Roman" pitchFamily="18" charset="0"/>
              </a:defRPr>
            </a:pPr>
            <a:endParaRPr lang="sr-Latn-RS"/>
          </a:p>
        </c:txPr>
        <c:crossAx val="38523648"/>
        <c:crosses val="autoZero"/>
        <c:auto val="1"/>
        <c:lblAlgn val="ctr"/>
        <c:lblOffset val="100"/>
        <c:noMultiLvlLbl val="0"/>
      </c:catAx>
      <c:valAx>
        <c:axId val="38523648"/>
        <c:scaling>
          <c:orientation val="minMax"/>
        </c:scaling>
        <c:delete val="1"/>
        <c:axPos val="l"/>
        <c:numFmt formatCode="0.0" sourceLinked="1"/>
        <c:majorTickMark val="out"/>
        <c:minorTickMark val="none"/>
        <c:tickLblPos val="nextTo"/>
        <c:crossAx val="38513664"/>
        <c:crosses val="autoZero"/>
        <c:crossBetween val="between"/>
      </c:valAx>
    </c:plotArea>
    <c:legend>
      <c:legendPos val="r"/>
      <c:overlay val="0"/>
    </c:legend>
    <c:plotVisOnly val="1"/>
    <c:dispBlanksAs val="gap"/>
    <c:showDLblsOverMax val="0"/>
  </c:chart>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bs-Latn-BA"/>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barChart>
        <c:barDir val="col"/>
        <c:grouping val="clustered"/>
        <c:varyColors val="0"/>
        <c:ser>
          <c:idx val="0"/>
          <c:order val="0"/>
          <c:tx>
            <c:strRef>
              <c:f>Sheet1!$C$19</c:f>
              <c:strCache>
                <c:ptCount val="1"/>
                <c:pt idx="0">
                  <c:v>2010.</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Sheet1!$B$20:$B$24</c:f>
              <c:strCache>
                <c:ptCount val="5"/>
                <c:pt idx="0">
                  <c:v>Određena stanja porijeklom perinatalnog perioda  ( P00-P96)</c:v>
                </c:pt>
                <c:pt idx="1">
                  <c:v>Kongenitalne malformacijei hromozomske abnormalnosti  (Q00-Q99)</c:v>
                </c:pt>
                <c:pt idx="2">
                  <c:v>Oboljenja cirkulatornog sistema (I00-I99)</c:v>
                </c:pt>
                <c:pt idx="3">
                  <c:v>Povrede trovanja idruge posljedice spoljašnjih uzroka ( S00-T98 )</c:v>
                </c:pt>
                <c:pt idx="4">
                  <c:v>Određene infektivne i parazitarnr bolesti  (A00-B99)</c:v>
                </c:pt>
              </c:strCache>
            </c:strRef>
          </c:cat>
          <c:val>
            <c:numRef>
              <c:f>Sheet1!$C$20:$C$24</c:f>
              <c:numCache>
                <c:formatCode>0.0</c:formatCode>
                <c:ptCount val="5"/>
                <c:pt idx="0">
                  <c:v>5</c:v>
                </c:pt>
                <c:pt idx="1">
                  <c:v>1.8</c:v>
                </c:pt>
                <c:pt idx="2">
                  <c:v>0.60000000000000009</c:v>
                </c:pt>
                <c:pt idx="3">
                  <c:v>0.5</c:v>
                </c:pt>
                <c:pt idx="4">
                  <c:v>0.30000000000000004</c:v>
                </c:pt>
              </c:numCache>
            </c:numRef>
          </c:val>
        </c:ser>
        <c:ser>
          <c:idx val="1"/>
          <c:order val="1"/>
          <c:tx>
            <c:strRef>
              <c:f>Sheet1!$D$19</c:f>
              <c:strCache>
                <c:ptCount val="1"/>
                <c:pt idx="0">
                  <c:v>2015.</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Sheet1!$B$20:$B$24</c:f>
              <c:strCache>
                <c:ptCount val="5"/>
                <c:pt idx="0">
                  <c:v>Određena stanja porijeklom perinatalnog perioda  ( P00-P96)</c:v>
                </c:pt>
                <c:pt idx="1">
                  <c:v>Kongenitalne malformacijei hromozomske abnormalnosti  (Q00-Q99)</c:v>
                </c:pt>
                <c:pt idx="2">
                  <c:v>Oboljenja cirkulatornog sistema (I00-I99)</c:v>
                </c:pt>
                <c:pt idx="3">
                  <c:v>Povrede trovanja idruge posljedice spoljašnjih uzroka ( S00-T98 )</c:v>
                </c:pt>
                <c:pt idx="4">
                  <c:v>Određene infektivne i parazitarnr bolesti  (A00-B99)</c:v>
                </c:pt>
              </c:strCache>
            </c:strRef>
          </c:cat>
          <c:val>
            <c:numRef>
              <c:f>Sheet1!$D$20:$D$24</c:f>
              <c:numCache>
                <c:formatCode>0.0</c:formatCode>
                <c:ptCount val="5"/>
                <c:pt idx="0">
                  <c:v>5.4757722905258817</c:v>
                </c:pt>
                <c:pt idx="1">
                  <c:v>0.61989874987085458</c:v>
                </c:pt>
                <c:pt idx="2">
                  <c:v>0.87818989565037731</c:v>
                </c:pt>
                <c:pt idx="3">
                  <c:v>0.56824052071494979</c:v>
                </c:pt>
                <c:pt idx="4">
                  <c:v>0.61989874987085458</c:v>
                </c:pt>
              </c:numCache>
            </c:numRef>
          </c:val>
        </c:ser>
        <c:dLbls>
          <c:showLegendKey val="0"/>
          <c:showVal val="0"/>
          <c:showCatName val="0"/>
          <c:showSerName val="0"/>
          <c:showPercent val="0"/>
          <c:showBubbleSize val="0"/>
        </c:dLbls>
        <c:gapWidth val="150"/>
        <c:axId val="39217024"/>
        <c:axId val="39218560"/>
      </c:barChart>
      <c:catAx>
        <c:axId val="39217024"/>
        <c:scaling>
          <c:orientation val="minMax"/>
        </c:scaling>
        <c:delete val="0"/>
        <c:axPos val="b"/>
        <c:numFmt formatCode="General" sourceLinked="0"/>
        <c:majorTickMark val="out"/>
        <c:minorTickMark val="none"/>
        <c:tickLblPos val="nextTo"/>
        <c:txPr>
          <a:bodyPr rot="-5400000" vert="horz"/>
          <a:lstStyle/>
          <a:p>
            <a:pPr>
              <a:defRPr baseline="0">
                <a:latin typeface="Times New Roman" pitchFamily="18" charset="0"/>
              </a:defRPr>
            </a:pPr>
            <a:endParaRPr lang="sr-Latn-RS"/>
          </a:p>
        </c:txPr>
        <c:crossAx val="39218560"/>
        <c:crosses val="autoZero"/>
        <c:auto val="1"/>
        <c:lblAlgn val="ctr"/>
        <c:lblOffset val="100"/>
        <c:noMultiLvlLbl val="0"/>
      </c:catAx>
      <c:valAx>
        <c:axId val="39218560"/>
        <c:scaling>
          <c:orientation val="minMax"/>
        </c:scaling>
        <c:delete val="1"/>
        <c:axPos val="l"/>
        <c:numFmt formatCode="0.0" sourceLinked="1"/>
        <c:majorTickMark val="out"/>
        <c:minorTickMark val="none"/>
        <c:tickLblPos val="nextTo"/>
        <c:crossAx val="39217024"/>
        <c:crosses val="autoZero"/>
        <c:crossBetween val="between"/>
      </c:valAx>
    </c:plotArea>
    <c:legend>
      <c:legendPos val="r"/>
      <c:overlay val="0"/>
    </c:legend>
    <c:plotVisOnly val="1"/>
    <c:dispBlanksAs val="gap"/>
    <c:showDLblsOverMax val="0"/>
  </c:chart>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bs-Latn-B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trendline>
            <c:trendlineType val="linear"/>
            <c:dispRSqr val="0"/>
            <c:dispEq val="0"/>
          </c:trendline>
          <c:cat>
            <c:strRef>
              <c:f>[19]Sheet1!$B$4:$B$9</c:f>
              <c:strCache>
                <c:ptCount val="6"/>
                <c:pt idx="0">
                  <c:v>2010.</c:v>
                </c:pt>
                <c:pt idx="1">
                  <c:v>2011.</c:v>
                </c:pt>
                <c:pt idx="2">
                  <c:v>2012.</c:v>
                </c:pt>
                <c:pt idx="3">
                  <c:v>2013.</c:v>
                </c:pt>
                <c:pt idx="4">
                  <c:v>2014.</c:v>
                </c:pt>
                <c:pt idx="5">
                  <c:v>2015.</c:v>
                </c:pt>
              </c:strCache>
            </c:strRef>
          </c:cat>
          <c:val>
            <c:numRef>
              <c:f>[19]Sheet1!$E$4:$E$9</c:f>
              <c:numCache>
                <c:formatCode>General</c:formatCode>
                <c:ptCount val="6"/>
                <c:pt idx="0">
                  <c:v>8083.7247503914168</c:v>
                </c:pt>
                <c:pt idx="1">
                  <c:v>8295.4705829523537</c:v>
                </c:pt>
                <c:pt idx="2">
                  <c:v>8190.4924010286204</c:v>
                </c:pt>
                <c:pt idx="3">
                  <c:v>9154.081807290775</c:v>
                </c:pt>
                <c:pt idx="4">
                  <c:v>9302.8909729099141</c:v>
                </c:pt>
                <c:pt idx="5">
                  <c:v>9147.3593483062505</c:v>
                </c:pt>
              </c:numCache>
            </c:numRef>
          </c:val>
        </c:ser>
        <c:dLbls>
          <c:showLegendKey val="0"/>
          <c:showVal val="0"/>
          <c:showCatName val="0"/>
          <c:showSerName val="0"/>
          <c:showPercent val="0"/>
          <c:showBubbleSize val="0"/>
        </c:dLbls>
        <c:gapWidth val="150"/>
        <c:axId val="39231488"/>
        <c:axId val="39233024"/>
      </c:barChart>
      <c:catAx>
        <c:axId val="39231488"/>
        <c:scaling>
          <c:orientation val="minMax"/>
        </c:scaling>
        <c:delete val="0"/>
        <c:axPos val="b"/>
        <c:numFmt formatCode="General" sourceLinked="0"/>
        <c:majorTickMark val="out"/>
        <c:minorTickMark val="none"/>
        <c:tickLblPos val="nextTo"/>
        <c:crossAx val="39233024"/>
        <c:crosses val="autoZero"/>
        <c:auto val="1"/>
        <c:lblAlgn val="ctr"/>
        <c:lblOffset val="100"/>
        <c:noMultiLvlLbl val="0"/>
      </c:catAx>
      <c:valAx>
        <c:axId val="39233024"/>
        <c:scaling>
          <c:orientation val="minMax"/>
        </c:scaling>
        <c:delete val="0"/>
        <c:axPos val="l"/>
        <c:numFmt formatCode="General" sourceLinked="1"/>
        <c:majorTickMark val="out"/>
        <c:minorTickMark val="none"/>
        <c:tickLblPos val="nextTo"/>
        <c:crossAx val="39231488"/>
        <c:crosses val="autoZero"/>
        <c:crossBetween val="between"/>
      </c:valAx>
    </c:plotArea>
    <c:plotVisOnly val="1"/>
    <c:dispBlanksAs val="gap"/>
    <c:showDLblsOverMax val="0"/>
  </c:chart>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bs-Latn-B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526159230096237"/>
          <c:y val="5.0925925925925923E-2"/>
          <c:w val="0.86418285214348212"/>
          <c:h val="0.41342957130358704"/>
        </c:manualLayout>
      </c:layout>
      <c:barChart>
        <c:barDir val="col"/>
        <c:grouping val="clustered"/>
        <c:varyColors val="0"/>
        <c:ser>
          <c:idx val="0"/>
          <c:order val="0"/>
          <c:tx>
            <c:strRef>
              <c:f>Morbiditet!$A$26</c:f>
              <c:strCache>
                <c:ptCount val="1"/>
                <c:pt idx="0">
                  <c:v>Hipertenzivna oboljenja (I10-I15)</c:v>
                </c:pt>
              </c:strCache>
            </c:strRef>
          </c:tx>
          <c:spPr>
            <a:solidFill>
              <a:schemeClr val="accent1"/>
            </a:solidFill>
            <a:ln>
              <a:noFill/>
            </a:ln>
            <a:effectLst/>
          </c:spPr>
          <c:invertIfNegative val="0"/>
          <c:cat>
            <c:strRef>
              <c:f>Morbiditet!$B$25:$G$25</c:f>
              <c:strCache>
                <c:ptCount val="6"/>
                <c:pt idx="0">
                  <c:v>2010.</c:v>
                </c:pt>
                <c:pt idx="1">
                  <c:v>2011.</c:v>
                </c:pt>
                <c:pt idx="2">
                  <c:v>2012.</c:v>
                </c:pt>
                <c:pt idx="3">
                  <c:v>2013.</c:v>
                </c:pt>
                <c:pt idx="4">
                  <c:v>2014.</c:v>
                </c:pt>
                <c:pt idx="5">
                  <c:v>2015.</c:v>
                </c:pt>
              </c:strCache>
            </c:strRef>
          </c:cat>
          <c:val>
            <c:numRef>
              <c:f>Morbiditet!$B$26:$G$26</c:f>
              <c:numCache>
                <c:formatCode>0.0</c:formatCode>
                <c:ptCount val="6"/>
                <c:pt idx="0">
                  <c:v>848.6</c:v>
                </c:pt>
                <c:pt idx="1">
                  <c:v>909.8</c:v>
                </c:pt>
                <c:pt idx="2">
                  <c:v>941.6</c:v>
                </c:pt>
                <c:pt idx="3">
                  <c:v>1066.4000000000001</c:v>
                </c:pt>
                <c:pt idx="4">
                  <c:v>1140.9000000000001</c:v>
                </c:pt>
                <c:pt idx="5">
                  <c:v>1136.5999999999999</c:v>
                </c:pt>
              </c:numCache>
            </c:numRef>
          </c:val>
        </c:ser>
        <c:ser>
          <c:idx val="1"/>
          <c:order val="1"/>
          <c:tx>
            <c:strRef>
              <c:f>Morbiditet!$A$27</c:f>
              <c:strCache>
                <c:ptCount val="1"/>
                <c:pt idx="0">
                  <c:v>Mentalni poremećaji (F00-F99)</c:v>
                </c:pt>
              </c:strCache>
            </c:strRef>
          </c:tx>
          <c:spPr>
            <a:solidFill>
              <a:schemeClr val="accent2"/>
            </a:solidFill>
            <a:ln>
              <a:noFill/>
            </a:ln>
            <a:effectLst/>
          </c:spPr>
          <c:invertIfNegative val="0"/>
          <c:cat>
            <c:strRef>
              <c:f>Morbiditet!$B$25:$G$25</c:f>
              <c:strCache>
                <c:ptCount val="6"/>
                <c:pt idx="0">
                  <c:v>2010.</c:v>
                </c:pt>
                <c:pt idx="1">
                  <c:v>2011.</c:v>
                </c:pt>
                <c:pt idx="2">
                  <c:v>2012.</c:v>
                </c:pt>
                <c:pt idx="3">
                  <c:v>2013.</c:v>
                </c:pt>
                <c:pt idx="4">
                  <c:v>2014.</c:v>
                </c:pt>
                <c:pt idx="5">
                  <c:v>2015.</c:v>
                </c:pt>
              </c:strCache>
            </c:strRef>
          </c:cat>
          <c:val>
            <c:numRef>
              <c:f>Morbiditet!$B$27:$G$27</c:f>
              <c:numCache>
                <c:formatCode>0.0</c:formatCode>
                <c:ptCount val="6"/>
                <c:pt idx="0">
                  <c:v>274.2</c:v>
                </c:pt>
                <c:pt idx="1">
                  <c:v>286.8</c:v>
                </c:pt>
                <c:pt idx="2">
                  <c:v>310.8</c:v>
                </c:pt>
                <c:pt idx="3">
                  <c:v>336.7</c:v>
                </c:pt>
                <c:pt idx="4">
                  <c:v>346.1</c:v>
                </c:pt>
                <c:pt idx="5">
                  <c:v>325.60000000000002</c:v>
                </c:pt>
              </c:numCache>
            </c:numRef>
          </c:val>
        </c:ser>
        <c:ser>
          <c:idx val="2"/>
          <c:order val="2"/>
          <c:tx>
            <c:strRef>
              <c:f>Morbiditet!$A$28</c:f>
              <c:strCache>
                <c:ptCount val="1"/>
                <c:pt idx="0">
                  <c:v>Druge dorzopatije(M40-M49,M53-M54)</c:v>
                </c:pt>
              </c:strCache>
            </c:strRef>
          </c:tx>
          <c:spPr>
            <a:solidFill>
              <a:schemeClr val="accent3"/>
            </a:solidFill>
            <a:ln>
              <a:noFill/>
            </a:ln>
            <a:effectLst/>
          </c:spPr>
          <c:invertIfNegative val="0"/>
          <c:cat>
            <c:strRef>
              <c:f>Morbiditet!$B$25:$G$25</c:f>
              <c:strCache>
                <c:ptCount val="6"/>
                <c:pt idx="0">
                  <c:v>2010.</c:v>
                </c:pt>
                <c:pt idx="1">
                  <c:v>2011.</c:v>
                </c:pt>
                <c:pt idx="2">
                  <c:v>2012.</c:v>
                </c:pt>
                <c:pt idx="3">
                  <c:v>2013.</c:v>
                </c:pt>
                <c:pt idx="4">
                  <c:v>2014.</c:v>
                </c:pt>
                <c:pt idx="5">
                  <c:v>2015.</c:v>
                </c:pt>
              </c:strCache>
            </c:strRef>
          </c:cat>
          <c:val>
            <c:numRef>
              <c:f>Morbiditet!$B$28:$G$28</c:f>
              <c:numCache>
                <c:formatCode>0.0</c:formatCode>
                <c:ptCount val="6"/>
                <c:pt idx="0">
                  <c:v>241</c:v>
                </c:pt>
                <c:pt idx="1">
                  <c:v>240.4</c:v>
                </c:pt>
                <c:pt idx="2">
                  <c:v>244.7</c:v>
                </c:pt>
                <c:pt idx="3">
                  <c:v>286.39999999999998</c:v>
                </c:pt>
                <c:pt idx="4">
                  <c:v>308.89999999999998</c:v>
                </c:pt>
                <c:pt idx="5">
                  <c:v>307.2</c:v>
                </c:pt>
              </c:numCache>
            </c:numRef>
          </c:val>
        </c:ser>
        <c:ser>
          <c:idx val="3"/>
          <c:order val="3"/>
          <c:tx>
            <c:strRef>
              <c:f>Morbiditet!$A$29</c:f>
              <c:strCache>
                <c:ptCount val="1"/>
                <c:pt idx="0">
                  <c:v>Šećerna bolest (E10-E14)</c:v>
                </c:pt>
              </c:strCache>
            </c:strRef>
          </c:tx>
          <c:spPr>
            <a:solidFill>
              <a:schemeClr val="accent4"/>
            </a:solidFill>
            <a:ln>
              <a:noFill/>
            </a:ln>
            <a:effectLst/>
          </c:spPr>
          <c:invertIfNegative val="0"/>
          <c:cat>
            <c:strRef>
              <c:f>Morbiditet!$B$25:$G$25</c:f>
              <c:strCache>
                <c:ptCount val="6"/>
                <c:pt idx="0">
                  <c:v>2010.</c:v>
                </c:pt>
                <c:pt idx="1">
                  <c:v>2011.</c:v>
                </c:pt>
                <c:pt idx="2">
                  <c:v>2012.</c:v>
                </c:pt>
                <c:pt idx="3">
                  <c:v>2013.</c:v>
                </c:pt>
                <c:pt idx="4">
                  <c:v>2014.</c:v>
                </c:pt>
                <c:pt idx="5">
                  <c:v>2015.</c:v>
                </c:pt>
              </c:strCache>
            </c:strRef>
          </c:cat>
          <c:val>
            <c:numRef>
              <c:f>Morbiditet!$B$29:$G$29</c:f>
              <c:numCache>
                <c:formatCode>0.0</c:formatCode>
                <c:ptCount val="6"/>
                <c:pt idx="0">
                  <c:v>216.8</c:v>
                </c:pt>
                <c:pt idx="1">
                  <c:v>240.3</c:v>
                </c:pt>
                <c:pt idx="2">
                  <c:v>266.10000000000002</c:v>
                </c:pt>
                <c:pt idx="3">
                  <c:v>306.39999999999998</c:v>
                </c:pt>
                <c:pt idx="4">
                  <c:v>303.8</c:v>
                </c:pt>
                <c:pt idx="5">
                  <c:v>308</c:v>
                </c:pt>
              </c:numCache>
            </c:numRef>
          </c:val>
        </c:ser>
        <c:ser>
          <c:idx val="4"/>
          <c:order val="4"/>
          <c:tx>
            <c:strRef>
              <c:f>Morbiditet!$A$30</c:f>
              <c:strCache>
                <c:ptCount val="1"/>
                <c:pt idx="0">
                  <c:v>Hronična plućna obstruktivna oboljenja (J40-J46)</c:v>
                </c:pt>
              </c:strCache>
            </c:strRef>
          </c:tx>
          <c:spPr>
            <a:solidFill>
              <a:schemeClr val="accent5"/>
            </a:solidFill>
            <a:ln>
              <a:noFill/>
            </a:ln>
            <a:effectLst/>
          </c:spPr>
          <c:invertIfNegative val="0"/>
          <c:cat>
            <c:strRef>
              <c:f>Morbiditet!$B$25:$G$25</c:f>
              <c:strCache>
                <c:ptCount val="6"/>
                <c:pt idx="0">
                  <c:v>2010.</c:v>
                </c:pt>
                <c:pt idx="1">
                  <c:v>2011.</c:v>
                </c:pt>
                <c:pt idx="2">
                  <c:v>2012.</c:v>
                </c:pt>
                <c:pt idx="3">
                  <c:v>2013.</c:v>
                </c:pt>
                <c:pt idx="4">
                  <c:v>2014.</c:v>
                </c:pt>
                <c:pt idx="5">
                  <c:v>2015.</c:v>
                </c:pt>
              </c:strCache>
            </c:strRef>
          </c:cat>
          <c:val>
            <c:numRef>
              <c:f>Morbiditet!$B$30:$G$30</c:f>
              <c:numCache>
                <c:formatCode>0.0</c:formatCode>
                <c:ptCount val="6"/>
                <c:pt idx="0">
                  <c:v>155</c:v>
                </c:pt>
                <c:pt idx="1">
                  <c:v>153.69999999999999</c:v>
                </c:pt>
                <c:pt idx="2">
                  <c:v>151.9</c:v>
                </c:pt>
                <c:pt idx="3">
                  <c:v>169.8</c:v>
                </c:pt>
                <c:pt idx="4">
                  <c:v>177.7</c:v>
                </c:pt>
                <c:pt idx="5">
                  <c:v>177.5</c:v>
                </c:pt>
              </c:numCache>
            </c:numRef>
          </c:val>
        </c:ser>
        <c:ser>
          <c:idx val="5"/>
          <c:order val="5"/>
          <c:tx>
            <c:strRef>
              <c:f>Morbiditet!$A$31</c:f>
              <c:strCache>
                <c:ptCount val="1"/>
                <c:pt idx="0">
                  <c:v>Ishemična srčana oboljenja (I20,I23,-I25) </c:v>
                </c:pt>
              </c:strCache>
            </c:strRef>
          </c:tx>
          <c:spPr>
            <a:solidFill>
              <a:schemeClr val="accent6"/>
            </a:solidFill>
            <a:ln>
              <a:noFill/>
            </a:ln>
            <a:effectLst/>
          </c:spPr>
          <c:invertIfNegative val="0"/>
          <c:cat>
            <c:strRef>
              <c:f>Morbiditet!$B$25:$G$25</c:f>
              <c:strCache>
                <c:ptCount val="6"/>
                <c:pt idx="0">
                  <c:v>2010.</c:v>
                </c:pt>
                <c:pt idx="1">
                  <c:v>2011.</c:v>
                </c:pt>
                <c:pt idx="2">
                  <c:v>2012.</c:v>
                </c:pt>
                <c:pt idx="3">
                  <c:v>2013.</c:v>
                </c:pt>
                <c:pt idx="4">
                  <c:v>2014.</c:v>
                </c:pt>
                <c:pt idx="5">
                  <c:v>2015.</c:v>
                </c:pt>
              </c:strCache>
            </c:strRef>
          </c:cat>
          <c:val>
            <c:numRef>
              <c:f>Morbiditet!$B$31:$G$31</c:f>
              <c:numCache>
                <c:formatCode>0.0</c:formatCode>
                <c:ptCount val="6"/>
                <c:pt idx="0">
                  <c:v>94.6</c:v>
                </c:pt>
                <c:pt idx="1">
                  <c:v>96.5</c:v>
                </c:pt>
                <c:pt idx="2">
                  <c:v>95.6</c:v>
                </c:pt>
                <c:pt idx="3">
                  <c:v>111.8</c:v>
                </c:pt>
                <c:pt idx="4">
                  <c:v>101.9</c:v>
                </c:pt>
                <c:pt idx="5">
                  <c:v>105.2</c:v>
                </c:pt>
              </c:numCache>
            </c:numRef>
          </c:val>
        </c:ser>
        <c:ser>
          <c:idx val="6"/>
          <c:order val="6"/>
          <c:tx>
            <c:strRef>
              <c:f>Morbiditet!$A$32</c:f>
              <c:strCache>
                <c:ptCount val="1"/>
                <c:pt idx="0">
                  <c:v>Gastritis i duodenalni ulkus  (K25-K27)</c:v>
                </c:pt>
              </c:strCache>
            </c:strRef>
          </c:tx>
          <c:spPr>
            <a:solidFill>
              <a:schemeClr val="accent1">
                <a:lumMod val="60000"/>
              </a:schemeClr>
            </a:solidFill>
            <a:ln>
              <a:noFill/>
            </a:ln>
            <a:effectLst/>
          </c:spPr>
          <c:invertIfNegative val="0"/>
          <c:cat>
            <c:strRef>
              <c:f>Morbiditet!$B$25:$G$25</c:f>
              <c:strCache>
                <c:ptCount val="6"/>
                <c:pt idx="0">
                  <c:v>2010.</c:v>
                </c:pt>
                <c:pt idx="1">
                  <c:v>2011.</c:v>
                </c:pt>
                <c:pt idx="2">
                  <c:v>2012.</c:v>
                </c:pt>
                <c:pt idx="3">
                  <c:v>2013.</c:v>
                </c:pt>
                <c:pt idx="4">
                  <c:v>2014.</c:v>
                </c:pt>
                <c:pt idx="5">
                  <c:v>2015.</c:v>
                </c:pt>
              </c:strCache>
            </c:strRef>
          </c:cat>
          <c:val>
            <c:numRef>
              <c:f>Morbiditet!$B$32:$G$32</c:f>
              <c:numCache>
                <c:formatCode>0.0</c:formatCode>
                <c:ptCount val="6"/>
                <c:pt idx="0">
                  <c:v>60.6</c:v>
                </c:pt>
                <c:pt idx="1">
                  <c:v>56.8</c:v>
                </c:pt>
                <c:pt idx="2">
                  <c:v>57.7</c:v>
                </c:pt>
                <c:pt idx="3">
                  <c:v>57.8</c:v>
                </c:pt>
                <c:pt idx="4">
                  <c:v>58.9</c:v>
                </c:pt>
                <c:pt idx="5">
                  <c:v>42.9</c:v>
                </c:pt>
              </c:numCache>
            </c:numRef>
          </c:val>
        </c:ser>
        <c:ser>
          <c:idx val="7"/>
          <c:order val="7"/>
          <c:tx>
            <c:strRef>
              <c:f>Morbiditet!$A$33</c:f>
              <c:strCache>
                <c:ptCount val="1"/>
                <c:pt idx="0">
                  <c:v>Maligne neoplazme (C00-C96)  </c:v>
                </c:pt>
              </c:strCache>
            </c:strRef>
          </c:tx>
          <c:spPr>
            <a:solidFill>
              <a:schemeClr val="accent2">
                <a:lumMod val="60000"/>
              </a:schemeClr>
            </a:solidFill>
            <a:ln>
              <a:noFill/>
            </a:ln>
            <a:effectLst/>
          </c:spPr>
          <c:invertIfNegative val="0"/>
          <c:cat>
            <c:strRef>
              <c:f>Morbiditet!$B$25:$G$25</c:f>
              <c:strCache>
                <c:ptCount val="6"/>
                <c:pt idx="0">
                  <c:v>2010.</c:v>
                </c:pt>
                <c:pt idx="1">
                  <c:v>2011.</c:v>
                </c:pt>
                <c:pt idx="2">
                  <c:v>2012.</c:v>
                </c:pt>
                <c:pt idx="3">
                  <c:v>2013.</c:v>
                </c:pt>
                <c:pt idx="4">
                  <c:v>2014.</c:v>
                </c:pt>
                <c:pt idx="5">
                  <c:v>2015.</c:v>
                </c:pt>
              </c:strCache>
            </c:strRef>
          </c:cat>
          <c:val>
            <c:numRef>
              <c:f>Morbiditet!$B$33:$G$33</c:f>
              <c:numCache>
                <c:formatCode>0.0</c:formatCode>
                <c:ptCount val="6"/>
                <c:pt idx="0">
                  <c:v>52.2</c:v>
                </c:pt>
                <c:pt idx="1">
                  <c:v>51</c:v>
                </c:pt>
                <c:pt idx="2">
                  <c:v>56</c:v>
                </c:pt>
                <c:pt idx="3">
                  <c:v>62.7</c:v>
                </c:pt>
                <c:pt idx="4">
                  <c:v>67.2</c:v>
                </c:pt>
                <c:pt idx="5">
                  <c:v>62.7</c:v>
                </c:pt>
              </c:numCache>
            </c:numRef>
          </c:val>
        </c:ser>
        <c:dLbls>
          <c:showLegendKey val="0"/>
          <c:showVal val="0"/>
          <c:showCatName val="0"/>
          <c:showSerName val="0"/>
          <c:showPercent val="0"/>
          <c:showBubbleSize val="0"/>
        </c:dLbls>
        <c:gapWidth val="219"/>
        <c:overlap val="-27"/>
        <c:axId val="39618816"/>
        <c:axId val="39624704"/>
      </c:barChart>
      <c:catAx>
        <c:axId val="396188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39624704"/>
        <c:crosses val="autoZero"/>
        <c:auto val="1"/>
        <c:lblAlgn val="ctr"/>
        <c:lblOffset val="100"/>
        <c:noMultiLvlLbl val="0"/>
      </c:catAx>
      <c:valAx>
        <c:axId val="3962470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39618816"/>
        <c:crosses val="autoZero"/>
        <c:crossBetween val="between"/>
      </c:valAx>
      <c:spPr>
        <a:noFill/>
        <a:ln>
          <a:noFill/>
        </a:ln>
        <a:effectLst/>
      </c:spPr>
    </c:plotArea>
    <c:legend>
      <c:legendPos val="b"/>
      <c:layout>
        <c:manualLayout>
          <c:xMode val="edge"/>
          <c:yMode val="edge"/>
          <c:x val="0.13334387433195516"/>
          <c:y val="0.5978485179771279"/>
          <c:w val="0.78886767279090109"/>
          <c:h val="0.33049824036654424"/>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bs-Latn-B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cked"/>
        <c:varyColors val="0"/>
        <c:ser>
          <c:idx val="0"/>
          <c:order val="0"/>
          <c:tx>
            <c:strRef>
              <c:f>'C:\Users\Korisnik\Desktop\zdravstveno 2015 AZRA\[Copy of grafikoni-tabele jasna omanic.xls]grafikon19'!$C$4</c:f>
              <c:strCache>
                <c:ptCount val="1"/>
                <c:pt idx="0">
                  <c:v>muškarci</c:v>
                </c:pt>
              </c:strCache>
            </c:strRef>
          </c:tx>
          <c:dLbls>
            <c:dLbl>
              <c:idx val="0"/>
              <c:layout>
                <c:manualLayout>
                  <c:x val="-1.7232094776521271E-2"/>
                  <c:y val="4.075691411935943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2924071082390954E-2"/>
                  <c:y val="5.8224163027656477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1.9386106623586471E-2"/>
                  <c:y val="3.4934497816593885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1.5078082929456152E-2"/>
                  <c:y val="4.6579330422125184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1.9386106623586509E-2"/>
                  <c:y val="3.4934497816593781E-2"/>
                </c:manualLayout>
              </c:layout>
              <c:showLegendKey val="0"/>
              <c:showVal val="1"/>
              <c:showCatName val="0"/>
              <c:showSerName val="0"/>
              <c:showPercent val="0"/>
              <c:showBubbleSize val="0"/>
              <c:extLst>
                <c:ext xmlns:c15="http://schemas.microsoft.com/office/drawing/2012/chart" uri="{CE6537A1-D6FC-4f65-9D91-7224C49458BB}"/>
              </c:extLst>
            </c:dLbl>
            <c:dLbl>
              <c:idx val="5"/>
              <c:layout>
                <c:manualLayout>
                  <c:x val="-1.507808292945619E-2"/>
                  <c:y val="5.8224163027656477E-2"/>
                </c:manualLayout>
              </c:layout>
              <c:showLegendKey val="0"/>
              <c:showVal val="1"/>
              <c:showCatName val="0"/>
              <c:showSerName val="0"/>
              <c:showPercent val="0"/>
              <c:showBubbleSize val="0"/>
              <c:extLst>
                <c:ext xmlns:c15="http://schemas.microsoft.com/office/drawing/2012/chart" uri="{CE6537A1-D6FC-4f65-9D91-7224C49458BB}"/>
              </c:extLst>
            </c:dLbl>
            <c:dLbl>
              <c:idx val="6"/>
              <c:layout>
                <c:manualLayout>
                  <c:x val="-2.1540118470651588E-2"/>
                  <c:y val="4.6579330422125129E-2"/>
                </c:manualLayout>
              </c:layout>
              <c:showLegendKey val="0"/>
              <c:showVal val="1"/>
              <c:showCatName val="0"/>
              <c:showSerName val="0"/>
              <c:showPercent val="0"/>
              <c:showBubbleSize val="0"/>
              <c:extLst>
                <c:ext xmlns:c15="http://schemas.microsoft.com/office/drawing/2012/chart" uri="{CE6537A1-D6FC-4f65-9D91-7224C49458BB}"/>
              </c:extLst>
            </c:dLbl>
            <c:dLbl>
              <c:idx val="7"/>
              <c:layout>
                <c:manualLayout>
                  <c:x val="-3.0156165858912305E-2"/>
                  <c:y val="5.8224163027656477E-2"/>
                </c:manualLayout>
              </c:layout>
              <c:showLegendKey val="0"/>
              <c:showVal val="1"/>
              <c:showCatName val="0"/>
              <c:showSerName val="0"/>
              <c:showPercent val="0"/>
              <c:showBubbleSize val="0"/>
              <c:extLst>
                <c:ext xmlns:c15="http://schemas.microsoft.com/office/drawing/2012/chart" uri="{CE6537A1-D6FC-4f65-9D91-7224C49458BB}"/>
              </c:extLst>
            </c:dLbl>
            <c:dLbl>
              <c:idx val="8"/>
              <c:layout>
                <c:manualLayout>
                  <c:x val="-2.1540118470651588E-2"/>
                  <c:y val="3.4934497816593885E-2"/>
                </c:manualLayout>
              </c:layout>
              <c:showLegendKey val="0"/>
              <c:showVal val="1"/>
              <c:showCatName val="0"/>
              <c:showSerName val="0"/>
              <c:showPercent val="0"/>
              <c:showBubbleSize val="0"/>
              <c:extLst>
                <c:ext xmlns:c15="http://schemas.microsoft.com/office/drawing/2012/chart" uri="{CE6537A1-D6FC-4f65-9D91-7224C49458BB}"/>
              </c:extLst>
            </c:dLbl>
            <c:dLbl>
              <c:idx val="9"/>
              <c:layout>
                <c:manualLayout>
                  <c:x val="-1.9386106623586429E-2"/>
                  <c:y val="4.6579330422125184E-2"/>
                </c:manualLayout>
              </c:layout>
              <c:showLegendKey val="0"/>
              <c:showVal val="1"/>
              <c:showCatName val="0"/>
              <c:showSerName val="0"/>
              <c:showPercent val="0"/>
              <c:showBubbleSize val="0"/>
              <c:extLst>
                <c:ext xmlns:c15="http://schemas.microsoft.com/office/drawing/2012/chart" uri="{CE6537A1-D6FC-4f65-9D91-7224C49458BB}"/>
              </c:extLst>
            </c:dLbl>
            <c:spPr>
              <a:noFill/>
              <a:ln w="25400">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[16]grafikon19!$B$5:$B$15</c:f>
              <c:numCache>
                <c:formatCode>General</c:formatCode>
                <c:ptCount val="11"/>
                <c:pt idx="0">
                  <c:v>2004</c:v>
                </c:pt>
                <c:pt idx="1">
                  <c:v>2005</c:v>
                </c:pt>
                <c:pt idx="2">
                  <c:v>2006</c:v>
                </c:pt>
                <c:pt idx="3">
                  <c:v>2007</c:v>
                </c:pt>
                <c:pt idx="4">
                  <c:v>2008</c:v>
                </c:pt>
                <c:pt idx="5">
                  <c:v>2009</c:v>
                </c:pt>
                <c:pt idx="6">
                  <c:v>2010</c:v>
                </c:pt>
                <c:pt idx="7">
                  <c:v>2011</c:v>
                </c:pt>
                <c:pt idx="8">
                  <c:v>2012</c:v>
                </c:pt>
                <c:pt idx="9">
                  <c:v>2013</c:v>
                </c:pt>
                <c:pt idx="10">
                  <c:v>2014</c:v>
                </c:pt>
              </c:numCache>
            </c:numRef>
          </c:cat>
          <c:val>
            <c:numRef>
              <c:f>[16]grafikon19!$C$5:$C$15</c:f>
              <c:numCache>
                <c:formatCode>General</c:formatCode>
                <c:ptCount val="11"/>
                <c:pt idx="0">
                  <c:v>186.8</c:v>
                </c:pt>
                <c:pt idx="1">
                  <c:v>204.3</c:v>
                </c:pt>
                <c:pt idx="2">
                  <c:v>199.3</c:v>
                </c:pt>
                <c:pt idx="3">
                  <c:v>192.1</c:v>
                </c:pt>
                <c:pt idx="4">
                  <c:v>229.2</c:v>
                </c:pt>
                <c:pt idx="5">
                  <c:v>263.2</c:v>
                </c:pt>
                <c:pt idx="6">
                  <c:v>228.5</c:v>
                </c:pt>
                <c:pt idx="7">
                  <c:v>229.5</c:v>
                </c:pt>
                <c:pt idx="8">
                  <c:v>187.5</c:v>
                </c:pt>
                <c:pt idx="9">
                  <c:v>173.3</c:v>
                </c:pt>
                <c:pt idx="10">
                  <c:v>215.7</c:v>
                </c:pt>
              </c:numCache>
            </c:numRef>
          </c:val>
          <c:smooth val="0"/>
        </c:ser>
        <c:ser>
          <c:idx val="1"/>
          <c:order val="1"/>
          <c:tx>
            <c:strRef>
              <c:f>'C:\Users\Korisnik\Desktop\zdravstveno 2015 AZRA\[Copy of grafikoni-tabele jasna omanic.xls]grafikon19'!$D$4</c:f>
              <c:strCache>
                <c:ptCount val="1"/>
                <c:pt idx="0">
                  <c:v>žene</c:v>
                </c:pt>
              </c:strCache>
            </c:strRef>
          </c:tx>
          <c:dLbls>
            <c:dLbl>
              <c:idx val="0"/>
              <c:layout>
                <c:manualLayout>
                  <c:x val="-3.2310177705977376E-2"/>
                  <c:y val="-5.8224163027656477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3.8772213247172858E-2"/>
                  <c:y val="-6.4046579330422154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3.4464189553042542E-2"/>
                  <c:y val="-5.8224163027656477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3.2310177705977459E-2"/>
                  <c:y val="-8.1513828238719097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3.0156165858912225E-2"/>
                  <c:y val="-5.8224163027656504E-2"/>
                </c:manualLayout>
              </c:layout>
              <c:showLegendKey val="0"/>
              <c:showVal val="1"/>
              <c:showCatName val="0"/>
              <c:showSerName val="0"/>
              <c:showPercent val="0"/>
              <c:showBubbleSize val="0"/>
              <c:extLst>
                <c:ext xmlns:c15="http://schemas.microsoft.com/office/drawing/2012/chart" uri="{CE6537A1-D6FC-4f65-9D91-7224C49458BB}"/>
              </c:extLst>
            </c:dLbl>
            <c:dLbl>
              <c:idx val="5"/>
              <c:layout>
                <c:manualLayout>
                  <c:x val="-3.4464189553042618E-2"/>
                  <c:y val="-5.2401746724890827E-2"/>
                </c:manualLayout>
              </c:layout>
              <c:showLegendKey val="0"/>
              <c:showVal val="1"/>
              <c:showCatName val="0"/>
              <c:showSerName val="0"/>
              <c:showPercent val="0"/>
              <c:showBubbleSize val="0"/>
              <c:extLst>
                <c:ext xmlns:c15="http://schemas.microsoft.com/office/drawing/2012/chart" uri="{CE6537A1-D6FC-4f65-9D91-7224C49458BB}"/>
              </c:extLst>
            </c:dLbl>
            <c:dLbl>
              <c:idx val="6"/>
              <c:layout>
                <c:manualLayout>
                  <c:x val="-3.0156165858912225E-2"/>
                  <c:y val="-6.9868995633187769E-2"/>
                </c:manualLayout>
              </c:layout>
              <c:showLegendKey val="0"/>
              <c:showVal val="1"/>
              <c:showCatName val="0"/>
              <c:showSerName val="0"/>
              <c:showPercent val="0"/>
              <c:showBubbleSize val="0"/>
              <c:extLst>
                <c:ext xmlns:c15="http://schemas.microsoft.com/office/drawing/2012/chart" uri="{CE6537A1-D6FC-4f65-9D91-7224C49458BB}"/>
              </c:extLst>
            </c:dLbl>
            <c:dLbl>
              <c:idx val="7"/>
              <c:layout>
                <c:manualLayout>
                  <c:x val="-3.0156165858912305E-2"/>
                  <c:y val="-6.4046579330422126E-2"/>
                </c:manualLayout>
              </c:layout>
              <c:showLegendKey val="0"/>
              <c:showVal val="1"/>
              <c:showCatName val="0"/>
              <c:showSerName val="0"/>
              <c:showPercent val="0"/>
              <c:showBubbleSize val="0"/>
              <c:extLst>
                <c:ext xmlns:c15="http://schemas.microsoft.com/office/drawing/2012/chart" uri="{CE6537A1-D6FC-4f65-9D91-7224C49458BB}"/>
              </c:extLst>
            </c:dLbl>
            <c:dLbl>
              <c:idx val="8"/>
              <c:layout>
                <c:manualLayout>
                  <c:x val="-2.1540118470651588E-2"/>
                  <c:y val="-5.2401746724890855E-2"/>
                </c:manualLayout>
              </c:layout>
              <c:showLegendKey val="0"/>
              <c:showVal val="1"/>
              <c:showCatName val="0"/>
              <c:showSerName val="0"/>
              <c:showPercent val="0"/>
              <c:showBubbleSize val="0"/>
              <c:extLst>
                <c:ext xmlns:c15="http://schemas.microsoft.com/office/drawing/2012/chart" uri="{CE6537A1-D6FC-4f65-9D91-7224C49458BB}"/>
              </c:extLst>
            </c:dLbl>
            <c:dLbl>
              <c:idx val="9"/>
              <c:layout>
                <c:manualLayout>
                  <c:x val="-3.8772213247172858E-2"/>
                  <c:y val="-6.9868995633187825E-2"/>
                </c:manualLayout>
              </c:layout>
              <c:showLegendKey val="0"/>
              <c:showVal val="1"/>
              <c:showCatName val="0"/>
              <c:showSerName val="0"/>
              <c:showPercent val="0"/>
              <c:showBubbleSize val="0"/>
              <c:extLst>
                <c:ext xmlns:c15="http://schemas.microsoft.com/office/drawing/2012/chart" uri="{CE6537A1-D6FC-4f65-9D91-7224C49458BB}"/>
              </c:extLst>
            </c:dLbl>
            <c:spPr>
              <a:noFill/>
              <a:ln w="25400">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[16]grafikon19!$B$5:$B$15</c:f>
              <c:numCache>
                <c:formatCode>General</c:formatCode>
                <c:ptCount val="11"/>
                <c:pt idx="0">
                  <c:v>2004</c:v>
                </c:pt>
                <c:pt idx="1">
                  <c:v>2005</c:v>
                </c:pt>
                <c:pt idx="2">
                  <c:v>2006</c:v>
                </c:pt>
                <c:pt idx="3">
                  <c:v>2007</c:v>
                </c:pt>
                <c:pt idx="4">
                  <c:v>2008</c:v>
                </c:pt>
                <c:pt idx="5">
                  <c:v>2009</c:v>
                </c:pt>
                <c:pt idx="6">
                  <c:v>2010</c:v>
                </c:pt>
                <c:pt idx="7">
                  <c:v>2011</c:v>
                </c:pt>
                <c:pt idx="8">
                  <c:v>2012</c:v>
                </c:pt>
                <c:pt idx="9">
                  <c:v>2013</c:v>
                </c:pt>
                <c:pt idx="10">
                  <c:v>2014</c:v>
                </c:pt>
              </c:numCache>
            </c:numRef>
          </c:cat>
          <c:val>
            <c:numRef>
              <c:f>[16]grafikon19!$D$5:$D$15</c:f>
              <c:numCache>
                <c:formatCode>General</c:formatCode>
                <c:ptCount val="11"/>
                <c:pt idx="0">
                  <c:v>165</c:v>
                </c:pt>
                <c:pt idx="1">
                  <c:v>187.2</c:v>
                </c:pt>
                <c:pt idx="2">
                  <c:v>171.9</c:v>
                </c:pt>
                <c:pt idx="3">
                  <c:v>165.6</c:v>
                </c:pt>
                <c:pt idx="4">
                  <c:v>195</c:v>
                </c:pt>
                <c:pt idx="5">
                  <c:v>231.4</c:v>
                </c:pt>
                <c:pt idx="6">
                  <c:v>200.6</c:v>
                </c:pt>
                <c:pt idx="7">
                  <c:v>210.5</c:v>
                </c:pt>
                <c:pt idx="8">
                  <c:v>172</c:v>
                </c:pt>
                <c:pt idx="9">
                  <c:v>156.1</c:v>
                </c:pt>
                <c:pt idx="10">
                  <c:v>201.3</c:v>
                </c:pt>
              </c:numCache>
            </c:numRef>
          </c:val>
          <c:smooth val="0"/>
        </c:ser>
        <c:dLbls>
          <c:showLegendKey val="0"/>
          <c:showVal val="0"/>
          <c:showCatName val="0"/>
          <c:showSerName val="0"/>
          <c:showPercent val="0"/>
          <c:showBubbleSize val="0"/>
        </c:dLbls>
        <c:marker val="1"/>
        <c:smooth val="0"/>
        <c:axId val="37176832"/>
        <c:axId val="37178368"/>
      </c:lineChart>
      <c:catAx>
        <c:axId val="37176832"/>
        <c:scaling>
          <c:orientation val="minMax"/>
        </c:scaling>
        <c:delete val="0"/>
        <c:axPos val="b"/>
        <c:numFmt formatCode="General" sourceLinked="1"/>
        <c:majorTickMark val="none"/>
        <c:minorTickMark val="none"/>
        <c:tickLblPos val="nextTo"/>
        <c:crossAx val="37178368"/>
        <c:crosses val="autoZero"/>
        <c:auto val="1"/>
        <c:lblAlgn val="ctr"/>
        <c:lblOffset val="100"/>
        <c:noMultiLvlLbl val="0"/>
      </c:catAx>
      <c:valAx>
        <c:axId val="37178368"/>
        <c:scaling>
          <c:orientation val="minMax"/>
        </c:scaling>
        <c:delete val="1"/>
        <c:axPos val="l"/>
        <c:numFmt formatCode="General" sourceLinked="1"/>
        <c:majorTickMark val="out"/>
        <c:minorTickMark val="none"/>
        <c:tickLblPos val="nextTo"/>
        <c:crossAx val="37176832"/>
        <c:crosses val="autoZero"/>
        <c:crossBetween val="between"/>
      </c:valAx>
    </c:plotArea>
    <c:legend>
      <c:legendPos val="b"/>
      <c:overlay val="0"/>
    </c:legend>
    <c:plotVisOnly val="1"/>
    <c:dispBlanksAs val="zero"/>
    <c:showDLblsOverMax val="0"/>
  </c:chart>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bs-Latn-B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0555555555555555E-2"/>
          <c:y val="6.4814814814814811E-2"/>
          <c:w val="0.93888888888888888"/>
          <c:h val="0.73577136191309422"/>
        </c:manualLayout>
      </c:layout>
      <c:barChart>
        <c:barDir val="col"/>
        <c:grouping val="clustered"/>
        <c:varyColors val="0"/>
        <c:ser>
          <c:idx val="0"/>
          <c:order val="0"/>
          <c:tx>
            <c:strRef>
              <c:f>Morbiditet!$B$62</c:f>
              <c:strCache>
                <c:ptCount val="1"/>
                <c:pt idx="0">
                  <c:v>muškarci</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Morbiditet!$A$63:$A$70</c:f>
              <c:strCache>
                <c:ptCount val="8"/>
                <c:pt idx="0">
                  <c:v>Ukupno</c:v>
                </c:pt>
                <c:pt idx="1">
                  <c:v>0-14</c:v>
                </c:pt>
                <c:pt idx="2">
                  <c:v>15-24</c:v>
                </c:pt>
                <c:pt idx="3">
                  <c:v>25-34</c:v>
                </c:pt>
                <c:pt idx="4">
                  <c:v>35-44</c:v>
                </c:pt>
                <c:pt idx="5">
                  <c:v>45-54</c:v>
                </c:pt>
                <c:pt idx="6">
                  <c:v>55-64</c:v>
                </c:pt>
                <c:pt idx="7">
                  <c:v>65+</c:v>
                </c:pt>
              </c:strCache>
            </c:strRef>
          </c:cat>
          <c:val>
            <c:numRef>
              <c:f>Morbiditet!$B$63:$B$70</c:f>
              <c:numCache>
                <c:formatCode>General</c:formatCode>
                <c:ptCount val="8"/>
                <c:pt idx="0">
                  <c:v>215.7</c:v>
                </c:pt>
                <c:pt idx="1">
                  <c:v>8.8000000000000007</c:v>
                </c:pt>
                <c:pt idx="2">
                  <c:v>11.2</c:v>
                </c:pt>
                <c:pt idx="3">
                  <c:v>15.8</c:v>
                </c:pt>
                <c:pt idx="4">
                  <c:v>42.5</c:v>
                </c:pt>
                <c:pt idx="5">
                  <c:v>159.19999999999999</c:v>
                </c:pt>
                <c:pt idx="6">
                  <c:v>573</c:v>
                </c:pt>
                <c:pt idx="7">
                  <c:v>1010.5</c:v>
                </c:pt>
              </c:numCache>
            </c:numRef>
          </c:val>
        </c:ser>
        <c:ser>
          <c:idx val="1"/>
          <c:order val="1"/>
          <c:tx>
            <c:strRef>
              <c:f>Morbiditet!$C$62</c:f>
              <c:strCache>
                <c:ptCount val="1"/>
                <c:pt idx="0">
                  <c:v>žene</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Morbiditet!$A$63:$A$70</c:f>
              <c:strCache>
                <c:ptCount val="8"/>
                <c:pt idx="0">
                  <c:v>Ukupno</c:v>
                </c:pt>
                <c:pt idx="1">
                  <c:v>0-14</c:v>
                </c:pt>
                <c:pt idx="2">
                  <c:v>15-24</c:v>
                </c:pt>
                <c:pt idx="3">
                  <c:v>25-34</c:v>
                </c:pt>
                <c:pt idx="4">
                  <c:v>35-44</c:v>
                </c:pt>
                <c:pt idx="5">
                  <c:v>45-54</c:v>
                </c:pt>
                <c:pt idx="6">
                  <c:v>55-64</c:v>
                </c:pt>
                <c:pt idx="7">
                  <c:v>65+</c:v>
                </c:pt>
              </c:strCache>
            </c:strRef>
          </c:cat>
          <c:val>
            <c:numRef>
              <c:f>Morbiditet!$C$63:$C$70</c:f>
              <c:numCache>
                <c:formatCode>General</c:formatCode>
                <c:ptCount val="8"/>
                <c:pt idx="0">
                  <c:v>201.3</c:v>
                </c:pt>
                <c:pt idx="1">
                  <c:v>7.2</c:v>
                </c:pt>
                <c:pt idx="2">
                  <c:v>7.5</c:v>
                </c:pt>
                <c:pt idx="3">
                  <c:v>33.700000000000003</c:v>
                </c:pt>
                <c:pt idx="4">
                  <c:v>94.4</c:v>
                </c:pt>
                <c:pt idx="5">
                  <c:v>240.8</c:v>
                </c:pt>
                <c:pt idx="6">
                  <c:v>424.7</c:v>
                </c:pt>
                <c:pt idx="7">
                  <c:v>610.1</c:v>
                </c:pt>
              </c:numCache>
            </c:numRef>
          </c:val>
        </c:ser>
        <c:dLbls>
          <c:showLegendKey val="0"/>
          <c:showVal val="0"/>
          <c:showCatName val="0"/>
          <c:showSerName val="0"/>
          <c:showPercent val="0"/>
          <c:showBubbleSize val="0"/>
        </c:dLbls>
        <c:gapWidth val="100"/>
        <c:overlap val="-24"/>
        <c:axId val="42185088"/>
        <c:axId val="42186624"/>
      </c:barChart>
      <c:catAx>
        <c:axId val="4218508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42186624"/>
        <c:crosses val="autoZero"/>
        <c:auto val="1"/>
        <c:lblAlgn val="ctr"/>
        <c:lblOffset val="100"/>
        <c:noMultiLvlLbl val="0"/>
      </c:catAx>
      <c:valAx>
        <c:axId val="42186624"/>
        <c:scaling>
          <c:orientation val="minMax"/>
        </c:scaling>
        <c:delete val="1"/>
        <c:axPos val="l"/>
        <c:numFmt formatCode="General" sourceLinked="1"/>
        <c:majorTickMark val="none"/>
        <c:minorTickMark val="none"/>
        <c:tickLblPos val="nextTo"/>
        <c:crossAx val="42185088"/>
        <c:crosses val="autoZero"/>
        <c:crossBetween val="between"/>
      </c:valAx>
      <c:spPr>
        <a:noFill/>
        <a:ln>
          <a:noFill/>
        </a:ln>
        <a:effectLst/>
      </c:spPr>
    </c:plotArea>
    <c:legend>
      <c:legendPos val="b"/>
      <c:layout>
        <c:manualLayout>
          <c:xMode val="edge"/>
          <c:yMode val="edge"/>
          <c:x val="4.2983090807060122E-2"/>
          <c:y val="0.13409019327129557"/>
          <c:w val="0.18790186244648599"/>
          <c:h val="0.1022734430923407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bs-Latn-B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'C:\Users\Korisnik\Desktop\novo zdravstveno elma\[Mentalni poremecaji i poremećaji ponašanja u FBiH.xlsx]Ukupno stanovništvo'!$G$18</c:f>
              <c:strCache>
                <c:ptCount val="1"/>
                <c:pt idx="0">
                  <c:v>ukupno mentalni poremećaji i poremećaji ponašanja (F00-F99)</c:v>
                </c:pt>
              </c:strCache>
            </c:strRef>
          </c:tx>
          <c:invertIfNegative val="0"/>
          <c:trendline>
            <c:trendlineType val="linear"/>
            <c:dispRSqr val="0"/>
            <c:dispEq val="0"/>
          </c:trendline>
          <c:cat>
            <c:numRef>
              <c:f>'[18]Ukupno stanovništvo'!$H$17:$M$17</c:f>
              <c:numCache>
                <c:formatCode>General</c:formatCode>
                <c:ptCount val="6"/>
                <c:pt idx="0">
                  <c:v>2010</c:v>
                </c:pt>
                <c:pt idx="1">
                  <c:v>2011</c:v>
                </c:pt>
                <c:pt idx="2">
                  <c:v>2012</c:v>
                </c:pt>
                <c:pt idx="3">
                  <c:v>2013</c:v>
                </c:pt>
                <c:pt idx="4">
                  <c:v>2014</c:v>
                </c:pt>
                <c:pt idx="5">
                  <c:v>2015</c:v>
                </c:pt>
              </c:numCache>
            </c:numRef>
          </c:cat>
          <c:val>
            <c:numRef>
              <c:f>'[18]Ukupno stanovništvo'!$H$18:$M$18</c:f>
              <c:numCache>
                <c:formatCode>General</c:formatCode>
                <c:ptCount val="6"/>
                <c:pt idx="0">
                  <c:v>274</c:v>
                </c:pt>
                <c:pt idx="1">
                  <c:v>287</c:v>
                </c:pt>
                <c:pt idx="2">
                  <c:v>311</c:v>
                </c:pt>
                <c:pt idx="3">
                  <c:v>337</c:v>
                </c:pt>
                <c:pt idx="4">
                  <c:v>346</c:v>
                </c:pt>
                <c:pt idx="5">
                  <c:v>326</c:v>
                </c:pt>
              </c:numCache>
            </c:numRef>
          </c:val>
        </c:ser>
        <c:dLbls>
          <c:showLegendKey val="0"/>
          <c:showVal val="0"/>
          <c:showCatName val="0"/>
          <c:showSerName val="0"/>
          <c:showPercent val="0"/>
          <c:showBubbleSize val="0"/>
        </c:dLbls>
        <c:gapWidth val="150"/>
        <c:axId val="42089088"/>
        <c:axId val="42103168"/>
      </c:barChart>
      <c:catAx>
        <c:axId val="42089088"/>
        <c:scaling>
          <c:orientation val="minMax"/>
        </c:scaling>
        <c:delete val="0"/>
        <c:axPos val="b"/>
        <c:numFmt formatCode="General" sourceLinked="1"/>
        <c:majorTickMark val="out"/>
        <c:minorTickMark val="none"/>
        <c:tickLblPos val="nextTo"/>
        <c:txPr>
          <a:bodyPr/>
          <a:lstStyle/>
          <a:p>
            <a:pPr>
              <a:defRPr lang="bs-Latn-BA"/>
            </a:pPr>
            <a:endParaRPr lang="sr-Latn-RS"/>
          </a:p>
        </c:txPr>
        <c:crossAx val="42103168"/>
        <c:crosses val="autoZero"/>
        <c:auto val="1"/>
        <c:lblAlgn val="ctr"/>
        <c:lblOffset val="100"/>
        <c:noMultiLvlLbl val="0"/>
      </c:catAx>
      <c:valAx>
        <c:axId val="42103168"/>
        <c:scaling>
          <c:orientation val="minMax"/>
        </c:scaling>
        <c:delete val="0"/>
        <c:axPos val="l"/>
        <c:numFmt formatCode="General" sourceLinked="1"/>
        <c:majorTickMark val="out"/>
        <c:minorTickMark val="none"/>
        <c:tickLblPos val="nextTo"/>
        <c:txPr>
          <a:bodyPr/>
          <a:lstStyle/>
          <a:p>
            <a:pPr>
              <a:defRPr lang="bs-Latn-BA"/>
            </a:pPr>
            <a:endParaRPr lang="sr-Latn-RS"/>
          </a:p>
        </c:txPr>
        <c:crossAx val="42089088"/>
        <c:crosses val="autoZero"/>
        <c:crossBetween val="between"/>
      </c:valAx>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bs-Latn-B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5754689200435325E-2"/>
          <c:y val="0.12473974461057548"/>
          <c:w val="0.8205569425772995"/>
          <c:h val="0.50416570944755357"/>
        </c:manualLayout>
      </c:layout>
      <c:barChart>
        <c:barDir val="col"/>
        <c:grouping val="clustered"/>
        <c:varyColors val="0"/>
        <c:ser>
          <c:idx val="0"/>
          <c:order val="0"/>
          <c:tx>
            <c:strRef>
              <c:f>'zap i nez'!$B$5</c:f>
              <c:strCache>
                <c:ptCount val="1"/>
                <c:pt idx="0">
                  <c:v>zaposleni</c:v>
                </c:pt>
              </c:strCache>
            </c:strRef>
          </c:tx>
          <c:invertIfNegative val="0"/>
          <c:dLbls>
            <c:spPr>
              <a:noFill/>
              <a:ln>
                <a:noFill/>
              </a:ln>
              <a:effectLst/>
            </c:spPr>
            <c:txPr>
              <a:bodyPr rot="-5400000" vert="horz"/>
              <a:lstStyle/>
              <a:p>
                <a:pPr>
                  <a:defRPr b="1">
                    <a:solidFill>
                      <a:srgbClr val="0070C0"/>
                    </a:solidFill>
                  </a:defRPr>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'zap i nez'!$A$6:$A$15</c:f>
              <c:strCache>
                <c:ptCount val="10"/>
                <c:pt idx="0">
                  <c:v>Unsko-sanski </c:v>
                </c:pt>
                <c:pt idx="1">
                  <c:v>Posavski </c:v>
                </c:pt>
                <c:pt idx="2">
                  <c:v>Tuzlanski </c:v>
                </c:pt>
                <c:pt idx="3">
                  <c:v>Zeničko-dobojski </c:v>
                </c:pt>
                <c:pt idx="4">
                  <c:v>Bosansko-podrinjski </c:v>
                </c:pt>
                <c:pt idx="5">
                  <c:v>Srednjobosanski </c:v>
                </c:pt>
                <c:pt idx="6">
                  <c:v>Hercegovačko-neretvanski </c:v>
                </c:pt>
                <c:pt idx="7">
                  <c:v>Zapadno-hercegovački </c:v>
                </c:pt>
                <c:pt idx="8">
                  <c:v>Kanton Sarajevo</c:v>
                </c:pt>
                <c:pt idx="9">
                  <c:v>Kanton 10</c:v>
                </c:pt>
              </c:strCache>
            </c:strRef>
          </c:cat>
          <c:val>
            <c:numRef>
              <c:f>'zap i nez'!$B$6:$B$15</c:f>
              <c:numCache>
                <c:formatCode>#,##0</c:formatCode>
                <c:ptCount val="10"/>
                <c:pt idx="0">
                  <c:v>31853</c:v>
                </c:pt>
                <c:pt idx="1">
                  <c:v>5465</c:v>
                </c:pt>
                <c:pt idx="2">
                  <c:v>83427</c:v>
                </c:pt>
                <c:pt idx="3">
                  <c:v>71079</c:v>
                </c:pt>
                <c:pt idx="4">
                  <c:v>6556</c:v>
                </c:pt>
                <c:pt idx="5">
                  <c:v>41615</c:v>
                </c:pt>
                <c:pt idx="6">
                  <c:v>48660</c:v>
                </c:pt>
                <c:pt idx="7">
                  <c:v>17096</c:v>
                </c:pt>
                <c:pt idx="8">
                  <c:v>126609</c:v>
                </c:pt>
                <c:pt idx="9">
                  <c:v>9436</c:v>
                </c:pt>
              </c:numCache>
            </c:numRef>
          </c:val>
        </c:ser>
        <c:ser>
          <c:idx val="1"/>
          <c:order val="1"/>
          <c:tx>
            <c:strRef>
              <c:f>'zap i nez'!$C$5</c:f>
              <c:strCache>
                <c:ptCount val="1"/>
                <c:pt idx="0">
                  <c:v>nezaposleni</c:v>
                </c:pt>
              </c:strCache>
            </c:strRef>
          </c:tx>
          <c:invertIfNegative val="0"/>
          <c:dLbls>
            <c:spPr>
              <a:noFill/>
              <a:ln>
                <a:noFill/>
              </a:ln>
              <a:effectLst/>
            </c:spPr>
            <c:txPr>
              <a:bodyPr rot="-5400000" vert="horz"/>
              <a:lstStyle/>
              <a:p>
                <a:pPr>
                  <a:defRPr b="1">
                    <a:solidFill>
                      <a:srgbClr val="C00000"/>
                    </a:solidFill>
                  </a:defRPr>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'zap i nez'!$A$6:$A$15</c:f>
              <c:strCache>
                <c:ptCount val="10"/>
                <c:pt idx="0">
                  <c:v>Unsko-sanski </c:v>
                </c:pt>
                <c:pt idx="1">
                  <c:v>Posavski </c:v>
                </c:pt>
                <c:pt idx="2">
                  <c:v>Tuzlanski </c:v>
                </c:pt>
                <c:pt idx="3">
                  <c:v>Zeničko-dobojski </c:v>
                </c:pt>
                <c:pt idx="4">
                  <c:v>Bosansko-podrinjski </c:v>
                </c:pt>
                <c:pt idx="5">
                  <c:v>Srednjobosanski </c:v>
                </c:pt>
                <c:pt idx="6">
                  <c:v>Hercegovačko-neretvanski </c:v>
                </c:pt>
                <c:pt idx="7">
                  <c:v>Zapadno-hercegovački </c:v>
                </c:pt>
                <c:pt idx="8">
                  <c:v>Kanton Sarajevo</c:v>
                </c:pt>
                <c:pt idx="9">
                  <c:v>Kanton 10</c:v>
                </c:pt>
              </c:strCache>
            </c:strRef>
          </c:cat>
          <c:val>
            <c:numRef>
              <c:f>'zap i nez'!$C$6:$C$15</c:f>
              <c:numCache>
                <c:formatCode>#,##0</c:formatCode>
                <c:ptCount val="10"/>
                <c:pt idx="0">
                  <c:v>46600</c:v>
                </c:pt>
                <c:pt idx="1">
                  <c:v>5761</c:v>
                </c:pt>
                <c:pt idx="2">
                  <c:v>96429</c:v>
                </c:pt>
                <c:pt idx="3">
                  <c:v>69290</c:v>
                </c:pt>
                <c:pt idx="4">
                  <c:v>3570</c:v>
                </c:pt>
                <c:pt idx="5">
                  <c:v>40848</c:v>
                </c:pt>
                <c:pt idx="6">
                  <c:v>34453</c:v>
                </c:pt>
                <c:pt idx="7">
                  <c:v>11393</c:v>
                </c:pt>
                <c:pt idx="8">
                  <c:v>72545</c:v>
                </c:pt>
                <c:pt idx="9">
                  <c:v>9272</c:v>
                </c:pt>
              </c:numCache>
            </c:numRef>
          </c:val>
        </c:ser>
        <c:dLbls>
          <c:showLegendKey val="0"/>
          <c:showVal val="0"/>
          <c:showCatName val="0"/>
          <c:showSerName val="0"/>
          <c:showPercent val="0"/>
          <c:showBubbleSize val="0"/>
        </c:dLbls>
        <c:gapWidth val="150"/>
        <c:axId val="152488960"/>
        <c:axId val="37110528"/>
      </c:barChart>
      <c:catAx>
        <c:axId val="152488960"/>
        <c:scaling>
          <c:orientation val="minMax"/>
        </c:scaling>
        <c:delete val="0"/>
        <c:axPos val="b"/>
        <c:numFmt formatCode="General" sourceLinked="0"/>
        <c:majorTickMark val="none"/>
        <c:minorTickMark val="none"/>
        <c:tickLblPos val="nextTo"/>
        <c:txPr>
          <a:bodyPr rot="-5400000" vert="horz"/>
          <a:lstStyle/>
          <a:p>
            <a:pPr>
              <a:defRPr>
                <a:latin typeface="Arial" pitchFamily="34" charset="0"/>
                <a:cs typeface="Arial" pitchFamily="34" charset="0"/>
              </a:defRPr>
            </a:pPr>
            <a:endParaRPr lang="sr-Latn-RS"/>
          </a:p>
        </c:txPr>
        <c:crossAx val="37110528"/>
        <c:crosses val="autoZero"/>
        <c:auto val="1"/>
        <c:lblAlgn val="ctr"/>
        <c:lblOffset val="100"/>
        <c:noMultiLvlLbl val="0"/>
      </c:catAx>
      <c:valAx>
        <c:axId val="37110528"/>
        <c:scaling>
          <c:orientation val="minMax"/>
        </c:scaling>
        <c:delete val="1"/>
        <c:axPos val="l"/>
        <c:numFmt formatCode="#,##0" sourceLinked="1"/>
        <c:majorTickMark val="out"/>
        <c:minorTickMark val="none"/>
        <c:tickLblPos val="nextTo"/>
        <c:crossAx val="152488960"/>
        <c:crosses val="autoZero"/>
        <c:crossBetween val="between"/>
      </c:valAx>
    </c:plotArea>
    <c:legend>
      <c:legendPos val="b"/>
      <c:layout>
        <c:manualLayout>
          <c:xMode val="edge"/>
          <c:yMode val="edge"/>
          <c:x val="5.0331813366529886E-2"/>
          <c:y val="0.93227371266440084"/>
          <c:w val="0.37295946556375115"/>
          <c:h val="6.7726287335600543E-2"/>
        </c:manualLayout>
      </c:layout>
      <c:overlay val="0"/>
    </c:legend>
    <c:plotVisOnly val="1"/>
    <c:dispBlanksAs val="gap"/>
    <c:showDLblsOverMax val="0"/>
  </c:chart>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bs-Latn-B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'C:\Users\Korisnik\Desktop\novo zdravstveno elma\[Mentalni poremecaji i poremećaji ponašanja u FBiH.xlsx]2010-2015'!$A$7</c:f>
              <c:strCache>
                <c:ptCount val="1"/>
                <c:pt idx="0">
                  <c:v>Neurotski, sa stresom povezani i somatski poremećaji (F40-F48)</c:v>
                </c:pt>
              </c:strCache>
            </c:strRef>
          </c:tx>
          <c:invertIfNegative val="0"/>
          <c:cat>
            <c:strRef>
              <c:f>'[18]2010-2015'!$B$6:$G$6</c:f>
              <c:strCache>
                <c:ptCount val="6"/>
                <c:pt idx="0">
                  <c:v>2010.</c:v>
                </c:pt>
                <c:pt idx="1">
                  <c:v>2011.</c:v>
                </c:pt>
                <c:pt idx="2">
                  <c:v>2012.</c:v>
                </c:pt>
                <c:pt idx="3">
                  <c:v>2013.</c:v>
                </c:pt>
                <c:pt idx="4">
                  <c:v>2014.</c:v>
                </c:pt>
                <c:pt idx="5">
                  <c:v>2015.</c:v>
                </c:pt>
              </c:strCache>
            </c:strRef>
          </c:cat>
          <c:val>
            <c:numRef>
              <c:f>'[18]2010-2015'!$B$7:$G$7</c:f>
              <c:numCache>
                <c:formatCode>General</c:formatCode>
                <c:ptCount val="6"/>
                <c:pt idx="0">
                  <c:v>107</c:v>
                </c:pt>
                <c:pt idx="1">
                  <c:v>110</c:v>
                </c:pt>
                <c:pt idx="2">
                  <c:v>117</c:v>
                </c:pt>
                <c:pt idx="3">
                  <c:v>131</c:v>
                </c:pt>
                <c:pt idx="4">
                  <c:v>142</c:v>
                </c:pt>
                <c:pt idx="5">
                  <c:v>126</c:v>
                </c:pt>
              </c:numCache>
            </c:numRef>
          </c:val>
        </c:ser>
        <c:ser>
          <c:idx val="1"/>
          <c:order val="1"/>
          <c:tx>
            <c:strRef>
              <c:f>'C:\Users\Korisnik\Desktop\novo zdravstveno elma\[Mentalni poremecaji i poremećaji ponašanja u FBiH.xlsx]2010-2015'!$A$8</c:f>
              <c:strCache>
                <c:ptCount val="1"/>
                <c:pt idx="0">
                  <c:v>Poremećaji raspoloženja (afektivni) (F30-F39)</c:v>
                </c:pt>
              </c:strCache>
            </c:strRef>
          </c:tx>
          <c:invertIfNegative val="0"/>
          <c:cat>
            <c:strRef>
              <c:f>'[18]2010-2015'!$B$6:$G$6</c:f>
              <c:strCache>
                <c:ptCount val="6"/>
                <c:pt idx="0">
                  <c:v>2010.</c:v>
                </c:pt>
                <c:pt idx="1">
                  <c:v>2011.</c:v>
                </c:pt>
                <c:pt idx="2">
                  <c:v>2012.</c:v>
                </c:pt>
                <c:pt idx="3">
                  <c:v>2013.</c:v>
                </c:pt>
                <c:pt idx="4">
                  <c:v>2014.</c:v>
                </c:pt>
                <c:pt idx="5">
                  <c:v>2015.</c:v>
                </c:pt>
              </c:strCache>
            </c:strRef>
          </c:cat>
          <c:val>
            <c:numRef>
              <c:f>'[18]2010-2015'!$B$8:$G$8</c:f>
              <c:numCache>
                <c:formatCode>General</c:formatCode>
                <c:ptCount val="6"/>
                <c:pt idx="0">
                  <c:v>75</c:v>
                </c:pt>
                <c:pt idx="1">
                  <c:v>79</c:v>
                </c:pt>
                <c:pt idx="2">
                  <c:v>85</c:v>
                </c:pt>
                <c:pt idx="3">
                  <c:v>91</c:v>
                </c:pt>
                <c:pt idx="4">
                  <c:v>91</c:v>
                </c:pt>
                <c:pt idx="5">
                  <c:v>94</c:v>
                </c:pt>
              </c:numCache>
            </c:numRef>
          </c:val>
        </c:ser>
        <c:ser>
          <c:idx val="2"/>
          <c:order val="2"/>
          <c:tx>
            <c:strRef>
              <c:f>'C:\Users\Korisnik\Desktop\novo zdravstveno elma\[Mentalni poremecaji i poremećaji ponašanja u FBiH.xlsx]2010-2015'!$A$9</c:f>
              <c:strCache>
                <c:ptCount val="1"/>
                <c:pt idx="0">
                  <c:v>Šizofrenija, šizotipalni i sumanuti poremećaji (F20-F29)</c:v>
                </c:pt>
              </c:strCache>
            </c:strRef>
          </c:tx>
          <c:invertIfNegative val="0"/>
          <c:cat>
            <c:strRef>
              <c:f>'[18]2010-2015'!$B$6:$G$6</c:f>
              <c:strCache>
                <c:ptCount val="6"/>
                <c:pt idx="0">
                  <c:v>2010.</c:v>
                </c:pt>
                <c:pt idx="1">
                  <c:v>2011.</c:v>
                </c:pt>
                <c:pt idx="2">
                  <c:v>2012.</c:v>
                </c:pt>
                <c:pt idx="3">
                  <c:v>2013.</c:v>
                </c:pt>
                <c:pt idx="4">
                  <c:v>2014.</c:v>
                </c:pt>
                <c:pt idx="5">
                  <c:v>2015.</c:v>
                </c:pt>
              </c:strCache>
            </c:strRef>
          </c:cat>
          <c:val>
            <c:numRef>
              <c:f>'[18]2010-2015'!$B$9:$G$9</c:f>
              <c:numCache>
                <c:formatCode>General</c:formatCode>
                <c:ptCount val="6"/>
                <c:pt idx="0">
                  <c:v>35</c:v>
                </c:pt>
                <c:pt idx="1">
                  <c:v>36</c:v>
                </c:pt>
                <c:pt idx="2">
                  <c:v>44</c:v>
                </c:pt>
                <c:pt idx="3">
                  <c:v>43</c:v>
                </c:pt>
                <c:pt idx="4">
                  <c:v>41</c:v>
                </c:pt>
                <c:pt idx="5">
                  <c:v>39</c:v>
                </c:pt>
              </c:numCache>
            </c:numRef>
          </c:val>
        </c:ser>
        <c:ser>
          <c:idx val="3"/>
          <c:order val="3"/>
          <c:tx>
            <c:strRef>
              <c:f>'C:\Users\Korisnik\Desktop\novo zdravstveno elma\[Mentalni poremecaji i poremećaji ponašanja u FBiH.xlsx]2010-2015'!$A$10</c:f>
              <c:strCache>
                <c:ptCount val="1"/>
                <c:pt idx="0">
                  <c:v>Drugi mentalni poremećaji i poremećaji ponašanja (F04-F09, F50-F69, F80-F99)</c:v>
                </c:pt>
              </c:strCache>
            </c:strRef>
          </c:tx>
          <c:invertIfNegative val="0"/>
          <c:cat>
            <c:strRef>
              <c:f>'[18]2010-2015'!$B$6:$G$6</c:f>
              <c:strCache>
                <c:ptCount val="6"/>
                <c:pt idx="0">
                  <c:v>2010.</c:v>
                </c:pt>
                <c:pt idx="1">
                  <c:v>2011.</c:v>
                </c:pt>
                <c:pt idx="2">
                  <c:v>2012.</c:v>
                </c:pt>
                <c:pt idx="3">
                  <c:v>2013.</c:v>
                </c:pt>
                <c:pt idx="4">
                  <c:v>2014.</c:v>
                </c:pt>
                <c:pt idx="5">
                  <c:v>2015.</c:v>
                </c:pt>
              </c:strCache>
            </c:strRef>
          </c:cat>
          <c:val>
            <c:numRef>
              <c:f>'[18]2010-2015'!$B$10:$G$10</c:f>
              <c:numCache>
                <c:formatCode>General</c:formatCode>
                <c:ptCount val="6"/>
                <c:pt idx="0">
                  <c:v>29</c:v>
                </c:pt>
                <c:pt idx="1">
                  <c:v>31</c:v>
                </c:pt>
                <c:pt idx="2">
                  <c:v>33</c:v>
                </c:pt>
                <c:pt idx="3">
                  <c:v>37</c:v>
                </c:pt>
                <c:pt idx="4">
                  <c:v>37</c:v>
                </c:pt>
                <c:pt idx="5">
                  <c:v>35</c:v>
                </c:pt>
              </c:numCache>
            </c:numRef>
          </c:val>
        </c:ser>
        <c:ser>
          <c:idx val="4"/>
          <c:order val="4"/>
          <c:tx>
            <c:strRef>
              <c:f>'C:\Users\Korisnik\Desktop\novo zdravstveno elma\[Mentalni poremecaji i poremećaji ponašanja u FBiH.xlsx]2010-2015'!$A$11</c:f>
              <c:strCache>
                <c:ptCount val="1"/>
                <c:pt idx="0">
                  <c:v>Mentalni poremećaji ponašanja uzrokovani alkoholom (F10)</c:v>
                </c:pt>
              </c:strCache>
            </c:strRef>
          </c:tx>
          <c:invertIfNegative val="0"/>
          <c:cat>
            <c:strRef>
              <c:f>'[18]2010-2015'!$B$6:$G$6</c:f>
              <c:strCache>
                <c:ptCount val="6"/>
                <c:pt idx="0">
                  <c:v>2010.</c:v>
                </c:pt>
                <c:pt idx="1">
                  <c:v>2011.</c:v>
                </c:pt>
                <c:pt idx="2">
                  <c:v>2012.</c:v>
                </c:pt>
                <c:pt idx="3">
                  <c:v>2013.</c:v>
                </c:pt>
                <c:pt idx="4">
                  <c:v>2014.</c:v>
                </c:pt>
                <c:pt idx="5">
                  <c:v>2015.</c:v>
                </c:pt>
              </c:strCache>
            </c:strRef>
          </c:cat>
          <c:val>
            <c:numRef>
              <c:f>'[18]2010-2015'!$B$11:$G$11</c:f>
              <c:numCache>
                <c:formatCode>General</c:formatCode>
                <c:ptCount val="6"/>
                <c:pt idx="0">
                  <c:v>11</c:v>
                </c:pt>
                <c:pt idx="1">
                  <c:v>12</c:v>
                </c:pt>
                <c:pt idx="2">
                  <c:v>12</c:v>
                </c:pt>
                <c:pt idx="3">
                  <c:v>11</c:v>
                </c:pt>
                <c:pt idx="4">
                  <c:v>12</c:v>
                </c:pt>
                <c:pt idx="5">
                  <c:v>11</c:v>
                </c:pt>
              </c:numCache>
            </c:numRef>
          </c:val>
        </c:ser>
        <c:dLbls>
          <c:showLegendKey val="0"/>
          <c:showVal val="0"/>
          <c:showCatName val="0"/>
          <c:showSerName val="0"/>
          <c:showPercent val="0"/>
          <c:showBubbleSize val="0"/>
        </c:dLbls>
        <c:gapWidth val="150"/>
        <c:axId val="44378368"/>
        <c:axId val="44384256"/>
      </c:barChart>
      <c:catAx>
        <c:axId val="44378368"/>
        <c:scaling>
          <c:orientation val="minMax"/>
        </c:scaling>
        <c:delete val="0"/>
        <c:axPos val="b"/>
        <c:numFmt formatCode="General" sourceLinked="0"/>
        <c:majorTickMark val="out"/>
        <c:minorTickMark val="none"/>
        <c:tickLblPos val="nextTo"/>
        <c:txPr>
          <a:bodyPr/>
          <a:lstStyle/>
          <a:p>
            <a:pPr>
              <a:defRPr lang="bs-Latn-BA"/>
            </a:pPr>
            <a:endParaRPr lang="sr-Latn-RS"/>
          </a:p>
        </c:txPr>
        <c:crossAx val="44384256"/>
        <c:crosses val="autoZero"/>
        <c:auto val="1"/>
        <c:lblAlgn val="ctr"/>
        <c:lblOffset val="100"/>
        <c:noMultiLvlLbl val="0"/>
      </c:catAx>
      <c:valAx>
        <c:axId val="44384256"/>
        <c:scaling>
          <c:orientation val="minMax"/>
        </c:scaling>
        <c:delete val="0"/>
        <c:axPos val="l"/>
        <c:majorGridlines/>
        <c:numFmt formatCode="General" sourceLinked="1"/>
        <c:majorTickMark val="out"/>
        <c:minorTickMark val="none"/>
        <c:tickLblPos val="nextTo"/>
        <c:txPr>
          <a:bodyPr/>
          <a:lstStyle/>
          <a:p>
            <a:pPr>
              <a:defRPr lang="bs-Latn-BA"/>
            </a:pPr>
            <a:endParaRPr lang="sr-Latn-RS"/>
          </a:p>
        </c:txPr>
        <c:crossAx val="44378368"/>
        <c:crosses val="autoZero"/>
        <c:crossBetween val="between"/>
      </c:valAx>
    </c:plotArea>
    <c:legend>
      <c:legendPos val="r"/>
      <c:overlay val="0"/>
      <c:txPr>
        <a:bodyPr/>
        <a:lstStyle/>
        <a:p>
          <a:pPr>
            <a:defRPr lang="bs-Latn-BA" sz="800"/>
          </a:pPr>
          <a:endParaRPr lang="sr-Latn-RS"/>
        </a:p>
      </c:txPr>
    </c:legend>
    <c:plotVisOnly val="1"/>
    <c:dispBlanksAs val="gap"/>
    <c:showDLblsOverMax val="0"/>
  </c:chart>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bs-Latn-B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'C:\Users\Korisnik\Desktop\novo zdravstveno elma\[Mentalni poremecaji i poremećaji ponašanja u FBiH.xlsx]2010-2015'!$A$21</c:f>
              <c:strCache>
                <c:ptCount val="1"/>
                <c:pt idx="0">
                  <c:v>Drugi mentalni poremećaji i poremećaji ponašanja (F04-F09, F50-F69, F80-F99)</c:v>
                </c:pt>
              </c:strCache>
            </c:strRef>
          </c:tx>
          <c:invertIfNegative val="0"/>
          <c:cat>
            <c:strRef>
              <c:f>'[18]2010-2015'!$B$20:$G$20</c:f>
              <c:strCache>
                <c:ptCount val="6"/>
                <c:pt idx="0">
                  <c:v>2010.</c:v>
                </c:pt>
                <c:pt idx="1">
                  <c:v>2011.</c:v>
                </c:pt>
                <c:pt idx="2">
                  <c:v>2012.</c:v>
                </c:pt>
                <c:pt idx="3">
                  <c:v>2013.</c:v>
                </c:pt>
                <c:pt idx="4">
                  <c:v>2014.</c:v>
                </c:pt>
                <c:pt idx="5">
                  <c:v>2015.</c:v>
                </c:pt>
              </c:strCache>
            </c:strRef>
          </c:cat>
          <c:val>
            <c:numRef>
              <c:f>'[18]2010-2015'!$B$21:$G$21</c:f>
              <c:numCache>
                <c:formatCode>General</c:formatCode>
                <c:ptCount val="6"/>
                <c:pt idx="0">
                  <c:v>14</c:v>
                </c:pt>
                <c:pt idx="1">
                  <c:v>14</c:v>
                </c:pt>
                <c:pt idx="2">
                  <c:v>16</c:v>
                </c:pt>
                <c:pt idx="3">
                  <c:v>18</c:v>
                </c:pt>
                <c:pt idx="4">
                  <c:v>16</c:v>
                </c:pt>
                <c:pt idx="5">
                  <c:v>17</c:v>
                </c:pt>
              </c:numCache>
            </c:numRef>
          </c:val>
        </c:ser>
        <c:ser>
          <c:idx val="1"/>
          <c:order val="1"/>
          <c:tx>
            <c:strRef>
              <c:f>'C:\Users\Korisnik\Desktop\novo zdravstveno elma\[Mentalni poremecaji i poremećaji ponašanja u FBiH.xlsx]2010-2015'!$A$22</c:f>
              <c:strCache>
                <c:ptCount val="1"/>
                <c:pt idx="0">
                  <c:v>Neurotski, sa stresom povezani i somatski poremećaji (F40-F48)</c:v>
                </c:pt>
              </c:strCache>
            </c:strRef>
          </c:tx>
          <c:invertIfNegative val="0"/>
          <c:cat>
            <c:strRef>
              <c:f>'[18]2010-2015'!$B$20:$G$20</c:f>
              <c:strCache>
                <c:ptCount val="6"/>
                <c:pt idx="0">
                  <c:v>2010.</c:v>
                </c:pt>
                <c:pt idx="1">
                  <c:v>2011.</c:v>
                </c:pt>
                <c:pt idx="2">
                  <c:v>2012.</c:v>
                </c:pt>
                <c:pt idx="3">
                  <c:v>2013.</c:v>
                </c:pt>
                <c:pt idx="4">
                  <c:v>2014.</c:v>
                </c:pt>
                <c:pt idx="5">
                  <c:v>2015.</c:v>
                </c:pt>
              </c:strCache>
            </c:strRef>
          </c:cat>
          <c:val>
            <c:numRef>
              <c:f>'[18]2010-2015'!$B$22:$G$22</c:f>
              <c:numCache>
                <c:formatCode>General</c:formatCode>
                <c:ptCount val="6"/>
                <c:pt idx="0">
                  <c:v>9</c:v>
                </c:pt>
                <c:pt idx="1">
                  <c:v>11</c:v>
                </c:pt>
                <c:pt idx="2">
                  <c:v>12</c:v>
                </c:pt>
                <c:pt idx="3">
                  <c:v>11</c:v>
                </c:pt>
                <c:pt idx="4">
                  <c:v>12</c:v>
                </c:pt>
                <c:pt idx="5">
                  <c:v>13</c:v>
                </c:pt>
              </c:numCache>
            </c:numRef>
          </c:val>
        </c:ser>
        <c:ser>
          <c:idx val="2"/>
          <c:order val="2"/>
          <c:tx>
            <c:strRef>
              <c:f>'C:\Users\Korisnik\Desktop\novo zdravstveno elma\[Mentalni poremecaji i poremećaji ponašanja u FBiH.xlsx]2010-2015'!$A$23</c:f>
              <c:strCache>
                <c:ptCount val="1"/>
                <c:pt idx="0">
                  <c:v>Poremećaji raspoloženja (afektivni) (F30-F39)</c:v>
                </c:pt>
              </c:strCache>
            </c:strRef>
          </c:tx>
          <c:invertIfNegative val="0"/>
          <c:cat>
            <c:strRef>
              <c:f>'[18]2010-2015'!$B$20:$G$20</c:f>
              <c:strCache>
                <c:ptCount val="6"/>
                <c:pt idx="0">
                  <c:v>2010.</c:v>
                </c:pt>
                <c:pt idx="1">
                  <c:v>2011.</c:v>
                </c:pt>
                <c:pt idx="2">
                  <c:v>2012.</c:v>
                </c:pt>
                <c:pt idx="3">
                  <c:v>2013.</c:v>
                </c:pt>
                <c:pt idx="4">
                  <c:v>2014.</c:v>
                </c:pt>
                <c:pt idx="5">
                  <c:v>2015.</c:v>
                </c:pt>
              </c:strCache>
            </c:strRef>
          </c:cat>
          <c:val>
            <c:numRef>
              <c:f>'[18]2010-2015'!$B$23:$G$23</c:f>
              <c:numCache>
                <c:formatCode>General</c:formatCode>
                <c:ptCount val="6"/>
                <c:pt idx="0">
                  <c:v>5</c:v>
                </c:pt>
                <c:pt idx="1">
                  <c:v>4</c:v>
                </c:pt>
                <c:pt idx="2">
                  <c:v>5</c:v>
                </c:pt>
                <c:pt idx="3">
                  <c:v>4</c:v>
                </c:pt>
                <c:pt idx="4">
                  <c:v>4</c:v>
                </c:pt>
                <c:pt idx="5">
                  <c:v>5</c:v>
                </c:pt>
              </c:numCache>
            </c:numRef>
          </c:val>
        </c:ser>
        <c:ser>
          <c:idx val="3"/>
          <c:order val="3"/>
          <c:tx>
            <c:strRef>
              <c:f>'C:\Users\Korisnik\Desktop\novo zdravstveno elma\[Mentalni poremecaji i poremećaji ponašanja u FBiH.xlsx]2010-2015'!$A$24</c:f>
              <c:strCache>
                <c:ptCount val="1"/>
                <c:pt idx="0">
                  <c:v>Mentalni poremećaji ponašanja uzrokovani alkoholom (F10)</c:v>
                </c:pt>
              </c:strCache>
            </c:strRef>
          </c:tx>
          <c:invertIfNegative val="0"/>
          <c:cat>
            <c:strRef>
              <c:f>'[18]2010-2015'!$B$20:$G$20</c:f>
              <c:strCache>
                <c:ptCount val="6"/>
                <c:pt idx="0">
                  <c:v>2010.</c:v>
                </c:pt>
                <c:pt idx="1">
                  <c:v>2011.</c:v>
                </c:pt>
                <c:pt idx="2">
                  <c:v>2012.</c:v>
                </c:pt>
                <c:pt idx="3">
                  <c:v>2013.</c:v>
                </c:pt>
                <c:pt idx="4">
                  <c:v>2014.</c:v>
                </c:pt>
                <c:pt idx="5">
                  <c:v>2015.</c:v>
                </c:pt>
              </c:strCache>
            </c:strRef>
          </c:cat>
          <c:val>
            <c:numRef>
              <c:f>'[18]2010-2015'!$B$24:$G$24</c:f>
              <c:numCache>
                <c:formatCode>General</c:formatCode>
                <c:ptCount val="6"/>
                <c:pt idx="1">
                  <c:v>4</c:v>
                </c:pt>
                <c:pt idx="2">
                  <c:v>4</c:v>
                </c:pt>
              </c:numCache>
            </c:numRef>
          </c:val>
        </c:ser>
        <c:ser>
          <c:idx val="4"/>
          <c:order val="4"/>
          <c:tx>
            <c:strRef>
              <c:f>'C:\Users\Korisnik\Desktop\novo zdravstveno elma\[Mentalni poremecaji i poremećaji ponašanja u FBiH.xlsx]2010-2015'!$A$25</c:f>
              <c:strCache>
                <c:ptCount val="1"/>
                <c:pt idx="0">
                  <c:v>Mentalna zaostalost E70-F79)</c:v>
                </c:pt>
              </c:strCache>
            </c:strRef>
          </c:tx>
          <c:invertIfNegative val="0"/>
          <c:cat>
            <c:strRef>
              <c:f>'[18]2010-2015'!$B$20:$G$20</c:f>
              <c:strCache>
                <c:ptCount val="6"/>
                <c:pt idx="0">
                  <c:v>2010.</c:v>
                </c:pt>
                <c:pt idx="1">
                  <c:v>2011.</c:v>
                </c:pt>
                <c:pt idx="2">
                  <c:v>2012.</c:v>
                </c:pt>
                <c:pt idx="3">
                  <c:v>2013.</c:v>
                </c:pt>
                <c:pt idx="4">
                  <c:v>2014.</c:v>
                </c:pt>
                <c:pt idx="5">
                  <c:v>2015.</c:v>
                </c:pt>
              </c:strCache>
            </c:strRef>
          </c:cat>
          <c:val>
            <c:numRef>
              <c:f>'[18]2010-2015'!$B$25:$G$25</c:f>
              <c:numCache>
                <c:formatCode>General</c:formatCode>
                <c:ptCount val="6"/>
                <c:pt idx="0">
                  <c:v>4</c:v>
                </c:pt>
                <c:pt idx="1">
                  <c:v>5</c:v>
                </c:pt>
                <c:pt idx="2">
                  <c:v>4</c:v>
                </c:pt>
                <c:pt idx="3">
                  <c:v>4</c:v>
                </c:pt>
                <c:pt idx="4">
                  <c:v>5</c:v>
                </c:pt>
                <c:pt idx="5">
                  <c:v>4</c:v>
                </c:pt>
              </c:numCache>
            </c:numRef>
          </c:val>
        </c:ser>
        <c:ser>
          <c:idx val="5"/>
          <c:order val="5"/>
          <c:tx>
            <c:strRef>
              <c:f>'C:\Users\Korisnik\Desktop\novo zdravstveno elma\[Mentalni poremecaji i poremećaji ponašanja u FBiH.xlsx]2010-2015'!$A$26</c:f>
              <c:strCache>
                <c:ptCount val="1"/>
                <c:pt idx="0">
                  <c:v>Šizofrenija,šizotipalni i sumanuti poremećaji (F20-F29)</c:v>
                </c:pt>
              </c:strCache>
            </c:strRef>
          </c:tx>
          <c:invertIfNegative val="0"/>
          <c:cat>
            <c:strRef>
              <c:f>'[18]2010-2015'!$B$20:$G$20</c:f>
              <c:strCache>
                <c:ptCount val="6"/>
                <c:pt idx="0">
                  <c:v>2010.</c:v>
                </c:pt>
                <c:pt idx="1">
                  <c:v>2011.</c:v>
                </c:pt>
                <c:pt idx="2">
                  <c:v>2012.</c:v>
                </c:pt>
                <c:pt idx="3">
                  <c:v>2013.</c:v>
                </c:pt>
                <c:pt idx="4">
                  <c:v>2014.</c:v>
                </c:pt>
                <c:pt idx="5">
                  <c:v>2015.</c:v>
                </c:pt>
              </c:strCache>
            </c:strRef>
          </c:cat>
          <c:val>
            <c:numRef>
              <c:f>'[18]2010-2015'!$B$26:$G$26</c:f>
              <c:numCache>
                <c:formatCode>General</c:formatCode>
                <c:ptCount val="6"/>
                <c:pt idx="0">
                  <c:v>1</c:v>
                </c:pt>
                <c:pt idx="3">
                  <c:v>2</c:v>
                </c:pt>
                <c:pt idx="4">
                  <c:v>2</c:v>
                </c:pt>
                <c:pt idx="5">
                  <c:v>1</c:v>
                </c:pt>
              </c:numCache>
            </c:numRef>
          </c:val>
        </c:ser>
        <c:dLbls>
          <c:showLegendKey val="0"/>
          <c:showVal val="0"/>
          <c:showCatName val="0"/>
          <c:showSerName val="0"/>
          <c:showPercent val="0"/>
          <c:showBubbleSize val="0"/>
        </c:dLbls>
        <c:gapWidth val="150"/>
        <c:axId val="44486016"/>
        <c:axId val="44491904"/>
      </c:barChart>
      <c:catAx>
        <c:axId val="44486016"/>
        <c:scaling>
          <c:orientation val="minMax"/>
        </c:scaling>
        <c:delete val="0"/>
        <c:axPos val="b"/>
        <c:numFmt formatCode="General" sourceLinked="0"/>
        <c:majorTickMark val="out"/>
        <c:minorTickMark val="none"/>
        <c:tickLblPos val="nextTo"/>
        <c:txPr>
          <a:bodyPr/>
          <a:lstStyle/>
          <a:p>
            <a:pPr>
              <a:defRPr lang="bs-Latn-BA"/>
            </a:pPr>
            <a:endParaRPr lang="sr-Latn-RS"/>
          </a:p>
        </c:txPr>
        <c:crossAx val="44491904"/>
        <c:crosses val="autoZero"/>
        <c:auto val="1"/>
        <c:lblAlgn val="ctr"/>
        <c:lblOffset val="100"/>
        <c:noMultiLvlLbl val="0"/>
      </c:catAx>
      <c:valAx>
        <c:axId val="44491904"/>
        <c:scaling>
          <c:orientation val="minMax"/>
        </c:scaling>
        <c:delete val="0"/>
        <c:axPos val="l"/>
        <c:majorGridlines/>
        <c:numFmt formatCode="General" sourceLinked="1"/>
        <c:majorTickMark val="out"/>
        <c:minorTickMark val="none"/>
        <c:tickLblPos val="nextTo"/>
        <c:txPr>
          <a:bodyPr/>
          <a:lstStyle/>
          <a:p>
            <a:pPr>
              <a:defRPr lang="bs-Latn-BA"/>
            </a:pPr>
            <a:endParaRPr lang="sr-Latn-RS"/>
          </a:p>
        </c:txPr>
        <c:crossAx val="44486016"/>
        <c:crosses val="autoZero"/>
        <c:crossBetween val="between"/>
      </c:valAx>
    </c:plotArea>
    <c:legend>
      <c:legendPos val="r"/>
      <c:overlay val="0"/>
      <c:txPr>
        <a:bodyPr/>
        <a:lstStyle/>
        <a:p>
          <a:pPr>
            <a:defRPr lang="bs-Latn-BA" sz="800"/>
          </a:pPr>
          <a:endParaRPr lang="sr-Latn-RS"/>
        </a:p>
      </c:txPr>
    </c:legend>
    <c:plotVisOnly val="1"/>
    <c:dispBlanksAs val="gap"/>
    <c:showDLblsOverMax val="0"/>
  </c:chart>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bs-Latn-B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'C:\Users\Korisnik\Desktop\novo zdravstveno elma\[Mentalni poremecaji i poremećaji ponašanja u FBiH.xlsx]2010-2015'!$A$34</c:f>
              <c:strCache>
                <c:ptCount val="1"/>
                <c:pt idx="0">
                  <c:v>Neurotski, sa stresom povezani i somatski poremećaji (F40-F48)</c:v>
                </c:pt>
              </c:strCache>
            </c:strRef>
          </c:tx>
          <c:invertIfNegative val="0"/>
          <c:cat>
            <c:strRef>
              <c:f>'[18]2010-2015'!$B$33:$G$33</c:f>
              <c:strCache>
                <c:ptCount val="6"/>
                <c:pt idx="0">
                  <c:v>2010.</c:v>
                </c:pt>
                <c:pt idx="1">
                  <c:v>2011.</c:v>
                </c:pt>
                <c:pt idx="2">
                  <c:v>2012.</c:v>
                </c:pt>
                <c:pt idx="3">
                  <c:v>2013.</c:v>
                </c:pt>
                <c:pt idx="4">
                  <c:v>2014.</c:v>
                </c:pt>
                <c:pt idx="5">
                  <c:v>2015.</c:v>
                </c:pt>
              </c:strCache>
            </c:strRef>
          </c:cat>
          <c:val>
            <c:numRef>
              <c:f>'[18]2010-2015'!$B$34:$G$34</c:f>
              <c:numCache>
                <c:formatCode>General</c:formatCode>
                <c:ptCount val="6"/>
                <c:pt idx="0">
                  <c:v>143</c:v>
                </c:pt>
                <c:pt idx="1">
                  <c:v>146</c:v>
                </c:pt>
                <c:pt idx="2">
                  <c:v>155</c:v>
                </c:pt>
                <c:pt idx="3">
                  <c:v>169</c:v>
                </c:pt>
                <c:pt idx="4">
                  <c:v>175</c:v>
                </c:pt>
                <c:pt idx="5">
                  <c:v>161</c:v>
                </c:pt>
              </c:numCache>
            </c:numRef>
          </c:val>
        </c:ser>
        <c:ser>
          <c:idx val="1"/>
          <c:order val="1"/>
          <c:tx>
            <c:strRef>
              <c:f>'C:\Users\Korisnik\Desktop\novo zdravstveno elma\[Mentalni poremecaji i poremećaji ponašanja u FBiH.xlsx]2010-2015'!$A$35</c:f>
              <c:strCache>
                <c:ptCount val="1"/>
                <c:pt idx="0">
                  <c:v>Poremećaji raspoloženja (afektivni) (F30-F39)</c:v>
                </c:pt>
              </c:strCache>
            </c:strRef>
          </c:tx>
          <c:invertIfNegative val="0"/>
          <c:cat>
            <c:strRef>
              <c:f>'[18]2010-2015'!$B$33:$G$33</c:f>
              <c:strCache>
                <c:ptCount val="6"/>
                <c:pt idx="0">
                  <c:v>2010.</c:v>
                </c:pt>
                <c:pt idx="1">
                  <c:v>2011.</c:v>
                </c:pt>
                <c:pt idx="2">
                  <c:v>2012.</c:v>
                </c:pt>
                <c:pt idx="3">
                  <c:v>2013.</c:v>
                </c:pt>
                <c:pt idx="4">
                  <c:v>2014.</c:v>
                </c:pt>
                <c:pt idx="5">
                  <c:v>2015.</c:v>
                </c:pt>
              </c:strCache>
            </c:strRef>
          </c:cat>
          <c:val>
            <c:numRef>
              <c:f>'[18]2010-2015'!$B$35:$G$35</c:f>
              <c:numCache>
                <c:formatCode>General</c:formatCode>
                <c:ptCount val="6"/>
                <c:pt idx="0">
                  <c:v>100</c:v>
                </c:pt>
                <c:pt idx="1">
                  <c:v>101</c:v>
                </c:pt>
                <c:pt idx="2">
                  <c:v>109</c:v>
                </c:pt>
                <c:pt idx="3">
                  <c:v>117</c:v>
                </c:pt>
                <c:pt idx="4">
                  <c:v>116</c:v>
                </c:pt>
                <c:pt idx="5">
                  <c:v>117</c:v>
                </c:pt>
              </c:numCache>
            </c:numRef>
          </c:val>
        </c:ser>
        <c:ser>
          <c:idx val="2"/>
          <c:order val="2"/>
          <c:tx>
            <c:strRef>
              <c:f>'C:\Users\Korisnik\Desktop\novo zdravstveno elma\[Mentalni poremecaji i poremećaji ponašanja u FBiH.xlsx]2010-2015'!$A$36</c:f>
              <c:strCache>
                <c:ptCount val="1"/>
                <c:pt idx="0">
                  <c:v>Šizofrenija, šizotipalni i sumanuti poremećaji (F20-F29)</c:v>
                </c:pt>
              </c:strCache>
            </c:strRef>
          </c:tx>
          <c:invertIfNegative val="0"/>
          <c:cat>
            <c:strRef>
              <c:f>'[18]2010-2015'!$B$33:$G$33</c:f>
              <c:strCache>
                <c:ptCount val="6"/>
                <c:pt idx="0">
                  <c:v>2010.</c:v>
                </c:pt>
                <c:pt idx="1">
                  <c:v>2011.</c:v>
                </c:pt>
                <c:pt idx="2">
                  <c:v>2012.</c:v>
                </c:pt>
                <c:pt idx="3">
                  <c:v>2013.</c:v>
                </c:pt>
                <c:pt idx="4">
                  <c:v>2014.</c:v>
                </c:pt>
                <c:pt idx="5">
                  <c:v>2015.</c:v>
                </c:pt>
              </c:strCache>
            </c:strRef>
          </c:cat>
          <c:val>
            <c:numRef>
              <c:f>'[18]2010-2015'!$B$36:$G$36</c:f>
              <c:numCache>
                <c:formatCode>General</c:formatCode>
                <c:ptCount val="6"/>
                <c:pt idx="0">
                  <c:v>50</c:v>
                </c:pt>
                <c:pt idx="1">
                  <c:v>50</c:v>
                </c:pt>
                <c:pt idx="2">
                  <c:v>64</c:v>
                </c:pt>
                <c:pt idx="3">
                  <c:v>59</c:v>
                </c:pt>
                <c:pt idx="4">
                  <c:v>56</c:v>
                </c:pt>
                <c:pt idx="5">
                  <c:v>52</c:v>
                </c:pt>
              </c:numCache>
            </c:numRef>
          </c:val>
        </c:ser>
        <c:ser>
          <c:idx val="3"/>
          <c:order val="3"/>
          <c:tx>
            <c:strRef>
              <c:f>'C:\Users\Korisnik\Desktop\novo zdravstveno elma\[Mentalni poremecaji i poremećaji ponašanja u FBiH.xlsx]2010-2015'!$A$37</c:f>
              <c:strCache>
                <c:ptCount val="1"/>
                <c:pt idx="0">
                  <c:v>Drugi mentalni poremećaji i poremećaji ponašanja (F04-F09, F50-F69, F80-F99)</c:v>
                </c:pt>
              </c:strCache>
            </c:strRef>
          </c:tx>
          <c:invertIfNegative val="0"/>
          <c:cat>
            <c:strRef>
              <c:f>'[18]2010-2015'!$B$33:$G$33</c:f>
              <c:strCache>
                <c:ptCount val="6"/>
                <c:pt idx="0">
                  <c:v>2010.</c:v>
                </c:pt>
                <c:pt idx="1">
                  <c:v>2011.</c:v>
                </c:pt>
                <c:pt idx="2">
                  <c:v>2012.</c:v>
                </c:pt>
                <c:pt idx="3">
                  <c:v>2013.</c:v>
                </c:pt>
                <c:pt idx="4">
                  <c:v>2014.</c:v>
                </c:pt>
                <c:pt idx="5">
                  <c:v>2015.</c:v>
                </c:pt>
              </c:strCache>
            </c:strRef>
          </c:cat>
          <c:val>
            <c:numRef>
              <c:f>'[18]2010-2015'!$B$37:$G$37</c:f>
              <c:numCache>
                <c:formatCode>General</c:formatCode>
                <c:ptCount val="6"/>
                <c:pt idx="0">
                  <c:v>29</c:v>
                </c:pt>
                <c:pt idx="1">
                  <c:v>31</c:v>
                </c:pt>
                <c:pt idx="2">
                  <c:v>33</c:v>
                </c:pt>
                <c:pt idx="3">
                  <c:v>37</c:v>
                </c:pt>
                <c:pt idx="4">
                  <c:v>33</c:v>
                </c:pt>
                <c:pt idx="5">
                  <c:v>31</c:v>
                </c:pt>
              </c:numCache>
            </c:numRef>
          </c:val>
        </c:ser>
        <c:ser>
          <c:idx val="4"/>
          <c:order val="4"/>
          <c:tx>
            <c:strRef>
              <c:f>'C:\Users\Korisnik\Desktop\novo zdravstveno elma\[Mentalni poremecaji i poremećaji ponašanja u FBiH.xlsx]2010-2015'!$A$38</c:f>
              <c:strCache>
                <c:ptCount val="1"/>
                <c:pt idx="0">
                  <c:v>Mentalni poremećaji ponašanja uzrokovani alkoholom (F10)</c:v>
                </c:pt>
              </c:strCache>
            </c:strRef>
          </c:tx>
          <c:invertIfNegative val="0"/>
          <c:cat>
            <c:strRef>
              <c:f>'[18]2010-2015'!$B$33:$G$33</c:f>
              <c:strCache>
                <c:ptCount val="6"/>
                <c:pt idx="0">
                  <c:v>2010.</c:v>
                </c:pt>
                <c:pt idx="1">
                  <c:v>2011.</c:v>
                </c:pt>
                <c:pt idx="2">
                  <c:v>2012.</c:v>
                </c:pt>
                <c:pt idx="3">
                  <c:v>2013.</c:v>
                </c:pt>
                <c:pt idx="4">
                  <c:v>2014.</c:v>
                </c:pt>
                <c:pt idx="5">
                  <c:v>2015.</c:v>
                </c:pt>
              </c:strCache>
            </c:strRef>
          </c:cat>
          <c:val>
            <c:numRef>
              <c:f>'[18]2010-2015'!$B$38:$G$38</c:f>
              <c:numCache>
                <c:formatCode>General</c:formatCode>
                <c:ptCount val="6"/>
                <c:pt idx="0">
                  <c:v>14</c:v>
                </c:pt>
                <c:pt idx="1">
                  <c:v>16</c:v>
                </c:pt>
                <c:pt idx="2">
                  <c:v>15</c:v>
                </c:pt>
                <c:pt idx="3">
                  <c:v>14</c:v>
                </c:pt>
                <c:pt idx="4">
                  <c:v>15</c:v>
                </c:pt>
                <c:pt idx="5">
                  <c:v>13</c:v>
                </c:pt>
              </c:numCache>
            </c:numRef>
          </c:val>
        </c:ser>
        <c:dLbls>
          <c:showLegendKey val="0"/>
          <c:showVal val="0"/>
          <c:showCatName val="0"/>
          <c:showSerName val="0"/>
          <c:showPercent val="0"/>
          <c:showBubbleSize val="0"/>
        </c:dLbls>
        <c:gapWidth val="150"/>
        <c:axId val="161775616"/>
        <c:axId val="161777152"/>
      </c:barChart>
      <c:catAx>
        <c:axId val="161775616"/>
        <c:scaling>
          <c:orientation val="minMax"/>
        </c:scaling>
        <c:delete val="0"/>
        <c:axPos val="b"/>
        <c:numFmt formatCode="General" sourceLinked="0"/>
        <c:majorTickMark val="out"/>
        <c:minorTickMark val="none"/>
        <c:tickLblPos val="nextTo"/>
        <c:txPr>
          <a:bodyPr/>
          <a:lstStyle/>
          <a:p>
            <a:pPr>
              <a:defRPr lang="bs-Latn-BA"/>
            </a:pPr>
            <a:endParaRPr lang="sr-Latn-RS"/>
          </a:p>
        </c:txPr>
        <c:crossAx val="161777152"/>
        <c:crosses val="autoZero"/>
        <c:auto val="1"/>
        <c:lblAlgn val="ctr"/>
        <c:lblOffset val="100"/>
        <c:noMultiLvlLbl val="0"/>
      </c:catAx>
      <c:valAx>
        <c:axId val="161777152"/>
        <c:scaling>
          <c:orientation val="minMax"/>
        </c:scaling>
        <c:delete val="0"/>
        <c:axPos val="l"/>
        <c:majorGridlines/>
        <c:numFmt formatCode="General" sourceLinked="1"/>
        <c:majorTickMark val="out"/>
        <c:minorTickMark val="none"/>
        <c:tickLblPos val="nextTo"/>
        <c:txPr>
          <a:bodyPr/>
          <a:lstStyle/>
          <a:p>
            <a:pPr>
              <a:defRPr lang="bs-Latn-BA"/>
            </a:pPr>
            <a:endParaRPr lang="sr-Latn-RS"/>
          </a:p>
        </c:txPr>
        <c:crossAx val="161775616"/>
        <c:crosses val="autoZero"/>
        <c:crossBetween val="between"/>
      </c:valAx>
    </c:plotArea>
    <c:legend>
      <c:legendPos val="r"/>
      <c:overlay val="0"/>
      <c:txPr>
        <a:bodyPr/>
        <a:lstStyle/>
        <a:p>
          <a:pPr>
            <a:defRPr lang="bs-Latn-BA" sz="800"/>
          </a:pPr>
          <a:endParaRPr lang="sr-Latn-RS"/>
        </a:p>
      </c:txPr>
    </c:legend>
    <c:plotVisOnly val="1"/>
    <c:dispBlanksAs val="gap"/>
    <c:showDLblsOverMax val="0"/>
  </c:chart>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bs-Latn-B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'C:\Users\Korisnik\Desktop\novo zdravstveno elma\[Mentalni poremecaji i poremećaji ponašanja u FBiH.xlsx]2010-2015'!$A$46</c:f>
              <c:strCache>
                <c:ptCount val="1"/>
                <c:pt idx="0">
                  <c:v>Neurotski, sa stresom povezani i somatski poremećaji (F40-F48)</c:v>
                </c:pt>
              </c:strCache>
            </c:strRef>
          </c:tx>
          <c:invertIfNegative val="0"/>
          <c:cat>
            <c:strRef>
              <c:f>'[18]2010-2015'!$B$45:$G$45</c:f>
              <c:strCache>
                <c:ptCount val="6"/>
                <c:pt idx="0">
                  <c:v>2010.</c:v>
                </c:pt>
                <c:pt idx="1">
                  <c:v>2011.</c:v>
                </c:pt>
                <c:pt idx="2">
                  <c:v>2012.</c:v>
                </c:pt>
                <c:pt idx="3">
                  <c:v>2013.</c:v>
                </c:pt>
                <c:pt idx="4">
                  <c:v>2014.</c:v>
                </c:pt>
                <c:pt idx="5">
                  <c:v>2015.</c:v>
                </c:pt>
              </c:strCache>
            </c:strRef>
          </c:cat>
          <c:val>
            <c:numRef>
              <c:f>'[18]2010-2015'!$B$46:$G$46</c:f>
              <c:numCache>
                <c:formatCode>General</c:formatCode>
                <c:ptCount val="6"/>
                <c:pt idx="0">
                  <c:v>156</c:v>
                </c:pt>
                <c:pt idx="1">
                  <c:v>169</c:v>
                </c:pt>
                <c:pt idx="2">
                  <c:v>181</c:v>
                </c:pt>
                <c:pt idx="3">
                  <c:v>219</c:v>
                </c:pt>
                <c:pt idx="4">
                  <c:v>264</c:v>
                </c:pt>
                <c:pt idx="5">
                  <c:v>213</c:v>
                </c:pt>
              </c:numCache>
            </c:numRef>
          </c:val>
        </c:ser>
        <c:ser>
          <c:idx val="1"/>
          <c:order val="1"/>
          <c:tx>
            <c:strRef>
              <c:f>'C:\Users\Korisnik\Desktop\novo zdravstveno elma\[Mentalni poremecaji i poremećaji ponašanja u FBiH.xlsx]2010-2015'!$A$47</c:f>
              <c:strCache>
                <c:ptCount val="1"/>
                <c:pt idx="0">
                  <c:v>Poremećaji raspoloženja (afektivni) (F30-F39)</c:v>
                </c:pt>
              </c:strCache>
            </c:strRef>
          </c:tx>
          <c:invertIfNegative val="0"/>
          <c:cat>
            <c:strRef>
              <c:f>'[18]2010-2015'!$B$45:$G$45</c:f>
              <c:strCache>
                <c:ptCount val="6"/>
                <c:pt idx="0">
                  <c:v>2010.</c:v>
                </c:pt>
                <c:pt idx="1">
                  <c:v>2011.</c:v>
                </c:pt>
                <c:pt idx="2">
                  <c:v>2012.</c:v>
                </c:pt>
                <c:pt idx="3">
                  <c:v>2013.</c:v>
                </c:pt>
                <c:pt idx="4">
                  <c:v>2014.</c:v>
                </c:pt>
                <c:pt idx="5">
                  <c:v>2015.</c:v>
                </c:pt>
              </c:strCache>
            </c:strRef>
          </c:cat>
          <c:val>
            <c:numRef>
              <c:f>'[18]2010-2015'!$B$47:$G$47</c:f>
              <c:numCache>
                <c:formatCode>General</c:formatCode>
                <c:ptCount val="6"/>
                <c:pt idx="0">
                  <c:v>118</c:v>
                </c:pt>
                <c:pt idx="1">
                  <c:v>139</c:v>
                </c:pt>
                <c:pt idx="2">
                  <c:v>152</c:v>
                </c:pt>
                <c:pt idx="3">
                  <c:v>159</c:v>
                </c:pt>
                <c:pt idx="4">
                  <c:v>163</c:v>
                </c:pt>
                <c:pt idx="5">
                  <c:v>180</c:v>
                </c:pt>
              </c:numCache>
            </c:numRef>
          </c:val>
        </c:ser>
        <c:ser>
          <c:idx val="2"/>
          <c:order val="2"/>
          <c:tx>
            <c:strRef>
              <c:f>'C:\Users\Korisnik\Desktop\novo zdravstveno elma\[Mentalni poremecaji i poremećaji ponašanja u FBiH.xlsx]2010-2015'!$A$48</c:f>
              <c:strCache>
                <c:ptCount val="1"/>
                <c:pt idx="0">
                  <c:v>Drugi mentalni poremećaji i poremećaji ponašanja (F04-F09, F50-F69, F80-F99)</c:v>
                </c:pt>
              </c:strCache>
            </c:strRef>
          </c:tx>
          <c:invertIfNegative val="0"/>
          <c:cat>
            <c:strRef>
              <c:f>'[18]2010-2015'!$B$45:$G$45</c:f>
              <c:strCache>
                <c:ptCount val="6"/>
                <c:pt idx="0">
                  <c:v>2010.</c:v>
                </c:pt>
                <c:pt idx="1">
                  <c:v>2011.</c:v>
                </c:pt>
                <c:pt idx="2">
                  <c:v>2012.</c:v>
                </c:pt>
                <c:pt idx="3">
                  <c:v>2013.</c:v>
                </c:pt>
                <c:pt idx="4">
                  <c:v>2014.</c:v>
                </c:pt>
                <c:pt idx="5">
                  <c:v>2015.</c:v>
                </c:pt>
              </c:strCache>
            </c:strRef>
          </c:cat>
          <c:val>
            <c:numRef>
              <c:f>'[18]2010-2015'!$B$48:$G$48</c:f>
              <c:numCache>
                <c:formatCode>General</c:formatCode>
                <c:ptCount val="6"/>
                <c:pt idx="0">
                  <c:v>59</c:v>
                </c:pt>
                <c:pt idx="1">
                  <c:v>68</c:v>
                </c:pt>
                <c:pt idx="2">
                  <c:v>73</c:v>
                </c:pt>
                <c:pt idx="3">
                  <c:v>81</c:v>
                </c:pt>
                <c:pt idx="4">
                  <c:v>83</c:v>
                </c:pt>
                <c:pt idx="5">
                  <c:v>77</c:v>
                </c:pt>
              </c:numCache>
            </c:numRef>
          </c:val>
        </c:ser>
        <c:ser>
          <c:idx val="3"/>
          <c:order val="3"/>
          <c:tx>
            <c:strRef>
              <c:f>'C:\Users\Korisnik\Desktop\novo zdravstveno elma\[Mentalni poremecaji i poremećaji ponašanja u FBiH.xlsx]2010-2015'!$A$49</c:f>
              <c:strCache>
                <c:ptCount val="1"/>
                <c:pt idx="0">
                  <c:v>Šizofrenija, šizotipalni i sumanuti poremećaji (F20-F29)</c:v>
                </c:pt>
              </c:strCache>
            </c:strRef>
          </c:tx>
          <c:invertIfNegative val="0"/>
          <c:cat>
            <c:strRef>
              <c:f>'[18]2010-2015'!$B$45:$G$45</c:f>
              <c:strCache>
                <c:ptCount val="6"/>
                <c:pt idx="0">
                  <c:v>2010.</c:v>
                </c:pt>
                <c:pt idx="1">
                  <c:v>2011.</c:v>
                </c:pt>
                <c:pt idx="2">
                  <c:v>2012.</c:v>
                </c:pt>
                <c:pt idx="3">
                  <c:v>2013.</c:v>
                </c:pt>
                <c:pt idx="4">
                  <c:v>2014.</c:v>
                </c:pt>
                <c:pt idx="5">
                  <c:v>2015.</c:v>
                </c:pt>
              </c:strCache>
            </c:strRef>
          </c:cat>
          <c:val>
            <c:numRef>
              <c:f>'[18]2010-2015'!$B$49:$G$49</c:f>
              <c:numCache>
                <c:formatCode>General</c:formatCode>
                <c:ptCount val="6"/>
                <c:pt idx="0">
                  <c:v>43</c:v>
                </c:pt>
                <c:pt idx="1">
                  <c:v>48</c:v>
                </c:pt>
                <c:pt idx="2">
                  <c:v>47</c:v>
                </c:pt>
                <c:pt idx="3">
                  <c:v>61</c:v>
                </c:pt>
                <c:pt idx="4">
                  <c:v>57</c:v>
                </c:pt>
                <c:pt idx="5">
                  <c:v>58</c:v>
                </c:pt>
              </c:numCache>
            </c:numRef>
          </c:val>
        </c:ser>
        <c:ser>
          <c:idx val="4"/>
          <c:order val="4"/>
          <c:tx>
            <c:strRef>
              <c:f>'C:\Users\Korisnik\Desktop\novo zdravstveno elma\[Mentalni poremecaji i poremećaji ponašanja u FBiH.xlsx]2010-2015'!$A$50</c:f>
              <c:strCache>
                <c:ptCount val="1"/>
                <c:pt idx="0">
                  <c:v>Demencija (F00-F03)</c:v>
                </c:pt>
              </c:strCache>
            </c:strRef>
          </c:tx>
          <c:invertIfNegative val="0"/>
          <c:cat>
            <c:strRef>
              <c:f>'[18]2010-2015'!$B$45:$G$45</c:f>
              <c:strCache>
                <c:ptCount val="6"/>
                <c:pt idx="0">
                  <c:v>2010.</c:v>
                </c:pt>
                <c:pt idx="1">
                  <c:v>2011.</c:v>
                </c:pt>
                <c:pt idx="2">
                  <c:v>2012.</c:v>
                </c:pt>
                <c:pt idx="3">
                  <c:v>2013.</c:v>
                </c:pt>
                <c:pt idx="4">
                  <c:v>2014.</c:v>
                </c:pt>
                <c:pt idx="5">
                  <c:v>2015.</c:v>
                </c:pt>
              </c:strCache>
            </c:strRef>
          </c:cat>
          <c:val>
            <c:numRef>
              <c:f>'[18]2010-2015'!$B$50:$G$50</c:f>
              <c:numCache>
                <c:formatCode>General</c:formatCode>
                <c:ptCount val="6"/>
                <c:pt idx="0">
                  <c:v>20</c:v>
                </c:pt>
                <c:pt idx="1">
                  <c:v>25</c:v>
                </c:pt>
                <c:pt idx="2">
                  <c:v>31</c:v>
                </c:pt>
                <c:pt idx="3">
                  <c:v>37</c:v>
                </c:pt>
                <c:pt idx="4">
                  <c:v>42</c:v>
                </c:pt>
                <c:pt idx="5">
                  <c:v>40</c:v>
                </c:pt>
              </c:numCache>
            </c:numRef>
          </c:val>
        </c:ser>
        <c:dLbls>
          <c:showLegendKey val="0"/>
          <c:showVal val="0"/>
          <c:showCatName val="0"/>
          <c:showSerName val="0"/>
          <c:showPercent val="0"/>
          <c:showBubbleSize val="0"/>
        </c:dLbls>
        <c:gapWidth val="150"/>
        <c:axId val="161558912"/>
        <c:axId val="161560448"/>
      </c:barChart>
      <c:catAx>
        <c:axId val="161558912"/>
        <c:scaling>
          <c:orientation val="minMax"/>
        </c:scaling>
        <c:delete val="0"/>
        <c:axPos val="b"/>
        <c:numFmt formatCode="General" sourceLinked="0"/>
        <c:majorTickMark val="out"/>
        <c:minorTickMark val="none"/>
        <c:tickLblPos val="nextTo"/>
        <c:txPr>
          <a:bodyPr/>
          <a:lstStyle/>
          <a:p>
            <a:pPr>
              <a:defRPr lang="bs-Latn-BA"/>
            </a:pPr>
            <a:endParaRPr lang="sr-Latn-RS"/>
          </a:p>
        </c:txPr>
        <c:crossAx val="161560448"/>
        <c:crosses val="autoZero"/>
        <c:auto val="1"/>
        <c:lblAlgn val="ctr"/>
        <c:lblOffset val="100"/>
        <c:noMultiLvlLbl val="0"/>
      </c:catAx>
      <c:valAx>
        <c:axId val="161560448"/>
        <c:scaling>
          <c:orientation val="minMax"/>
        </c:scaling>
        <c:delete val="0"/>
        <c:axPos val="l"/>
        <c:majorGridlines/>
        <c:numFmt formatCode="General" sourceLinked="1"/>
        <c:majorTickMark val="out"/>
        <c:minorTickMark val="none"/>
        <c:tickLblPos val="nextTo"/>
        <c:txPr>
          <a:bodyPr/>
          <a:lstStyle/>
          <a:p>
            <a:pPr>
              <a:defRPr lang="bs-Latn-BA"/>
            </a:pPr>
            <a:endParaRPr lang="sr-Latn-RS"/>
          </a:p>
        </c:txPr>
        <c:crossAx val="161558912"/>
        <c:crosses val="autoZero"/>
        <c:crossBetween val="between"/>
      </c:valAx>
    </c:plotArea>
    <c:legend>
      <c:legendPos val="r"/>
      <c:overlay val="0"/>
      <c:txPr>
        <a:bodyPr/>
        <a:lstStyle/>
        <a:p>
          <a:pPr>
            <a:defRPr lang="bs-Latn-BA" sz="800"/>
          </a:pPr>
          <a:endParaRPr lang="sr-Latn-RS"/>
        </a:p>
      </c:txPr>
    </c:legend>
    <c:plotVisOnly val="1"/>
    <c:dispBlanksAs val="gap"/>
    <c:showDLblsOverMax val="0"/>
  </c:chart>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bs-Latn-B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Morbiditet!$B$405</c:f>
              <c:strCache>
                <c:ptCount val="1"/>
                <c:pt idx="0">
                  <c:v>Broj oboljelih</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Morbiditet!$A$406:$A$413</c:f>
              <c:strCache>
                <c:ptCount val="8"/>
                <c:pt idx="0">
                  <c:v>0-4</c:v>
                </c:pt>
                <c:pt idx="1">
                  <c:v>5-14.</c:v>
                </c:pt>
                <c:pt idx="2">
                  <c:v>15-24</c:v>
                </c:pt>
                <c:pt idx="3">
                  <c:v>25-34</c:v>
                </c:pt>
                <c:pt idx="4">
                  <c:v>35-44</c:v>
                </c:pt>
                <c:pt idx="5">
                  <c:v>45-54</c:v>
                </c:pt>
                <c:pt idx="6">
                  <c:v>55-64</c:v>
                </c:pt>
                <c:pt idx="7">
                  <c:v>≥65</c:v>
                </c:pt>
              </c:strCache>
            </c:strRef>
          </c:cat>
          <c:val>
            <c:numRef>
              <c:f>Morbiditet!$B$406:$B$413</c:f>
              <c:numCache>
                <c:formatCode>General</c:formatCode>
                <c:ptCount val="8"/>
                <c:pt idx="0">
                  <c:v>3</c:v>
                </c:pt>
                <c:pt idx="1">
                  <c:v>6</c:v>
                </c:pt>
                <c:pt idx="2">
                  <c:v>89</c:v>
                </c:pt>
                <c:pt idx="3">
                  <c:v>76</c:v>
                </c:pt>
                <c:pt idx="4">
                  <c:v>74</c:v>
                </c:pt>
                <c:pt idx="5">
                  <c:v>111</c:v>
                </c:pt>
                <c:pt idx="6">
                  <c:v>110</c:v>
                </c:pt>
                <c:pt idx="7">
                  <c:v>258</c:v>
                </c:pt>
              </c:numCache>
            </c:numRef>
          </c:val>
        </c:ser>
        <c:dLbls>
          <c:showLegendKey val="0"/>
          <c:showVal val="0"/>
          <c:showCatName val="0"/>
          <c:showSerName val="0"/>
          <c:showPercent val="0"/>
          <c:showBubbleSize val="0"/>
        </c:dLbls>
        <c:gapWidth val="219"/>
        <c:overlap val="-27"/>
        <c:axId val="43614208"/>
        <c:axId val="43615744"/>
      </c:barChart>
      <c:catAx>
        <c:axId val="436142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43615744"/>
        <c:crosses val="autoZero"/>
        <c:auto val="1"/>
        <c:lblAlgn val="ctr"/>
        <c:lblOffset val="100"/>
        <c:noMultiLvlLbl val="0"/>
      </c:catAx>
      <c:valAx>
        <c:axId val="4361574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4361420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alpha val="0"/>
        </a:schemeClr>
      </a:solidFill>
      <a:round/>
    </a:ln>
    <a:effectLst/>
  </c:spPr>
  <c:txPr>
    <a:bodyPr/>
    <a:lstStyle/>
    <a:p>
      <a:pPr>
        <a:defRPr/>
      </a:pPr>
      <a:endParaRPr lang="sr-Latn-RS"/>
    </a:p>
  </c:txPr>
  <c:externalData r:id="rId1">
    <c:autoUpdate val="0"/>
  </c:externalData>
  <c:userShapes r:id="rId2"/>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bs-Latn-B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'[Kontrola pokrivenost.xlsx]Sheet1'!$L$3</c:f>
              <c:strCache>
                <c:ptCount val="1"/>
                <c:pt idx="0">
                  <c:v>BCG</c:v>
                </c:pt>
              </c:strCache>
            </c:strRef>
          </c:tx>
          <c:invertIfNegative val="0"/>
          <c:cat>
            <c:numRef>
              <c:f>'[Kontrola pokrivenost.xlsx]Sheet1'!$M$2:$Q$2</c:f>
              <c:numCache>
                <c:formatCode>General</c:formatCode>
                <c:ptCount val="5"/>
                <c:pt idx="0">
                  <c:v>2011</c:v>
                </c:pt>
                <c:pt idx="1">
                  <c:v>2012</c:v>
                </c:pt>
                <c:pt idx="2">
                  <c:v>2013</c:v>
                </c:pt>
                <c:pt idx="3">
                  <c:v>2014</c:v>
                </c:pt>
                <c:pt idx="4">
                  <c:v>2015</c:v>
                </c:pt>
              </c:numCache>
            </c:numRef>
          </c:cat>
          <c:val>
            <c:numRef>
              <c:f>'[Kontrola pokrivenost.xlsx]Sheet1'!$M$3:$Q$3</c:f>
              <c:numCache>
                <c:formatCode>General</c:formatCode>
                <c:ptCount val="5"/>
                <c:pt idx="0">
                  <c:v>95</c:v>
                </c:pt>
                <c:pt idx="1">
                  <c:v>98.8</c:v>
                </c:pt>
                <c:pt idx="2">
                  <c:v>94.2</c:v>
                </c:pt>
                <c:pt idx="3">
                  <c:v>98.1</c:v>
                </c:pt>
                <c:pt idx="4">
                  <c:v>95.7</c:v>
                </c:pt>
              </c:numCache>
            </c:numRef>
          </c:val>
        </c:ser>
        <c:ser>
          <c:idx val="1"/>
          <c:order val="1"/>
          <c:tx>
            <c:strRef>
              <c:f>'[Kontrola pokrivenost.xlsx]Sheet1'!$L$4</c:f>
              <c:strCache>
                <c:ptCount val="1"/>
                <c:pt idx="0">
                  <c:v>Hep B 3</c:v>
                </c:pt>
              </c:strCache>
            </c:strRef>
          </c:tx>
          <c:invertIfNegative val="0"/>
          <c:cat>
            <c:numRef>
              <c:f>'[Kontrola pokrivenost.xlsx]Sheet1'!$M$2:$Q$2</c:f>
              <c:numCache>
                <c:formatCode>General</c:formatCode>
                <c:ptCount val="5"/>
                <c:pt idx="0">
                  <c:v>2011</c:v>
                </c:pt>
                <c:pt idx="1">
                  <c:v>2012</c:v>
                </c:pt>
                <c:pt idx="2">
                  <c:v>2013</c:v>
                </c:pt>
                <c:pt idx="3">
                  <c:v>2014</c:v>
                </c:pt>
                <c:pt idx="4">
                  <c:v>2015</c:v>
                </c:pt>
              </c:numCache>
            </c:numRef>
          </c:cat>
          <c:val>
            <c:numRef>
              <c:f>'[Kontrola pokrivenost.xlsx]Sheet1'!$M$4:$Q$4</c:f>
              <c:numCache>
                <c:formatCode>General</c:formatCode>
                <c:ptCount val="5"/>
                <c:pt idx="0">
                  <c:v>88.7</c:v>
                </c:pt>
                <c:pt idx="1">
                  <c:v>87.3</c:v>
                </c:pt>
                <c:pt idx="2">
                  <c:v>88.6</c:v>
                </c:pt>
                <c:pt idx="3">
                  <c:v>89.4</c:v>
                </c:pt>
                <c:pt idx="4">
                  <c:v>78.8</c:v>
                </c:pt>
              </c:numCache>
            </c:numRef>
          </c:val>
        </c:ser>
        <c:ser>
          <c:idx val="2"/>
          <c:order val="2"/>
          <c:tx>
            <c:strRef>
              <c:f>'[Kontrola pokrivenost.xlsx]Sheet1'!$L$5</c:f>
              <c:strCache>
                <c:ptCount val="1"/>
                <c:pt idx="0">
                  <c:v>DTP/IPV</c:v>
                </c:pt>
              </c:strCache>
            </c:strRef>
          </c:tx>
          <c:invertIfNegative val="0"/>
          <c:cat>
            <c:numRef>
              <c:f>'[Kontrola pokrivenost.xlsx]Sheet1'!$M$2:$Q$2</c:f>
              <c:numCache>
                <c:formatCode>General</c:formatCode>
                <c:ptCount val="5"/>
                <c:pt idx="0">
                  <c:v>2011</c:v>
                </c:pt>
                <c:pt idx="1">
                  <c:v>2012</c:v>
                </c:pt>
                <c:pt idx="2">
                  <c:v>2013</c:v>
                </c:pt>
                <c:pt idx="3">
                  <c:v>2014</c:v>
                </c:pt>
                <c:pt idx="4">
                  <c:v>2015</c:v>
                </c:pt>
              </c:numCache>
            </c:numRef>
          </c:cat>
          <c:val>
            <c:numRef>
              <c:f>'[Kontrola pokrivenost.xlsx]Sheet1'!$M$5:$Q$5</c:f>
              <c:numCache>
                <c:formatCode>General</c:formatCode>
                <c:ptCount val="5"/>
                <c:pt idx="0">
                  <c:v>88.6</c:v>
                </c:pt>
                <c:pt idx="1">
                  <c:v>90.2</c:v>
                </c:pt>
                <c:pt idx="2">
                  <c:v>86.5</c:v>
                </c:pt>
                <c:pt idx="3">
                  <c:v>86.2</c:v>
                </c:pt>
                <c:pt idx="4">
                  <c:v>76.3</c:v>
                </c:pt>
              </c:numCache>
            </c:numRef>
          </c:val>
        </c:ser>
        <c:ser>
          <c:idx val="3"/>
          <c:order val="3"/>
          <c:tx>
            <c:strRef>
              <c:f>'[Kontrola pokrivenost.xlsx]Sheet1'!$L$6</c:f>
              <c:strCache>
                <c:ptCount val="1"/>
                <c:pt idx="0">
                  <c:v>Hib 2</c:v>
                </c:pt>
              </c:strCache>
            </c:strRef>
          </c:tx>
          <c:invertIfNegative val="0"/>
          <c:cat>
            <c:numRef>
              <c:f>'[Kontrola pokrivenost.xlsx]Sheet1'!$M$2:$Q$2</c:f>
              <c:numCache>
                <c:formatCode>General</c:formatCode>
                <c:ptCount val="5"/>
                <c:pt idx="0">
                  <c:v>2011</c:v>
                </c:pt>
                <c:pt idx="1">
                  <c:v>2012</c:v>
                </c:pt>
                <c:pt idx="2">
                  <c:v>2013</c:v>
                </c:pt>
                <c:pt idx="3">
                  <c:v>2014</c:v>
                </c:pt>
                <c:pt idx="4">
                  <c:v>2015</c:v>
                </c:pt>
              </c:numCache>
            </c:numRef>
          </c:cat>
          <c:val>
            <c:numRef>
              <c:f>'[Kontrola pokrivenost.xlsx]Sheet1'!$M$6:$Q$6</c:f>
              <c:numCache>
                <c:formatCode>General</c:formatCode>
                <c:ptCount val="5"/>
                <c:pt idx="0">
                  <c:v>92.3</c:v>
                </c:pt>
                <c:pt idx="1">
                  <c:v>84.9</c:v>
                </c:pt>
                <c:pt idx="2">
                  <c:v>87.5</c:v>
                </c:pt>
                <c:pt idx="3">
                  <c:v>89.3</c:v>
                </c:pt>
                <c:pt idx="4">
                  <c:v>79.400000000000006</c:v>
                </c:pt>
              </c:numCache>
            </c:numRef>
          </c:val>
        </c:ser>
        <c:ser>
          <c:idx val="4"/>
          <c:order val="4"/>
          <c:tx>
            <c:strRef>
              <c:f>'[Kontrola pokrivenost.xlsx]Sheet1'!$L$7</c:f>
              <c:strCache>
                <c:ptCount val="1"/>
                <c:pt idx="0">
                  <c:v>MMR</c:v>
                </c:pt>
              </c:strCache>
            </c:strRef>
          </c:tx>
          <c:invertIfNegative val="0"/>
          <c:cat>
            <c:numRef>
              <c:f>'[Kontrola pokrivenost.xlsx]Sheet1'!$M$2:$Q$2</c:f>
              <c:numCache>
                <c:formatCode>General</c:formatCode>
                <c:ptCount val="5"/>
                <c:pt idx="0">
                  <c:v>2011</c:v>
                </c:pt>
                <c:pt idx="1">
                  <c:v>2012</c:v>
                </c:pt>
                <c:pt idx="2">
                  <c:v>2013</c:v>
                </c:pt>
                <c:pt idx="3">
                  <c:v>2014</c:v>
                </c:pt>
                <c:pt idx="4">
                  <c:v>2015</c:v>
                </c:pt>
              </c:numCache>
            </c:numRef>
          </c:cat>
          <c:val>
            <c:numRef>
              <c:f>'[Kontrola pokrivenost.xlsx]Sheet1'!$M$7:$Q$7</c:f>
              <c:numCache>
                <c:formatCode>General</c:formatCode>
                <c:ptCount val="5"/>
                <c:pt idx="0">
                  <c:v>87.8</c:v>
                </c:pt>
                <c:pt idx="1">
                  <c:v>92.2</c:v>
                </c:pt>
                <c:pt idx="2">
                  <c:v>87.3</c:v>
                </c:pt>
                <c:pt idx="3">
                  <c:v>89.1</c:v>
                </c:pt>
                <c:pt idx="4">
                  <c:v>77.900000000000006</c:v>
                </c:pt>
              </c:numCache>
            </c:numRef>
          </c:val>
        </c:ser>
        <c:dLbls>
          <c:showLegendKey val="0"/>
          <c:showVal val="0"/>
          <c:showCatName val="0"/>
          <c:showSerName val="0"/>
          <c:showPercent val="0"/>
          <c:showBubbleSize val="0"/>
        </c:dLbls>
        <c:gapWidth val="150"/>
        <c:axId val="173031808"/>
        <c:axId val="173033344"/>
      </c:barChart>
      <c:catAx>
        <c:axId val="173031808"/>
        <c:scaling>
          <c:orientation val="minMax"/>
        </c:scaling>
        <c:delete val="0"/>
        <c:axPos val="b"/>
        <c:numFmt formatCode="General" sourceLinked="1"/>
        <c:majorTickMark val="out"/>
        <c:minorTickMark val="none"/>
        <c:tickLblPos val="nextTo"/>
        <c:crossAx val="173033344"/>
        <c:crosses val="autoZero"/>
        <c:auto val="1"/>
        <c:lblAlgn val="ctr"/>
        <c:lblOffset val="100"/>
        <c:noMultiLvlLbl val="0"/>
      </c:catAx>
      <c:valAx>
        <c:axId val="173033344"/>
        <c:scaling>
          <c:orientation val="minMax"/>
        </c:scaling>
        <c:delete val="0"/>
        <c:axPos val="l"/>
        <c:majorGridlines/>
        <c:numFmt formatCode="General" sourceLinked="1"/>
        <c:majorTickMark val="out"/>
        <c:minorTickMark val="none"/>
        <c:tickLblPos val="nextTo"/>
        <c:crossAx val="173031808"/>
        <c:crosses val="autoZero"/>
        <c:crossBetween val="between"/>
      </c:valAx>
    </c:plotArea>
    <c:legend>
      <c:legendPos val="r"/>
      <c:overlay val="0"/>
    </c:legend>
    <c:plotVisOnly val="1"/>
    <c:dispBlanksAs val="gap"/>
    <c:showDLblsOverMax val="0"/>
  </c:chart>
  <c:externalData r:id="rId2">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bs-Latn-B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Morbiditet!$B$442:$B$443</c:f>
              <c:strCache>
                <c:ptCount val="2"/>
                <c:pt idx="0">
                  <c:v>2010.</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Morbiditet!$A$444:$A$448</c:f>
              <c:strCache>
                <c:ptCount val="5"/>
                <c:pt idx="0">
                  <c:v>0-6</c:v>
                </c:pt>
                <c:pt idx="1">
                  <c:v>od 7-18</c:v>
                </c:pt>
                <c:pt idx="2">
                  <c:v>20-64</c:v>
                </c:pt>
                <c:pt idx="3">
                  <c:v>65+</c:v>
                </c:pt>
                <c:pt idx="4">
                  <c:v>Ukupno </c:v>
                </c:pt>
              </c:strCache>
            </c:strRef>
          </c:cat>
          <c:val>
            <c:numRef>
              <c:f>Morbiditet!$B$444:$B$448</c:f>
              <c:numCache>
                <c:formatCode>0</c:formatCode>
                <c:ptCount val="5"/>
                <c:pt idx="0">
                  <c:v>299.54554833644522</c:v>
                </c:pt>
                <c:pt idx="1">
                  <c:v>439.91348397249124</c:v>
                </c:pt>
                <c:pt idx="2">
                  <c:v>302.70869552024288</c:v>
                </c:pt>
                <c:pt idx="3">
                  <c:v>220.28997818640761</c:v>
                </c:pt>
                <c:pt idx="4">
                  <c:v>317.71087326642885</c:v>
                </c:pt>
              </c:numCache>
            </c:numRef>
          </c:val>
        </c:ser>
        <c:ser>
          <c:idx val="1"/>
          <c:order val="1"/>
          <c:tx>
            <c:strRef>
              <c:f>Morbiditet!$C$442:$C$443</c:f>
              <c:strCache>
                <c:ptCount val="2"/>
                <c:pt idx="0">
                  <c:v>2015.</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Morbiditet!$A$444:$A$448</c:f>
              <c:strCache>
                <c:ptCount val="5"/>
                <c:pt idx="0">
                  <c:v>0-6</c:v>
                </c:pt>
                <c:pt idx="1">
                  <c:v>od 7-18</c:v>
                </c:pt>
                <c:pt idx="2">
                  <c:v>20-64</c:v>
                </c:pt>
                <c:pt idx="3">
                  <c:v>65+</c:v>
                </c:pt>
                <c:pt idx="4">
                  <c:v>Ukupno </c:v>
                </c:pt>
              </c:strCache>
            </c:strRef>
          </c:cat>
          <c:val>
            <c:numRef>
              <c:f>Morbiditet!$C$444:$C$448</c:f>
              <c:numCache>
                <c:formatCode>0</c:formatCode>
                <c:ptCount val="5"/>
                <c:pt idx="0">
                  <c:v>270</c:v>
                </c:pt>
                <c:pt idx="1">
                  <c:v>374</c:v>
                </c:pt>
                <c:pt idx="2">
                  <c:v>314</c:v>
                </c:pt>
                <c:pt idx="3">
                  <c:v>248</c:v>
                </c:pt>
                <c:pt idx="4">
                  <c:v>313</c:v>
                </c:pt>
              </c:numCache>
            </c:numRef>
          </c:val>
        </c:ser>
        <c:dLbls>
          <c:showLegendKey val="0"/>
          <c:showVal val="0"/>
          <c:showCatName val="0"/>
          <c:showSerName val="0"/>
          <c:showPercent val="0"/>
          <c:showBubbleSize val="0"/>
        </c:dLbls>
        <c:gapWidth val="150"/>
        <c:shape val="box"/>
        <c:axId val="173043072"/>
        <c:axId val="173073536"/>
        <c:axId val="0"/>
      </c:bar3DChart>
      <c:catAx>
        <c:axId val="17304307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173073536"/>
        <c:crosses val="autoZero"/>
        <c:auto val="1"/>
        <c:lblAlgn val="ctr"/>
        <c:lblOffset val="100"/>
        <c:noMultiLvlLbl val="0"/>
      </c:catAx>
      <c:valAx>
        <c:axId val="173073536"/>
        <c:scaling>
          <c:orientation val="minMax"/>
        </c:scaling>
        <c:delete val="1"/>
        <c:axPos val="l"/>
        <c:numFmt formatCode="0" sourceLinked="1"/>
        <c:majorTickMark val="none"/>
        <c:minorTickMark val="none"/>
        <c:tickLblPos val="nextTo"/>
        <c:crossAx val="1730430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sr-Latn-RS"/>
    </a:p>
  </c:txPr>
  <c:externalData r:id="rId1">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bs-Latn-B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'C:\Users\Korisnik\Desktop\novo zdravstveno elma\[Vodeća oboljenja starosne skupine 2015.xlsx]2010-2015'!$A$7</c:f>
              <c:strCache>
                <c:ptCount val="1"/>
                <c:pt idx="0">
                  <c:v>Akutne infekcije gornjih respiratornih puteva (J00-J06)</c:v>
                </c:pt>
              </c:strCache>
            </c:strRef>
          </c:tx>
          <c:invertIfNegative val="0"/>
          <c:cat>
            <c:strRef>
              <c:f>'[11]2010-2015'!$B$6:$G$6</c:f>
              <c:strCache>
                <c:ptCount val="6"/>
                <c:pt idx="0">
                  <c:v>2010.</c:v>
                </c:pt>
                <c:pt idx="1">
                  <c:v>2011.</c:v>
                </c:pt>
                <c:pt idx="2">
                  <c:v>2012.</c:v>
                </c:pt>
                <c:pt idx="3">
                  <c:v>2013.</c:v>
                </c:pt>
                <c:pt idx="4">
                  <c:v>2014.</c:v>
                </c:pt>
                <c:pt idx="5">
                  <c:v>2015.</c:v>
                </c:pt>
              </c:strCache>
            </c:strRef>
          </c:cat>
          <c:val>
            <c:numRef>
              <c:f>'[11]2010-2015'!$B$7:$G$7</c:f>
              <c:numCache>
                <c:formatCode>General</c:formatCode>
                <c:ptCount val="6"/>
                <c:pt idx="0">
                  <c:v>9642</c:v>
                </c:pt>
                <c:pt idx="1">
                  <c:v>9425</c:v>
                </c:pt>
                <c:pt idx="2">
                  <c:v>8584.7000000000007</c:v>
                </c:pt>
                <c:pt idx="3">
                  <c:v>9578</c:v>
                </c:pt>
                <c:pt idx="4">
                  <c:v>8719</c:v>
                </c:pt>
                <c:pt idx="5">
                  <c:v>8371</c:v>
                </c:pt>
              </c:numCache>
            </c:numRef>
          </c:val>
        </c:ser>
        <c:ser>
          <c:idx val="1"/>
          <c:order val="1"/>
          <c:tx>
            <c:strRef>
              <c:f>'C:\Users\Korisnik\Desktop\novo zdravstveno elma\[Vodeća oboljenja starosne skupine 2015.xlsx]2010-2015'!$A$8</c:f>
              <c:strCache>
                <c:ptCount val="1"/>
                <c:pt idx="0">
                  <c:v>Akutni bronhitis, bronhiolitis (J20-J21)</c:v>
                </c:pt>
              </c:strCache>
            </c:strRef>
          </c:tx>
          <c:invertIfNegative val="0"/>
          <c:cat>
            <c:strRef>
              <c:f>'[11]2010-2015'!$B$6:$G$6</c:f>
              <c:strCache>
                <c:ptCount val="6"/>
                <c:pt idx="0">
                  <c:v>2010.</c:v>
                </c:pt>
                <c:pt idx="1">
                  <c:v>2011.</c:v>
                </c:pt>
                <c:pt idx="2">
                  <c:v>2012.</c:v>
                </c:pt>
                <c:pt idx="3">
                  <c:v>2013.</c:v>
                </c:pt>
                <c:pt idx="4">
                  <c:v>2014.</c:v>
                </c:pt>
                <c:pt idx="5">
                  <c:v>2015.</c:v>
                </c:pt>
              </c:strCache>
            </c:strRef>
          </c:cat>
          <c:val>
            <c:numRef>
              <c:f>'[11]2010-2015'!$B$8:$G$8</c:f>
              <c:numCache>
                <c:formatCode>General</c:formatCode>
                <c:ptCount val="6"/>
                <c:pt idx="0">
                  <c:v>1805</c:v>
                </c:pt>
                <c:pt idx="1">
                  <c:v>1534</c:v>
                </c:pt>
                <c:pt idx="2">
                  <c:v>1566.6</c:v>
                </c:pt>
                <c:pt idx="3">
                  <c:v>2146</c:v>
                </c:pt>
                <c:pt idx="4">
                  <c:v>1978</c:v>
                </c:pt>
                <c:pt idx="5">
                  <c:v>1816</c:v>
                </c:pt>
              </c:numCache>
            </c:numRef>
          </c:val>
        </c:ser>
        <c:ser>
          <c:idx val="2"/>
          <c:order val="2"/>
          <c:tx>
            <c:strRef>
              <c:f>'C:\Users\Korisnik\Desktop\novo zdravstveno elma\[Vodeća oboljenja starosne skupine 2015.xlsx]2010-2015'!$A$9</c:f>
              <c:strCache>
                <c:ptCount val="1"/>
                <c:pt idx="0">
                  <c:v>Druga oboljenja kože i potkožnog tkiva (L10-L14, L20-L45, L55-L99)</c:v>
                </c:pt>
              </c:strCache>
            </c:strRef>
          </c:tx>
          <c:invertIfNegative val="0"/>
          <c:cat>
            <c:strRef>
              <c:f>'[11]2010-2015'!$B$6:$G$6</c:f>
              <c:strCache>
                <c:ptCount val="6"/>
                <c:pt idx="0">
                  <c:v>2010.</c:v>
                </c:pt>
                <c:pt idx="1">
                  <c:v>2011.</c:v>
                </c:pt>
                <c:pt idx="2">
                  <c:v>2012.</c:v>
                </c:pt>
                <c:pt idx="3">
                  <c:v>2013.</c:v>
                </c:pt>
                <c:pt idx="4">
                  <c:v>2014.</c:v>
                </c:pt>
                <c:pt idx="5">
                  <c:v>2015.</c:v>
                </c:pt>
              </c:strCache>
            </c:strRef>
          </c:cat>
          <c:val>
            <c:numRef>
              <c:f>'[11]2010-2015'!$B$9:$G$9</c:f>
              <c:numCache>
                <c:formatCode>General</c:formatCode>
                <c:ptCount val="6"/>
                <c:pt idx="4">
                  <c:v>477</c:v>
                </c:pt>
                <c:pt idx="5">
                  <c:v>417</c:v>
                </c:pt>
              </c:numCache>
            </c:numRef>
          </c:val>
        </c:ser>
        <c:ser>
          <c:idx val="3"/>
          <c:order val="3"/>
          <c:tx>
            <c:strRef>
              <c:f>'C:\Users\Korisnik\Desktop\novo zdravstveno elma\[Vodeća oboljenja starosne skupine 2015.xlsx]2010-2015'!$A$10</c:f>
              <c:strCache>
                <c:ptCount val="1"/>
                <c:pt idx="0">
                  <c:v>Anemije usljed nedostatka željeza (D50)</c:v>
                </c:pt>
              </c:strCache>
            </c:strRef>
          </c:tx>
          <c:invertIfNegative val="0"/>
          <c:cat>
            <c:strRef>
              <c:f>'[11]2010-2015'!$B$6:$G$6</c:f>
              <c:strCache>
                <c:ptCount val="6"/>
                <c:pt idx="0">
                  <c:v>2010.</c:v>
                </c:pt>
                <c:pt idx="1">
                  <c:v>2011.</c:v>
                </c:pt>
                <c:pt idx="2">
                  <c:v>2012.</c:v>
                </c:pt>
                <c:pt idx="3">
                  <c:v>2013.</c:v>
                </c:pt>
                <c:pt idx="4">
                  <c:v>2014.</c:v>
                </c:pt>
                <c:pt idx="5">
                  <c:v>2015.</c:v>
                </c:pt>
              </c:strCache>
            </c:strRef>
          </c:cat>
          <c:val>
            <c:numRef>
              <c:f>'[11]2010-2015'!$B$10:$G$10</c:f>
              <c:numCache>
                <c:formatCode>General</c:formatCode>
                <c:ptCount val="6"/>
                <c:pt idx="0">
                  <c:v>518</c:v>
                </c:pt>
                <c:pt idx="1">
                  <c:v>475</c:v>
                </c:pt>
                <c:pt idx="2">
                  <c:v>467</c:v>
                </c:pt>
              </c:numCache>
            </c:numRef>
          </c:val>
        </c:ser>
        <c:ser>
          <c:idx val="4"/>
          <c:order val="4"/>
          <c:tx>
            <c:strRef>
              <c:f>'C:\Users\Korisnik\Desktop\novo zdravstveno elma\[Vodeća oboljenja starosne skupine 2015.xlsx]2010-2015'!$A$11</c:f>
              <c:strCache>
                <c:ptCount val="1"/>
                <c:pt idx="0">
                  <c:v>Otitis media i drugi poremećaji srednjeg uha i mastoida (H65-H75)</c:v>
                </c:pt>
              </c:strCache>
            </c:strRef>
          </c:tx>
          <c:invertIfNegative val="0"/>
          <c:cat>
            <c:strRef>
              <c:f>'[11]2010-2015'!$B$6:$G$6</c:f>
              <c:strCache>
                <c:ptCount val="6"/>
                <c:pt idx="0">
                  <c:v>2010.</c:v>
                </c:pt>
                <c:pt idx="1">
                  <c:v>2011.</c:v>
                </c:pt>
                <c:pt idx="2">
                  <c:v>2012.</c:v>
                </c:pt>
                <c:pt idx="3">
                  <c:v>2013.</c:v>
                </c:pt>
                <c:pt idx="4">
                  <c:v>2014.</c:v>
                </c:pt>
                <c:pt idx="5">
                  <c:v>2015.</c:v>
                </c:pt>
              </c:strCache>
            </c:strRef>
          </c:cat>
          <c:val>
            <c:numRef>
              <c:f>'[11]2010-2015'!$B$11:$G$11</c:f>
              <c:numCache>
                <c:formatCode>General</c:formatCode>
                <c:ptCount val="6"/>
                <c:pt idx="0">
                  <c:v>438</c:v>
                </c:pt>
                <c:pt idx="1">
                  <c:v>462</c:v>
                </c:pt>
                <c:pt idx="2">
                  <c:v>423.7</c:v>
                </c:pt>
                <c:pt idx="3">
                  <c:v>514</c:v>
                </c:pt>
                <c:pt idx="4">
                  <c:v>485</c:v>
                </c:pt>
                <c:pt idx="5">
                  <c:v>425</c:v>
                </c:pt>
              </c:numCache>
            </c:numRef>
          </c:val>
        </c:ser>
        <c:ser>
          <c:idx val="5"/>
          <c:order val="5"/>
          <c:tx>
            <c:strRef>
              <c:f>'C:\Users\Korisnik\Desktop\novo zdravstveno elma\[Vodeća oboljenja starosne skupine 2015.xlsx]2010-2015'!$A$12</c:f>
              <c:strCache>
                <c:ptCount val="1"/>
                <c:pt idx="0">
                  <c:v>Infekcije kože i potkožnog tkiva (L00-L08)</c:v>
                </c:pt>
              </c:strCache>
            </c:strRef>
          </c:tx>
          <c:invertIfNegative val="0"/>
          <c:cat>
            <c:strRef>
              <c:f>'[11]2010-2015'!$B$6:$G$6</c:f>
              <c:strCache>
                <c:ptCount val="6"/>
                <c:pt idx="0">
                  <c:v>2010.</c:v>
                </c:pt>
                <c:pt idx="1">
                  <c:v>2011.</c:v>
                </c:pt>
                <c:pt idx="2">
                  <c:v>2012.</c:v>
                </c:pt>
                <c:pt idx="3">
                  <c:v>2013.</c:v>
                </c:pt>
                <c:pt idx="4">
                  <c:v>2014.</c:v>
                </c:pt>
                <c:pt idx="5">
                  <c:v>2015.</c:v>
                </c:pt>
              </c:strCache>
            </c:strRef>
          </c:cat>
          <c:val>
            <c:numRef>
              <c:f>'[11]2010-2015'!$B$12:$G$12</c:f>
              <c:numCache>
                <c:formatCode>General</c:formatCode>
                <c:ptCount val="6"/>
                <c:pt idx="0">
                  <c:v>369</c:v>
                </c:pt>
                <c:pt idx="1">
                  <c:v>403</c:v>
                </c:pt>
                <c:pt idx="2">
                  <c:v>409.5</c:v>
                </c:pt>
                <c:pt idx="3">
                  <c:v>468</c:v>
                </c:pt>
              </c:numCache>
            </c:numRef>
          </c:val>
        </c:ser>
        <c:ser>
          <c:idx val="6"/>
          <c:order val="6"/>
          <c:tx>
            <c:strRef>
              <c:f>'C:\Users\Korisnik\Desktop\novo zdravstveno elma\[Vodeća oboljenja starosne skupine 2015.xlsx]2010-2015'!$A$13</c:f>
              <c:strCache>
                <c:ptCount val="1"/>
                <c:pt idx="0">
                  <c:v>Oboljenje oka i adneksa (H00-H59)</c:v>
                </c:pt>
              </c:strCache>
            </c:strRef>
          </c:tx>
          <c:invertIfNegative val="0"/>
          <c:cat>
            <c:strRef>
              <c:f>'[11]2010-2015'!$B$6:$G$6</c:f>
              <c:strCache>
                <c:ptCount val="6"/>
                <c:pt idx="0">
                  <c:v>2010.</c:v>
                </c:pt>
                <c:pt idx="1">
                  <c:v>2011.</c:v>
                </c:pt>
                <c:pt idx="2">
                  <c:v>2012.</c:v>
                </c:pt>
                <c:pt idx="3">
                  <c:v>2013.</c:v>
                </c:pt>
                <c:pt idx="4">
                  <c:v>2014.</c:v>
                </c:pt>
                <c:pt idx="5">
                  <c:v>2015.</c:v>
                </c:pt>
              </c:strCache>
            </c:strRef>
          </c:cat>
          <c:val>
            <c:numRef>
              <c:f>'[11]2010-2015'!$B$13:$G$13</c:f>
              <c:numCache>
                <c:formatCode>General</c:formatCode>
                <c:ptCount val="6"/>
                <c:pt idx="3">
                  <c:v>456</c:v>
                </c:pt>
                <c:pt idx="4">
                  <c:v>476</c:v>
                </c:pt>
                <c:pt idx="5">
                  <c:v>431</c:v>
                </c:pt>
              </c:numCache>
            </c:numRef>
          </c:val>
        </c:ser>
        <c:dLbls>
          <c:showLegendKey val="0"/>
          <c:showVal val="0"/>
          <c:showCatName val="0"/>
          <c:showSerName val="0"/>
          <c:showPercent val="0"/>
          <c:showBubbleSize val="0"/>
        </c:dLbls>
        <c:gapWidth val="150"/>
        <c:axId val="174585344"/>
        <c:axId val="174586880"/>
      </c:barChart>
      <c:catAx>
        <c:axId val="174585344"/>
        <c:scaling>
          <c:orientation val="minMax"/>
        </c:scaling>
        <c:delete val="0"/>
        <c:axPos val="b"/>
        <c:numFmt formatCode="General" sourceLinked="0"/>
        <c:majorTickMark val="out"/>
        <c:minorTickMark val="none"/>
        <c:tickLblPos val="nextTo"/>
        <c:txPr>
          <a:bodyPr/>
          <a:lstStyle/>
          <a:p>
            <a:pPr>
              <a:defRPr lang="en-US"/>
            </a:pPr>
            <a:endParaRPr lang="sr-Latn-RS"/>
          </a:p>
        </c:txPr>
        <c:crossAx val="174586880"/>
        <c:crosses val="autoZero"/>
        <c:auto val="1"/>
        <c:lblAlgn val="ctr"/>
        <c:lblOffset val="100"/>
        <c:noMultiLvlLbl val="0"/>
      </c:catAx>
      <c:valAx>
        <c:axId val="174586880"/>
        <c:scaling>
          <c:orientation val="minMax"/>
        </c:scaling>
        <c:delete val="0"/>
        <c:axPos val="l"/>
        <c:majorGridlines/>
        <c:numFmt formatCode="General" sourceLinked="1"/>
        <c:majorTickMark val="out"/>
        <c:minorTickMark val="none"/>
        <c:tickLblPos val="nextTo"/>
        <c:txPr>
          <a:bodyPr/>
          <a:lstStyle/>
          <a:p>
            <a:pPr>
              <a:defRPr lang="en-US"/>
            </a:pPr>
            <a:endParaRPr lang="sr-Latn-RS"/>
          </a:p>
        </c:txPr>
        <c:crossAx val="174585344"/>
        <c:crosses val="autoZero"/>
        <c:crossBetween val="between"/>
      </c:valAx>
    </c:plotArea>
    <c:legend>
      <c:legendPos val="r"/>
      <c:overlay val="0"/>
      <c:txPr>
        <a:bodyPr/>
        <a:lstStyle/>
        <a:p>
          <a:pPr>
            <a:defRPr lang="en-US" sz="800"/>
          </a:pPr>
          <a:endParaRPr lang="sr-Latn-RS"/>
        </a:p>
      </c:txPr>
    </c:legend>
    <c:plotVisOnly val="1"/>
    <c:dispBlanksAs val="gap"/>
    <c:showDLblsOverMax val="0"/>
  </c:chart>
  <c:spPr>
    <a:ln>
      <a:solidFill>
        <a:schemeClr val="tx1"/>
      </a:solidFill>
    </a:ln>
  </c:spPr>
  <c:externalData r:id="rId1">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bs-Latn-B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'C:\Users\Korisnik\Desktop\novo zdravstveno elma\[Vodeća oboljenja starosne skupine 2015.xlsx]2010-2015'!$A$26</c:f>
              <c:strCache>
                <c:ptCount val="1"/>
                <c:pt idx="0">
                  <c:v>Akutne infekcije gornjih respiratornih puteva (J00-J06)</c:v>
                </c:pt>
              </c:strCache>
            </c:strRef>
          </c:tx>
          <c:invertIfNegative val="0"/>
          <c:cat>
            <c:strRef>
              <c:f>'[11]2010-2015'!$B$25:$G$25</c:f>
              <c:strCache>
                <c:ptCount val="6"/>
                <c:pt idx="0">
                  <c:v>2010.</c:v>
                </c:pt>
                <c:pt idx="1">
                  <c:v>2011.</c:v>
                </c:pt>
                <c:pt idx="2">
                  <c:v>2012.</c:v>
                </c:pt>
                <c:pt idx="3">
                  <c:v>2013.</c:v>
                </c:pt>
                <c:pt idx="4">
                  <c:v>2014.</c:v>
                </c:pt>
                <c:pt idx="5">
                  <c:v>2015.</c:v>
                </c:pt>
              </c:strCache>
            </c:strRef>
          </c:cat>
          <c:val>
            <c:numRef>
              <c:f>'[11]2010-2015'!$B$26:$G$26</c:f>
              <c:numCache>
                <c:formatCode>General</c:formatCode>
                <c:ptCount val="6"/>
                <c:pt idx="0">
                  <c:v>4796</c:v>
                </c:pt>
                <c:pt idx="1">
                  <c:v>4820</c:v>
                </c:pt>
                <c:pt idx="2">
                  <c:v>4205.7</c:v>
                </c:pt>
                <c:pt idx="3">
                  <c:v>4982</c:v>
                </c:pt>
                <c:pt idx="4">
                  <c:v>4672</c:v>
                </c:pt>
                <c:pt idx="5">
                  <c:v>4184</c:v>
                </c:pt>
              </c:numCache>
            </c:numRef>
          </c:val>
        </c:ser>
        <c:ser>
          <c:idx val="1"/>
          <c:order val="1"/>
          <c:tx>
            <c:strRef>
              <c:f>'C:\Users\Korisnik\Desktop\novo zdravstveno elma\[Vodeća oboljenja starosne skupine 2015.xlsx]2010-2015'!$A$27</c:f>
              <c:strCache>
                <c:ptCount val="1"/>
                <c:pt idx="0">
                  <c:v>Akutni bronhitis i bronhiolitis (J20-J21)</c:v>
                </c:pt>
              </c:strCache>
            </c:strRef>
          </c:tx>
          <c:invertIfNegative val="0"/>
          <c:cat>
            <c:strRef>
              <c:f>'[11]2010-2015'!$B$25:$G$25</c:f>
              <c:strCache>
                <c:ptCount val="6"/>
                <c:pt idx="0">
                  <c:v>2010.</c:v>
                </c:pt>
                <c:pt idx="1">
                  <c:v>2011.</c:v>
                </c:pt>
                <c:pt idx="2">
                  <c:v>2012.</c:v>
                </c:pt>
                <c:pt idx="3">
                  <c:v>2013.</c:v>
                </c:pt>
                <c:pt idx="4">
                  <c:v>2014.</c:v>
                </c:pt>
                <c:pt idx="5">
                  <c:v>2015.</c:v>
                </c:pt>
              </c:strCache>
            </c:strRef>
          </c:cat>
          <c:val>
            <c:numRef>
              <c:f>'[11]2010-2015'!$B$27:$G$27</c:f>
              <c:numCache>
                <c:formatCode>General</c:formatCode>
                <c:ptCount val="6"/>
                <c:pt idx="0">
                  <c:v>819</c:v>
                </c:pt>
                <c:pt idx="1">
                  <c:v>652</c:v>
                </c:pt>
                <c:pt idx="2">
                  <c:v>561.4</c:v>
                </c:pt>
                <c:pt idx="3">
                  <c:v>717</c:v>
                </c:pt>
                <c:pt idx="4">
                  <c:v>728</c:v>
                </c:pt>
                <c:pt idx="5">
                  <c:v>637</c:v>
                </c:pt>
              </c:numCache>
            </c:numRef>
          </c:val>
        </c:ser>
        <c:ser>
          <c:idx val="2"/>
          <c:order val="2"/>
          <c:tx>
            <c:strRef>
              <c:f>'C:\Users\Korisnik\Desktop\novo zdravstveno elma\[Vodeća oboljenja starosne skupine 2015.xlsx]2010-2015'!$A$28</c:f>
              <c:strCache>
                <c:ptCount val="1"/>
                <c:pt idx="0">
                  <c:v>Oboljenja oka i adneksa (H00-H59, bez H28,H40,H42,H52)</c:v>
                </c:pt>
              </c:strCache>
            </c:strRef>
          </c:tx>
          <c:invertIfNegative val="0"/>
          <c:cat>
            <c:strRef>
              <c:f>'[11]2010-2015'!$B$25:$G$25</c:f>
              <c:strCache>
                <c:ptCount val="6"/>
                <c:pt idx="0">
                  <c:v>2010.</c:v>
                </c:pt>
                <c:pt idx="1">
                  <c:v>2011.</c:v>
                </c:pt>
                <c:pt idx="2">
                  <c:v>2012.</c:v>
                </c:pt>
                <c:pt idx="3">
                  <c:v>2013.</c:v>
                </c:pt>
                <c:pt idx="4">
                  <c:v>2014.</c:v>
                </c:pt>
                <c:pt idx="5">
                  <c:v>2015.</c:v>
                </c:pt>
              </c:strCache>
            </c:strRef>
          </c:cat>
          <c:val>
            <c:numRef>
              <c:f>'[11]2010-2015'!$B$28:$G$28</c:f>
              <c:numCache>
                <c:formatCode>General</c:formatCode>
                <c:ptCount val="6"/>
                <c:pt idx="0">
                  <c:v>312</c:v>
                </c:pt>
                <c:pt idx="1">
                  <c:v>309</c:v>
                </c:pt>
                <c:pt idx="2">
                  <c:v>284.39999999999998</c:v>
                </c:pt>
                <c:pt idx="3">
                  <c:v>341</c:v>
                </c:pt>
                <c:pt idx="4">
                  <c:v>361</c:v>
                </c:pt>
                <c:pt idx="5">
                  <c:v>352</c:v>
                </c:pt>
              </c:numCache>
            </c:numRef>
          </c:val>
        </c:ser>
        <c:ser>
          <c:idx val="3"/>
          <c:order val="3"/>
          <c:tx>
            <c:strRef>
              <c:f>'C:\Users\Korisnik\Desktop\novo zdravstveno elma\[Vodeća oboljenja starosne skupine 2015.xlsx]2010-2015'!$A$29</c:f>
              <c:strCache>
                <c:ptCount val="1"/>
                <c:pt idx="0">
                  <c:v>Druga oboljenja kože i podkožnog tkiva (L10-L14, L20-L45, L55-L99)</c:v>
                </c:pt>
              </c:strCache>
            </c:strRef>
          </c:tx>
          <c:invertIfNegative val="0"/>
          <c:cat>
            <c:strRef>
              <c:f>'[11]2010-2015'!$B$25:$G$25</c:f>
              <c:strCache>
                <c:ptCount val="6"/>
                <c:pt idx="0">
                  <c:v>2010.</c:v>
                </c:pt>
                <c:pt idx="1">
                  <c:v>2011.</c:v>
                </c:pt>
                <c:pt idx="2">
                  <c:v>2012.</c:v>
                </c:pt>
                <c:pt idx="3">
                  <c:v>2013.</c:v>
                </c:pt>
                <c:pt idx="4">
                  <c:v>2014.</c:v>
                </c:pt>
                <c:pt idx="5">
                  <c:v>2015.</c:v>
                </c:pt>
              </c:strCache>
            </c:strRef>
          </c:cat>
          <c:val>
            <c:numRef>
              <c:f>'[11]2010-2015'!$B$29:$G$29</c:f>
              <c:numCache>
                <c:formatCode>General</c:formatCode>
                <c:ptCount val="6"/>
                <c:pt idx="0">
                  <c:v>284</c:v>
                </c:pt>
                <c:pt idx="1">
                  <c:v>277</c:v>
                </c:pt>
                <c:pt idx="2">
                  <c:v>257.10000000000002</c:v>
                </c:pt>
                <c:pt idx="3">
                  <c:v>301</c:v>
                </c:pt>
                <c:pt idx="4">
                  <c:v>323</c:v>
                </c:pt>
                <c:pt idx="5">
                  <c:v>285</c:v>
                </c:pt>
              </c:numCache>
            </c:numRef>
          </c:val>
        </c:ser>
        <c:ser>
          <c:idx val="4"/>
          <c:order val="4"/>
          <c:tx>
            <c:strRef>
              <c:f>'C:\Users\Korisnik\Desktop\novo zdravstveno elma\[Vodeća oboljenja starosne skupine 2015.xlsx]2010-2015'!$A$30</c:f>
              <c:strCache>
                <c:ptCount val="1"/>
                <c:pt idx="0">
                  <c:v>Cistitis (D30)</c:v>
                </c:pt>
              </c:strCache>
            </c:strRef>
          </c:tx>
          <c:invertIfNegative val="0"/>
          <c:cat>
            <c:strRef>
              <c:f>'[11]2010-2015'!$B$25:$G$25</c:f>
              <c:strCache>
                <c:ptCount val="6"/>
                <c:pt idx="0">
                  <c:v>2010.</c:v>
                </c:pt>
                <c:pt idx="1">
                  <c:v>2011.</c:v>
                </c:pt>
                <c:pt idx="2">
                  <c:v>2012.</c:v>
                </c:pt>
                <c:pt idx="3">
                  <c:v>2013.</c:v>
                </c:pt>
                <c:pt idx="4">
                  <c:v>2014.</c:v>
                </c:pt>
                <c:pt idx="5">
                  <c:v>2015.</c:v>
                </c:pt>
              </c:strCache>
            </c:strRef>
          </c:cat>
          <c:val>
            <c:numRef>
              <c:f>'[11]2010-2015'!$B$30:$G$30</c:f>
              <c:numCache>
                <c:formatCode>General</c:formatCode>
                <c:ptCount val="6"/>
                <c:pt idx="2">
                  <c:v>232</c:v>
                </c:pt>
              </c:numCache>
            </c:numRef>
          </c:val>
        </c:ser>
        <c:ser>
          <c:idx val="5"/>
          <c:order val="5"/>
          <c:tx>
            <c:strRef>
              <c:f>'C:\Users\Korisnik\Desktop\novo zdravstveno elma\[Vodeća oboljenja starosne skupine 2015.xlsx]2010-2015'!$A$31</c:f>
              <c:strCache>
                <c:ptCount val="1"/>
                <c:pt idx="0">
                  <c:v>Otitis media i dr poremecaji srednjeg uha i mastoida (H65-H75)</c:v>
                </c:pt>
              </c:strCache>
            </c:strRef>
          </c:tx>
          <c:invertIfNegative val="0"/>
          <c:cat>
            <c:strRef>
              <c:f>'[11]2010-2015'!$B$25:$G$25</c:f>
              <c:strCache>
                <c:ptCount val="6"/>
                <c:pt idx="0">
                  <c:v>2010.</c:v>
                </c:pt>
                <c:pt idx="1">
                  <c:v>2011.</c:v>
                </c:pt>
                <c:pt idx="2">
                  <c:v>2012.</c:v>
                </c:pt>
                <c:pt idx="3">
                  <c:v>2013.</c:v>
                </c:pt>
                <c:pt idx="4">
                  <c:v>2014.</c:v>
                </c:pt>
                <c:pt idx="5">
                  <c:v>2015.</c:v>
                </c:pt>
              </c:strCache>
            </c:strRef>
          </c:cat>
          <c:val>
            <c:numRef>
              <c:f>'[11]2010-2015'!$B$31:$G$31</c:f>
              <c:numCache>
                <c:formatCode>General</c:formatCode>
                <c:ptCount val="6"/>
                <c:pt idx="0">
                  <c:v>254</c:v>
                </c:pt>
                <c:pt idx="1">
                  <c:v>258</c:v>
                </c:pt>
                <c:pt idx="3">
                  <c:v>287</c:v>
                </c:pt>
                <c:pt idx="4">
                  <c:v>278</c:v>
                </c:pt>
                <c:pt idx="5">
                  <c:v>253</c:v>
                </c:pt>
              </c:numCache>
            </c:numRef>
          </c:val>
        </c:ser>
        <c:dLbls>
          <c:showLegendKey val="0"/>
          <c:showVal val="0"/>
          <c:showCatName val="0"/>
          <c:showSerName val="0"/>
          <c:showPercent val="0"/>
          <c:showBubbleSize val="0"/>
        </c:dLbls>
        <c:gapWidth val="150"/>
        <c:axId val="175671936"/>
        <c:axId val="175677824"/>
      </c:barChart>
      <c:catAx>
        <c:axId val="175671936"/>
        <c:scaling>
          <c:orientation val="minMax"/>
        </c:scaling>
        <c:delete val="0"/>
        <c:axPos val="b"/>
        <c:numFmt formatCode="General" sourceLinked="0"/>
        <c:majorTickMark val="out"/>
        <c:minorTickMark val="none"/>
        <c:tickLblPos val="nextTo"/>
        <c:crossAx val="175677824"/>
        <c:crosses val="autoZero"/>
        <c:auto val="1"/>
        <c:lblAlgn val="ctr"/>
        <c:lblOffset val="100"/>
        <c:noMultiLvlLbl val="0"/>
      </c:catAx>
      <c:valAx>
        <c:axId val="175677824"/>
        <c:scaling>
          <c:orientation val="minMax"/>
        </c:scaling>
        <c:delete val="0"/>
        <c:axPos val="l"/>
        <c:majorGridlines/>
        <c:numFmt formatCode="General" sourceLinked="1"/>
        <c:majorTickMark val="out"/>
        <c:minorTickMark val="none"/>
        <c:tickLblPos val="nextTo"/>
        <c:crossAx val="175671936"/>
        <c:crosses val="autoZero"/>
        <c:crossBetween val="between"/>
      </c:valAx>
    </c:plotArea>
    <c:legend>
      <c:legendPos val="r"/>
      <c:overlay val="0"/>
      <c:txPr>
        <a:bodyPr/>
        <a:lstStyle/>
        <a:p>
          <a:pPr>
            <a:defRPr sz="800"/>
          </a:pPr>
          <a:endParaRPr lang="sr-Latn-RS"/>
        </a:p>
      </c:txPr>
    </c:legend>
    <c:plotVisOnly val="1"/>
    <c:dispBlanksAs val="gap"/>
    <c:showDLblsOverMax val="0"/>
  </c:chart>
  <c:externalData r:id="rId1">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bs-Latn-B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'C:\Users\Korisnik\Desktop\novo zdravstveno elma\[Vodeća oboljenja starosne skupine 2015.xlsx]2010-2015'!$A$46</c:f>
              <c:strCache>
                <c:ptCount val="1"/>
                <c:pt idx="0">
                  <c:v>Akutne infekcije gornjih respiratornih puteva (J00-J06)</c:v>
                </c:pt>
              </c:strCache>
            </c:strRef>
          </c:tx>
          <c:invertIfNegative val="0"/>
          <c:cat>
            <c:strRef>
              <c:f>'[11]2010-2015'!$B$45:$G$45</c:f>
              <c:strCache>
                <c:ptCount val="6"/>
                <c:pt idx="0">
                  <c:v>2010.</c:v>
                </c:pt>
                <c:pt idx="1">
                  <c:v>2011.</c:v>
                </c:pt>
                <c:pt idx="2">
                  <c:v>2012.</c:v>
                </c:pt>
                <c:pt idx="3">
                  <c:v>2013.</c:v>
                </c:pt>
                <c:pt idx="4">
                  <c:v>2014.</c:v>
                </c:pt>
                <c:pt idx="5">
                  <c:v>2015.</c:v>
                </c:pt>
              </c:strCache>
            </c:strRef>
          </c:cat>
          <c:val>
            <c:numRef>
              <c:f>'[11]2010-2015'!$B$46:$G$46</c:f>
              <c:numCache>
                <c:formatCode>General</c:formatCode>
                <c:ptCount val="6"/>
                <c:pt idx="0">
                  <c:v>1680</c:v>
                </c:pt>
                <c:pt idx="1">
                  <c:v>1846</c:v>
                </c:pt>
                <c:pt idx="2">
                  <c:v>1712</c:v>
                </c:pt>
                <c:pt idx="3">
                  <c:v>1886</c:v>
                </c:pt>
                <c:pt idx="4">
                  <c:v>1791</c:v>
                </c:pt>
                <c:pt idx="5">
                  <c:v>1671</c:v>
                </c:pt>
              </c:numCache>
            </c:numRef>
          </c:val>
        </c:ser>
        <c:ser>
          <c:idx val="1"/>
          <c:order val="1"/>
          <c:tx>
            <c:strRef>
              <c:f>'C:\Users\Korisnik\Desktop\novo zdravstveno elma\[Vodeća oboljenja starosne skupine 2015.xlsx]2010-2015'!$A$47</c:f>
              <c:strCache>
                <c:ptCount val="1"/>
                <c:pt idx="0">
                  <c:v>Akutni bronhitis, bronhiolitis (J20-J21)</c:v>
                </c:pt>
              </c:strCache>
            </c:strRef>
          </c:tx>
          <c:invertIfNegative val="0"/>
          <c:cat>
            <c:strRef>
              <c:f>'[11]2010-2015'!$B$45:$G$45</c:f>
              <c:strCache>
                <c:ptCount val="6"/>
                <c:pt idx="0">
                  <c:v>2010.</c:v>
                </c:pt>
                <c:pt idx="1">
                  <c:v>2011.</c:v>
                </c:pt>
                <c:pt idx="2">
                  <c:v>2012.</c:v>
                </c:pt>
                <c:pt idx="3">
                  <c:v>2013.</c:v>
                </c:pt>
                <c:pt idx="4">
                  <c:v>2014.</c:v>
                </c:pt>
                <c:pt idx="5">
                  <c:v>2015.</c:v>
                </c:pt>
              </c:strCache>
            </c:strRef>
          </c:cat>
          <c:val>
            <c:numRef>
              <c:f>'[11]2010-2015'!$B$47:$G$47</c:f>
              <c:numCache>
                <c:formatCode>General</c:formatCode>
                <c:ptCount val="6"/>
                <c:pt idx="0">
                  <c:v>199</c:v>
                </c:pt>
                <c:pt idx="1">
                  <c:v>163</c:v>
                </c:pt>
                <c:pt idx="2">
                  <c:v>157.4</c:v>
                </c:pt>
                <c:pt idx="3">
                  <c:v>203</c:v>
                </c:pt>
                <c:pt idx="4">
                  <c:v>216</c:v>
                </c:pt>
                <c:pt idx="5">
                  <c:v>156</c:v>
                </c:pt>
              </c:numCache>
            </c:numRef>
          </c:val>
        </c:ser>
        <c:ser>
          <c:idx val="2"/>
          <c:order val="2"/>
          <c:tx>
            <c:strRef>
              <c:f>'C:\Users\Korisnik\Desktop\novo zdravstveno elma\[Vodeća oboljenja starosne skupine 2015.xlsx]2010-2015'!$A$48</c:f>
              <c:strCache>
                <c:ptCount val="1"/>
                <c:pt idx="0">
                  <c:v>Cistitis (N30)</c:v>
                </c:pt>
              </c:strCache>
            </c:strRef>
          </c:tx>
          <c:invertIfNegative val="0"/>
          <c:cat>
            <c:strRef>
              <c:f>'[11]2010-2015'!$B$45:$G$45</c:f>
              <c:strCache>
                <c:ptCount val="6"/>
                <c:pt idx="0">
                  <c:v>2010.</c:v>
                </c:pt>
                <c:pt idx="1">
                  <c:v>2011.</c:v>
                </c:pt>
                <c:pt idx="2">
                  <c:v>2012.</c:v>
                </c:pt>
                <c:pt idx="3">
                  <c:v>2013.</c:v>
                </c:pt>
                <c:pt idx="4">
                  <c:v>2014.</c:v>
                </c:pt>
                <c:pt idx="5">
                  <c:v>2015.</c:v>
                </c:pt>
              </c:strCache>
            </c:strRef>
          </c:cat>
          <c:val>
            <c:numRef>
              <c:f>'[11]2010-2015'!$B$48:$G$48</c:f>
              <c:numCache>
                <c:formatCode>General</c:formatCode>
                <c:ptCount val="6"/>
                <c:pt idx="0">
                  <c:v>141</c:v>
                </c:pt>
                <c:pt idx="1">
                  <c:v>149</c:v>
                </c:pt>
                <c:pt idx="2">
                  <c:v>152.5</c:v>
                </c:pt>
                <c:pt idx="3">
                  <c:v>156</c:v>
                </c:pt>
                <c:pt idx="4">
                  <c:v>166</c:v>
                </c:pt>
                <c:pt idx="5">
                  <c:v>135</c:v>
                </c:pt>
              </c:numCache>
            </c:numRef>
          </c:val>
        </c:ser>
        <c:ser>
          <c:idx val="3"/>
          <c:order val="3"/>
          <c:tx>
            <c:strRef>
              <c:f>'C:\Users\Korisnik\Desktop\novo zdravstveno elma\[Vodeća oboljenja starosne skupine 2015.xlsx]2010-2015'!$A$49</c:f>
              <c:strCache>
                <c:ptCount val="1"/>
                <c:pt idx="0">
                  <c:v>Druga oboljenja kože i potkožnog tkiva (L10-L14,L20-L45,L55-L99)</c:v>
                </c:pt>
              </c:strCache>
            </c:strRef>
          </c:tx>
          <c:invertIfNegative val="0"/>
          <c:cat>
            <c:strRef>
              <c:f>'[11]2010-2015'!$B$45:$G$45</c:f>
              <c:strCache>
                <c:ptCount val="6"/>
                <c:pt idx="0">
                  <c:v>2010.</c:v>
                </c:pt>
                <c:pt idx="1">
                  <c:v>2011.</c:v>
                </c:pt>
                <c:pt idx="2">
                  <c:v>2012.</c:v>
                </c:pt>
                <c:pt idx="3">
                  <c:v>2013.</c:v>
                </c:pt>
                <c:pt idx="4">
                  <c:v>2014.</c:v>
                </c:pt>
                <c:pt idx="5">
                  <c:v>2015.</c:v>
                </c:pt>
              </c:strCache>
            </c:strRef>
          </c:cat>
          <c:val>
            <c:numRef>
              <c:f>'[11]2010-2015'!$B$49:$G$49</c:f>
              <c:numCache>
                <c:formatCode>General</c:formatCode>
                <c:ptCount val="6"/>
                <c:pt idx="0">
                  <c:v>130</c:v>
                </c:pt>
                <c:pt idx="1">
                  <c:v>142</c:v>
                </c:pt>
                <c:pt idx="2">
                  <c:v>135.4</c:v>
                </c:pt>
                <c:pt idx="3">
                  <c:v>152</c:v>
                </c:pt>
                <c:pt idx="4">
                  <c:v>176</c:v>
                </c:pt>
                <c:pt idx="5">
                  <c:v>144</c:v>
                </c:pt>
              </c:numCache>
            </c:numRef>
          </c:val>
        </c:ser>
        <c:ser>
          <c:idx val="4"/>
          <c:order val="4"/>
          <c:tx>
            <c:strRef>
              <c:f>'C:\Users\Korisnik\Desktop\novo zdravstveno elma\[Vodeća oboljenja starosne skupine 2015.xlsx]2010-2015'!$A$50</c:f>
              <c:strCache>
                <c:ptCount val="1"/>
                <c:pt idx="0">
                  <c:v>Oboljenja oka i adneksa (H00-H59, bez H28,H40,H42,H52)</c:v>
                </c:pt>
              </c:strCache>
            </c:strRef>
          </c:tx>
          <c:invertIfNegative val="0"/>
          <c:cat>
            <c:strRef>
              <c:f>'[11]2010-2015'!$B$45:$G$45</c:f>
              <c:strCache>
                <c:ptCount val="6"/>
                <c:pt idx="0">
                  <c:v>2010.</c:v>
                </c:pt>
                <c:pt idx="1">
                  <c:v>2011.</c:v>
                </c:pt>
                <c:pt idx="2">
                  <c:v>2012.</c:v>
                </c:pt>
                <c:pt idx="3">
                  <c:v>2013.</c:v>
                </c:pt>
                <c:pt idx="4">
                  <c:v>2014.</c:v>
                </c:pt>
                <c:pt idx="5">
                  <c:v>2015.</c:v>
                </c:pt>
              </c:strCache>
            </c:strRef>
          </c:cat>
          <c:val>
            <c:numRef>
              <c:f>'[11]2010-2015'!$B$50:$G$50</c:f>
              <c:numCache>
                <c:formatCode>General</c:formatCode>
                <c:ptCount val="6"/>
                <c:pt idx="0">
                  <c:v>133</c:v>
                </c:pt>
                <c:pt idx="1">
                  <c:v>128</c:v>
                </c:pt>
                <c:pt idx="2">
                  <c:v>121</c:v>
                </c:pt>
                <c:pt idx="4">
                  <c:v>125</c:v>
                </c:pt>
                <c:pt idx="5">
                  <c:v>134</c:v>
                </c:pt>
              </c:numCache>
            </c:numRef>
          </c:val>
        </c:ser>
        <c:ser>
          <c:idx val="5"/>
          <c:order val="5"/>
          <c:tx>
            <c:strRef>
              <c:f>'C:\Users\Korisnik\Desktop\novo zdravstveno elma\[Vodeća oboljenja starosne skupine 2015.xlsx]2010-2015'!$A$51</c:f>
              <c:strCache>
                <c:ptCount val="1"/>
                <c:pt idx="0">
                  <c:v>Infekcije kože i potkožnog tkiva (L00-L08)</c:v>
                </c:pt>
              </c:strCache>
            </c:strRef>
          </c:tx>
          <c:invertIfNegative val="0"/>
          <c:cat>
            <c:strRef>
              <c:f>'[11]2010-2015'!$B$45:$G$45</c:f>
              <c:strCache>
                <c:ptCount val="6"/>
                <c:pt idx="0">
                  <c:v>2010.</c:v>
                </c:pt>
                <c:pt idx="1">
                  <c:v>2011.</c:v>
                </c:pt>
                <c:pt idx="2">
                  <c:v>2012.</c:v>
                </c:pt>
                <c:pt idx="3">
                  <c:v>2013.</c:v>
                </c:pt>
                <c:pt idx="4">
                  <c:v>2014.</c:v>
                </c:pt>
                <c:pt idx="5">
                  <c:v>2015.</c:v>
                </c:pt>
              </c:strCache>
            </c:strRef>
          </c:cat>
          <c:val>
            <c:numRef>
              <c:f>'[11]2010-2015'!$B$51:$G$51</c:f>
              <c:numCache>
                <c:formatCode>General</c:formatCode>
                <c:ptCount val="6"/>
                <c:pt idx="3">
                  <c:v>126</c:v>
                </c:pt>
              </c:numCache>
            </c:numRef>
          </c:val>
        </c:ser>
        <c:dLbls>
          <c:showLegendKey val="0"/>
          <c:showVal val="0"/>
          <c:showCatName val="0"/>
          <c:showSerName val="0"/>
          <c:showPercent val="0"/>
          <c:showBubbleSize val="0"/>
        </c:dLbls>
        <c:gapWidth val="150"/>
        <c:axId val="176443392"/>
        <c:axId val="176444928"/>
      </c:barChart>
      <c:catAx>
        <c:axId val="176443392"/>
        <c:scaling>
          <c:orientation val="minMax"/>
        </c:scaling>
        <c:delete val="0"/>
        <c:axPos val="b"/>
        <c:numFmt formatCode="General" sourceLinked="0"/>
        <c:majorTickMark val="out"/>
        <c:minorTickMark val="none"/>
        <c:tickLblPos val="nextTo"/>
        <c:crossAx val="176444928"/>
        <c:crosses val="autoZero"/>
        <c:auto val="1"/>
        <c:lblAlgn val="ctr"/>
        <c:lblOffset val="100"/>
        <c:noMultiLvlLbl val="0"/>
      </c:catAx>
      <c:valAx>
        <c:axId val="176444928"/>
        <c:scaling>
          <c:orientation val="minMax"/>
        </c:scaling>
        <c:delete val="0"/>
        <c:axPos val="l"/>
        <c:majorGridlines/>
        <c:numFmt formatCode="General" sourceLinked="1"/>
        <c:majorTickMark val="out"/>
        <c:minorTickMark val="none"/>
        <c:tickLblPos val="nextTo"/>
        <c:crossAx val="176443392"/>
        <c:crosses val="autoZero"/>
        <c:crossBetween val="between"/>
      </c:valAx>
    </c:plotArea>
    <c:legend>
      <c:legendPos val="r"/>
      <c:overlay val="0"/>
      <c:txPr>
        <a:bodyPr/>
        <a:lstStyle/>
        <a:p>
          <a:pPr>
            <a:defRPr sz="800"/>
          </a:pPr>
          <a:endParaRPr lang="sr-Latn-RS"/>
        </a:p>
      </c:txPr>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bs-Latn-B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34771062992126034"/>
          <c:y val="5.0925925925925923E-2"/>
          <c:w val="0.57931189851268594"/>
          <c:h val="0.79869969378827799"/>
        </c:manualLayout>
      </c:layout>
      <c:barChart>
        <c:barDir val="bar"/>
        <c:grouping val="clustered"/>
        <c:varyColors val="0"/>
        <c:ser>
          <c:idx val="0"/>
          <c:order val="0"/>
          <c:invertIfNegative val="0"/>
          <c:dLbls>
            <c:spPr>
              <a:noFill/>
              <a:ln>
                <a:noFill/>
              </a:ln>
              <a:effectLst/>
            </c:spPr>
            <c:txPr>
              <a:bodyPr/>
              <a:lstStyle/>
              <a:p>
                <a:pPr>
                  <a:defRPr b="1"/>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Sheet2!$A$6:$A$16</c:f>
              <c:strCache>
                <c:ptCount val="11"/>
                <c:pt idx="0">
                  <c:v>Unsko-sanski </c:v>
                </c:pt>
                <c:pt idx="1">
                  <c:v>Posavski </c:v>
                </c:pt>
                <c:pt idx="2">
                  <c:v>Tuzlanski </c:v>
                </c:pt>
                <c:pt idx="3">
                  <c:v>Zeničko-dobojski </c:v>
                </c:pt>
                <c:pt idx="4">
                  <c:v>Bosansko-podrinjski </c:v>
                </c:pt>
                <c:pt idx="5">
                  <c:v>Srednjobosanski </c:v>
                </c:pt>
                <c:pt idx="6">
                  <c:v>Hercegovačko-neretvanski </c:v>
                </c:pt>
                <c:pt idx="7">
                  <c:v>Zapadno-hercegovački </c:v>
                </c:pt>
                <c:pt idx="8">
                  <c:v>Kanton Sarajevo</c:v>
                </c:pt>
                <c:pt idx="9">
                  <c:v>Kanton 10</c:v>
                </c:pt>
                <c:pt idx="10">
                  <c:v>Federacija BiH</c:v>
                </c:pt>
              </c:strCache>
            </c:strRef>
          </c:cat>
          <c:val>
            <c:numRef>
              <c:f>Sheet2!$B$6:$B$16</c:f>
              <c:numCache>
                <c:formatCode>General</c:formatCode>
                <c:ptCount val="11"/>
                <c:pt idx="0">
                  <c:v>808</c:v>
                </c:pt>
                <c:pt idx="1">
                  <c:v>711</c:v>
                </c:pt>
                <c:pt idx="2">
                  <c:v>733</c:v>
                </c:pt>
                <c:pt idx="3">
                  <c:v>718</c:v>
                </c:pt>
                <c:pt idx="4">
                  <c:v>740</c:v>
                </c:pt>
                <c:pt idx="5">
                  <c:v>673</c:v>
                </c:pt>
                <c:pt idx="6">
                  <c:v>890</c:v>
                </c:pt>
                <c:pt idx="7">
                  <c:v>759</c:v>
                </c:pt>
                <c:pt idx="8">
                  <c:v>1024</c:v>
                </c:pt>
                <c:pt idx="9">
                  <c:v>839</c:v>
                </c:pt>
                <c:pt idx="10">
                  <c:v>830</c:v>
                </c:pt>
              </c:numCache>
            </c:numRef>
          </c:val>
        </c:ser>
        <c:dLbls>
          <c:showLegendKey val="0"/>
          <c:showVal val="0"/>
          <c:showCatName val="0"/>
          <c:showSerName val="0"/>
          <c:showPercent val="0"/>
          <c:showBubbleSize val="0"/>
        </c:dLbls>
        <c:gapWidth val="150"/>
        <c:axId val="37131008"/>
        <c:axId val="37132544"/>
      </c:barChart>
      <c:catAx>
        <c:axId val="37131008"/>
        <c:scaling>
          <c:orientation val="maxMin"/>
        </c:scaling>
        <c:delete val="0"/>
        <c:axPos val="l"/>
        <c:numFmt formatCode="General" sourceLinked="0"/>
        <c:majorTickMark val="out"/>
        <c:minorTickMark val="none"/>
        <c:tickLblPos val="nextTo"/>
        <c:txPr>
          <a:bodyPr/>
          <a:lstStyle/>
          <a:p>
            <a:pPr>
              <a:defRPr>
                <a:latin typeface="Arial" pitchFamily="34" charset="0"/>
                <a:cs typeface="Arial" pitchFamily="34" charset="0"/>
              </a:defRPr>
            </a:pPr>
            <a:endParaRPr lang="sr-Latn-RS"/>
          </a:p>
        </c:txPr>
        <c:crossAx val="37132544"/>
        <c:crosses val="autoZero"/>
        <c:auto val="1"/>
        <c:lblAlgn val="ctr"/>
        <c:lblOffset val="100"/>
        <c:noMultiLvlLbl val="0"/>
      </c:catAx>
      <c:valAx>
        <c:axId val="37132544"/>
        <c:scaling>
          <c:orientation val="minMax"/>
        </c:scaling>
        <c:delete val="0"/>
        <c:axPos val="t"/>
        <c:numFmt formatCode="General" sourceLinked="1"/>
        <c:majorTickMark val="none"/>
        <c:minorTickMark val="none"/>
        <c:tickLblPos val="high"/>
        <c:spPr>
          <a:noFill/>
        </c:spPr>
        <c:txPr>
          <a:bodyPr rot="60000" anchor="b" anchorCtr="1"/>
          <a:lstStyle/>
          <a:p>
            <a:pPr>
              <a:defRPr/>
            </a:pPr>
            <a:endParaRPr lang="sr-Latn-RS"/>
          </a:p>
        </c:txPr>
        <c:crossAx val="37131008"/>
        <c:crosses val="autoZero"/>
        <c:crossBetween val="between"/>
      </c:valAx>
    </c:plotArea>
    <c:plotVisOnly val="1"/>
    <c:dispBlanksAs val="gap"/>
    <c:showDLblsOverMax val="0"/>
  </c:chart>
  <c:externalData r:id="rId1">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bs-Latn-B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'C:\Users\Korisnik\Desktop\novo zdravstveno elma\[Vodeća oboljenja starosne skupine 2015.xlsx]2010-2015'!$A$67</c:f>
              <c:strCache>
                <c:ptCount val="1"/>
                <c:pt idx="0">
                  <c:v>Hipertenzivna oboljenja (I10-I05)</c:v>
                </c:pt>
              </c:strCache>
            </c:strRef>
          </c:tx>
          <c:invertIfNegative val="0"/>
          <c:cat>
            <c:strRef>
              <c:f>'[11]2010-2015'!$B$66:$G$66</c:f>
              <c:strCache>
                <c:ptCount val="6"/>
                <c:pt idx="0">
                  <c:v>2010.</c:v>
                </c:pt>
                <c:pt idx="1">
                  <c:v>2011.</c:v>
                </c:pt>
                <c:pt idx="2">
                  <c:v>2012.</c:v>
                </c:pt>
                <c:pt idx="3">
                  <c:v>2013.</c:v>
                </c:pt>
                <c:pt idx="4">
                  <c:v>2014.</c:v>
                </c:pt>
                <c:pt idx="5">
                  <c:v>2015.</c:v>
                </c:pt>
              </c:strCache>
            </c:strRef>
          </c:cat>
          <c:val>
            <c:numRef>
              <c:f>'[11]2010-2015'!$B$67:$G$67</c:f>
              <c:numCache>
                <c:formatCode>General</c:formatCode>
                <c:ptCount val="6"/>
                <c:pt idx="0">
                  <c:v>845</c:v>
                </c:pt>
                <c:pt idx="1">
                  <c:v>899</c:v>
                </c:pt>
                <c:pt idx="2">
                  <c:v>929.4</c:v>
                </c:pt>
                <c:pt idx="3">
                  <c:v>1073</c:v>
                </c:pt>
                <c:pt idx="4">
                  <c:v>1114</c:v>
                </c:pt>
                <c:pt idx="5">
                  <c:v>1115</c:v>
                </c:pt>
              </c:numCache>
            </c:numRef>
          </c:val>
        </c:ser>
        <c:ser>
          <c:idx val="1"/>
          <c:order val="1"/>
          <c:tx>
            <c:strRef>
              <c:f>'C:\Users\Korisnik\Desktop\novo zdravstveno elma\[Vodeća oboljenja starosne skupine 2015.xlsx]2010-2015'!$A$68</c:f>
              <c:strCache>
                <c:ptCount val="1"/>
                <c:pt idx="0">
                  <c:v>Akutne infekcije gornjih respiratornih puteva (J00-J06)</c:v>
                </c:pt>
              </c:strCache>
            </c:strRef>
          </c:tx>
          <c:invertIfNegative val="0"/>
          <c:cat>
            <c:strRef>
              <c:f>'[11]2010-2015'!$B$66:$G$66</c:f>
              <c:strCache>
                <c:ptCount val="6"/>
                <c:pt idx="0">
                  <c:v>2010.</c:v>
                </c:pt>
                <c:pt idx="1">
                  <c:v>2011.</c:v>
                </c:pt>
                <c:pt idx="2">
                  <c:v>2012.</c:v>
                </c:pt>
                <c:pt idx="3">
                  <c:v>2013.</c:v>
                </c:pt>
                <c:pt idx="4">
                  <c:v>2014.</c:v>
                </c:pt>
                <c:pt idx="5">
                  <c:v>2015.</c:v>
                </c:pt>
              </c:strCache>
            </c:strRef>
          </c:cat>
          <c:val>
            <c:numRef>
              <c:f>'[11]2010-2015'!$B$68:$G$68</c:f>
              <c:numCache>
                <c:formatCode>General</c:formatCode>
                <c:ptCount val="6"/>
                <c:pt idx="0">
                  <c:v>711</c:v>
                </c:pt>
                <c:pt idx="1">
                  <c:v>783</c:v>
                </c:pt>
                <c:pt idx="2">
                  <c:v>702</c:v>
                </c:pt>
                <c:pt idx="3">
                  <c:v>781</c:v>
                </c:pt>
                <c:pt idx="4">
                  <c:v>830</c:v>
                </c:pt>
                <c:pt idx="5">
                  <c:v>861</c:v>
                </c:pt>
              </c:numCache>
            </c:numRef>
          </c:val>
        </c:ser>
        <c:ser>
          <c:idx val="2"/>
          <c:order val="2"/>
          <c:tx>
            <c:strRef>
              <c:f>'C:\Users\Korisnik\Desktop\novo zdravstveno elma\[Vodeća oboljenja starosne skupine 2015.xlsx]2010-2015'!$A$69</c:f>
              <c:strCache>
                <c:ptCount val="1"/>
                <c:pt idx="0">
                  <c:v>Druge dorzopatije (M40-M49, M53-M54)</c:v>
                </c:pt>
              </c:strCache>
            </c:strRef>
          </c:tx>
          <c:invertIfNegative val="0"/>
          <c:cat>
            <c:strRef>
              <c:f>'[11]2010-2015'!$B$66:$G$66</c:f>
              <c:strCache>
                <c:ptCount val="6"/>
                <c:pt idx="0">
                  <c:v>2010.</c:v>
                </c:pt>
                <c:pt idx="1">
                  <c:v>2011.</c:v>
                </c:pt>
                <c:pt idx="2">
                  <c:v>2012.</c:v>
                </c:pt>
                <c:pt idx="3">
                  <c:v>2013.</c:v>
                </c:pt>
                <c:pt idx="4">
                  <c:v>2014.</c:v>
                </c:pt>
                <c:pt idx="5">
                  <c:v>2015.</c:v>
                </c:pt>
              </c:strCache>
            </c:strRef>
          </c:cat>
          <c:val>
            <c:numRef>
              <c:f>'[11]2010-2015'!$B$69:$G$69</c:f>
              <c:numCache>
                <c:formatCode>General</c:formatCode>
                <c:ptCount val="6"/>
                <c:pt idx="0">
                  <c:v>286</c:v>
                </c:pt>
                <c:pt idx="1">
                  <c:v>293</c:v>
                </c:pt>
                <c:pt idx="2">
                  <c:v>294.3</c:v>
                </c:pt>
                <c:pt idx="3">
                  <c:v>336</c:v>
                </c:pt>
                <c:pt idx="4">
                  <c:v>372</c:v>
                </c:pt>
                <c:pt idx="5">
                  <c:v>373</c:v>
                </c:pt>
              </c:numCache>
            </c:numRef>
          </c:val>
        </c:ser>
        <c:ser>
          <c:idx val="3"/>
          <c:order val="3"/>
          <c:tx>
            <c:strRef>
              <c:f>'C:\Users\Korisnik\Desktop\novo zdravstveno elma\[Vodeća oboljenja starosne skupine 2015.xlsx]2010-2015'!$A$70</c:f>
              <c:strCache>
                <c:ptCount val="1"/>
                <c:pt idx="0">
                  <c:v>Dijabetes (E10-E14)</c:v>
                </c:pt>
              </c:strCache>
            </c:strRef>
          </c:tx>
          <c:invertIfNegative val="0"/>
          <c:cat>
            <c:strRef>
              <c:f>'[11]2010-2015'!$B$66:$G$66</c:f>
              <c:strCache>
                <c:ptCount val="6"/>
                <c:pt idx="0">
                  <c:v>2010.</c:v>
                </c:pt>
                <c:pt idx="1">
                  <c:v>2011.</c:v>
                </c:pt>
                <c:pt idx="2">
                  <c:v>2012.</c:v>
                </c:pt>
                <c:pt idx="3">
                  <c:v>2013.</c:v>
                </c:pt>
                <c:pt idx="4">
                  <c:v>2014.</c:v>
                </c:pt>
                <c:pt idx="5">
                  <c:v>2015.</c:v>
                </c:pt>
              </c:strCache>
            </c:strRef>
          </c:cat>
          <c:val>
            <c:numRef>
              <c:f>'[11]2010-2015'!$B$70:$G$70</c:f>
              <c:numCache>
                <c:formatCode>General</c:formatCode>
                <c:ptCount val="6"/>
                <c:pt idx="0">
                  <c:v>204</c:v>
                </c:pt>
                <c:pt idx="1">
                  <c:v>224</c:v>
                </c:pt>
                <c:pt idx="2">
                  <c:v>247.3</c:v>
                </c:pt>
                <c:pt idx="3">
                  <c:v>287</c:v>
                </c:pt>
                <c:pt idx="4">
                  <c:v>282</c:v>
                </c:pt>
                <c:pt idx="5">
                  <c:v>279</c:v>
                </c:pt>
              </c:numCache>
            </c:numRef>
          </c:val>
        </c:ser>
        <c:ser>
          <c:idx val="4"/>
          <c:order val="4"/>
          <c:tx>
            <c:strRef>
              <c:f>'C:\Users\Korisnik\Desktop\novo zdravstveno elma\[Vodeća oboljenja starosne skupine 2015.xlsx]2010-2015'!$A$71</c:f>
              <c:strCache>
                <c:ptCount val="1"/>
                <c:pt idx="0">
                  <c:v>Cistitis (N30)</c:v>
                </c:pt>
              </c:strCache>
            </c:strRef>
          </c:tx>
          <c:invertIfNegative val="0"/>
          <c:cat>
            <c:strRef>
              <c:f>'[11]2010-2015'!$B$66:$G$66</c:f>
              <c:strCache>
                <c:ptCount val="6"/>
                <c:pt idx="0">
                  <c:v>2010.</c:v>
                </c:pt>
                <c:pt idx="1">
                  <c:v>2011.</c:v>
                </c:pt>
                <c:pt idx="2">
                  <c:v>2012.</c:v>
                </c:pt>
                <c:pt idx="3">
                  <c:v>2013.</c:v>
                </c:pt>
                <c:pt idx="4">
                  <c:v>2014.</c:v>
                </c:pt>
                <c:pt idx="5">
                  <c:v>2015.</c:v>
                </c:pt>
              </c:strCache>
            </c:strRef>
          </c:cat>
          <c:val>
            <c:numRef>
              <c:f>'[11]2010-2015'!$B$71:$G$71</c:f>
              <c:numCache>
                <c:formatCode>General</c:formatCode>
                <c:ptCount val="6"/>
                <c:pt idx="0">
                  <c:v>238</c:v>
                </c:pt>
                <c:pt idx="1">
                  <c:v>230</c:v>
                </c:pt>
                <c:pt idx="2">
                  <c:v>243.4</c:v>
                </c:pt>
                <c:pt idx="3">
                  <c:v>252</c:v>
                </c:pt>
                <c:pt idx="4">
                  <c:v>271</c:v>
                </c:pt>
                <c:pt idx="5">
                  <c:v>237</c:v>
                </c:pt>
              </c:numCache>
            </c:numRef>
          </c:val>
        </c:ser>
        <c:dLbls>
          <c:showLegendKey val="0"/>
          <c:showVal val="0"/>
          <c:showCatName val="0"/>
          <c:showSerName val="0"/>
          <c:showPercent val="0"/>
          <c:showBubbleSize val="0"/>
        </c:dLbls>
        <c:gapWidth val="150"/>
        <c:axId val="175432064"/>
        <c:axId val="175433600"/>
      </c:barChart>
      <c:catAx>
        <c:axId val="175432064"/>
        <c:scaling>
          <c:orientation val="minMax"/>
        </c:scaling>
        <c:delete val="0"/>
        <c:axPos val="b"/>
        <c:numFmt formatCode="General" sourceLinked="0"/>
        <c:majorTickMark val="out"/>
        <c:minorTickMark val="none"/>
        <c:tickLblPos val="nextTo"/>
        <c:crossAx val="175433600"/>
        <c:crosses val="autoZero"/>
        <c:auto val="1"/>
        <c:lblAlgn val="ctr"/>
        <c:lblOffset val="100"/>
        <c:noMultiLvlLbl val="0"/>
      </c:catAx>
      <c:valAx>
        <c:axId val="175433600"/>
        <c:scaling>
          <c:orientation val="minMax"/>
        </c:scaling>
        <c:delete val="0"/>
        <c:axPos val="l"/>
        <c:majorGridlines/>
        <c:numFmt formatCode="General" sourceLinked="1"/>
        <c:majorTickMark val="out"/>
        <c:minorTickMark val="none"/>
        <c:tickLblPos val="nextTo"/>
        <c:crossAx val="175432064"/>
        <c:crosses val="autoZero"/>
        <c:crossBetween val="between"/>
      </c:valAx>
    </c:plotArea>
    <c:legend>
      <c:legendPos val="r"/>
      <c:overlay val="0"/>
      <c:txPr>
        <a:bodyPr/>
        <a:lstStyle/>
        <a:p>
          <a:pPr>
            <a:defRPr sz="800"/>
          </a:pPr>
          <a:endParaRPr lang="sr-Latn-RS"/>
        </a:p>
      </c:txPr>
    </c:legend>
    <c:plotVisOnly val="1"/>
    <c:dispBlanksAs val="gap"/>
    <c:showDLblsOverMax val="0"/>
  </c:chart>
  <c:externalData r:id="rId1">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bs-Latn-B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'C:\Users\Korisnik\Desktop\novo zdravstveno elma\[Vodeća oboljenja starosne skupine 2015.xlsx]2010-2015'!$A$88</c:f>
              <c:strCache>
                <c:ptCount val="1"/>
                <c:pt idx="0">
                  <c:v>Hipertenzivna stanja (I10-I05)</c:v>
                </c:pt>
              </c:strCache>
            </c:strRef>
          </c:tx>
          <c:invertIfNegative val="0"/>
          <c:cat>
            <c:strRef>
              <c:f>'[11]2010-2015'!$B$87:$G$87</c:f>
              <c:strCache>
                <c:ptCount val="6"/>
                <c:pt idx="0">
                  <c:v>2010.</c:v>
                </c:pt>
                <c:pt idx="1">
                  <c:v>2011.</c:v>
                </c:pt>
                <c:pt idx="2">
                  <c:v>2012.</c:v>
                </c:pt>
                <c:pt idx="3">
                  <c:v>2013.</c:v>
                </c:pt>
                <c:pt idx="4">
                  <c:v>2014.</c:v>
                </c:pt>
                <c:pt idx="5">
                  <c:v>2015.</c:v>
                </c:pt>
              </c:strCache>
            </c:strRef>
          </c:cat>
          <c:val>
            <c:numRef>
              <c:f>'[11]2010-2015'!$B$88:$G$88</c:f>
              <c:numCache>
                <c:formatCode>General</c:formatCode>
                <c:ptCount val="6"/>
                <c:pt idx="0">
                  <c:v>2545</c:v>
                </c:pt>
                <c:pt idx="1">
                  <c:v>2757</c:v>
                </c:pt>
                <c:pt idx="2">
                  <c:v>2844</c:v>
                </c:pt>
                <c:pt idx="3">
                  <c:v>3144</c:v>
                </c:pt>
                <c:pt idx="4">
                  <c:v>3449</c:v>
                </c:pt>
                <c:pt idx="5">
                  <c:v>3476</c:v>
                </c:pt>
              </c:numCache>
            </c:numRef>
          </c:val>
        </c:ser>
        <c:ser>
          <c:idx val="1"/>
          <c:order val="1"/>
          <c:tx>
            <c:strRef>
              <c:f>'C:\Users\Korisnik\Desktop\novo zdravstveno elma\[Vodeća oboljenja starosne skupine 2015.xlsx]2010-2015'!$A$89</c:f>
              <c:strCache>
                <c:ptCount val="1"/>
                <c:pt idx="0">
                  <c:v>Dijabetes E10-E14)</c:v>
                </c:pt>
              </c:strCache>
            </c:strRef>
          </c:tx>
          <c:invertIfNegative val="0"/>
          <c:cat>
            <c:strRef>
              <c:f>'[11]2010-2015'!$B$87:$G$87</c:f>
              <c:strCache>
                <c:ptCount val="6"/>
                <c:pt idx="0">
                  <c:v>2010.</c:v>
                </c:pt>
                <c:pt idx="1">
                  <c:v>2011.</c:v>
                </c:pt>
                <c:pt idx="2">
                  <c:v>2012.</c:v>
                </c:pt>
                <c:pt idx="3">
                  <c:v>2013.</c:v>
                </c:pt>
                <c:pt idx="4">
                  <c:v>2014.</c:v>
                </c:pt>
                <c:pt idx="5">
                  <c:v>2015.</c:v>
                </c:pt>
              </c:strCache>
            </c:strRef>
          </c:cat>
          <c:val>
            <c:numRef>
              <c:f>'[11]2010-2015'!$B$89:$G$89</c:f>
              <c:numCache>
                <c:formatCode>General</c:formatCode>
                <c:ptCount val="6"/>
                <c:pt idx="0">
                  <c:v>682</c:v>
                </c:pt>
                <c:pt idx="1">
                  <c:v>768</c:v>
                </c:pt>
                <c:pt idx="2">
                  <c:v>849</c:v>
                </c:pt>
                <c:pt idx="3">
                  <c:v>966</c:v>
                </c:pt>
                <c:pt idx="4">
                  <c:v>959</c:v>
                </c:pt>
                <c:pt idx="5">
                  <c:v>1021</c:v>
                </c:pt>
              </c:numCache>
            </c:numRef>
          </c:val>
        </c:ser>
        <c:ser>
          <c:idx val="2"/>
          <c:order val="2"/>
          <c:tx>
            <c:strRef>
              <c:f>'C:\Users\Korisnik\Desktop\novo zdravstveno elma\[Vodeća oboljenja starosne skupine 2015.xlsx]2010-2015'!$A$90</c:f>
              <c:strCache>
                <c:ptCount val="1"/>
                <c:pt idx="0">
                  <c:v>Akutne infekcije gornjih respiratornih puteva (J00-J06)</c:v>
                </c:pt>
              </c:strCache>
            </c:strRef>
          </c:tx>
          <c:invertIfNegative val="0"/>
          <c:cat>
            <c:strRef>
              <c:f>'[11]2010-2015'!$B$87:$G$87</c:f>
              <c:strCache>
                <c:ptCount val="6"/>
                <c:pt idx="0">
                  <c:v>2010.</c:v>
                </c:pt>
                <c:pt idx="1">
                  <c:v>2011.</c:v>
                </c:pt>
                <c:pt idx="2">
                  <c:v>2012.</c:v>
                </c:pt>
                <c:pt idx="3">
                  <c:v>2013.</c:v>
                </c:pt>
                <c:pt idx="4">
                  <c:v>2014.</c:v>
                </c:pt>
                <c:pt idx="5">
                  <c:v>2015.</c:v>
                </c:pt>
              </c:strCache>
            </c:strRef>
          </c:cat>
          <c:val>
            <c:numRef>
              <c:f>'[11]2010-2015'!$B$90:$G$90</c:f>
              <c:numCache>
                <c:formatCode>General</c:formatCode>
                <c:ptCount val="6"/>
                <c:pt idx="0">
                  <c:v>747</c:v>
                </c:pt>
                <c:pt idx="1">
                  <c:v>795</c:v>
                </c:pt>
                <c:pt idx="2">
                  <c:v>754</c:v>
                </c:pt>
                <c:pt idx="3">
                  <c:v>879</c:v>
                </c:pt>
                <c:pt idx="4">
                  <c:v>861</c:v>
                </c:pt>
                <c:pt idx="5">
                  <c:v>872</c:v>
                </c:pt>
              </c:numCache>
            </c:numRef>
          </c:val>
        </c:ser>
        <c:ser>
          <c:idx val="3"/>
          <c:order val="3"/>
          <c:tx>
            <c:strRef>
              <c:f>'C:\Users\Korisnik\Desktop\novo zdravstveno elma\[Vodeća oboljenja starosne skupine 2015.xlsx]2010-2015'!$A$91</c:f>
              <c:strCache>
                <c:ptCount val="1"/>
                <c:pt idx="0">
                  <c:v>Druge dorzopatije (M40-M49, M53-M54)</c:v>
                </c:pt>
              </c:strCache>
            </c:strRef>
          </c:tx>
          <c:invertIfNegative val="0"/>
          <c:cat>
            <c:strRef>
              <c:f>'[11]2010-2015'!$B$87:$G$87</c:f>
              <c:strCache>
                <c:ptCount val="6"/>
                <c:pt idx="0">
                  <c:v>2010.</c:v>
                </c:pt>
                <c:pt idx="1">
                  <c:v>2011.</c:v>
                </c:pt>
                <c:pt idx="2">
                  <c:v>2012.</c:v>
                </c:pt>
                <c:pt idx="3">
                  <c:v>2013.</c:v>
                </c:pt>
                <c:pt idx="4">
                  <c:v>2014.</c:v>
                </c:pt>
                <c:pt idx="5">
                  <c:v>2015.</c:v>
                </c:pt>
              </c:strCache>
            </c:strRef>
          </c:cat>
          <c:val>
            <c:numRef>
              <c:f>'[11]2010-2015'!$B$91:$G$91</c:f>
              <c:numCache>
                <c:formatCode>General</c:formatCode>
                <c:ptCount val="6"/>
                <c:pt idx="0">
                  <c:v>423</c:v>
                </c:pt>
                <c:pt idx="1">
                  <c:v>411</c:v>
                </c:pt>
                <c:pt idx="2">
                  <c:v>432</c:v>
                </c:pt>
                <c:pt idx="3">
                  <c:v>527</c:v>
                </c:pt>
                <c:pt idx="4">
                  <c:v>554</c:v>
                </c:pt>
                <c:pt idx="5">
                  <c:v>542</c:v>
                </c:pt>
              </c:numCache>
            </c:numRef>
          </c:val>
        </c:ser>
        <c:ser>
          <c:idx val="4"/>
          <c:order val="4"/>
          <c:tx>
            <c:strRef>
              <c:f>'C:\Users\Korisnik\Desktop\novo zdravstveno elma\[Vodeća oboljenja starosne skupine 2015.xlsx]2010-2015'!$A$92</c:f>
              <c:strCache>
                <c:ptCount val="1"/>
                <c:pt idx="0">
                  <c:v>Cistitis (N30)</c:v>
                </c:pt>
              </c:strCache>
            </c:strRef>
          </c:tx>
          <c:invertIfNegative val="0"/>
          <c:cat>
            <c:strRef>
              <c:f>'[11]2010-2015'!$B$87:$G$87</c:f>
              <c:strCache>
                <c:ptCount val="6"/>
                <c:pt idx="0">
                  <c:v>2010.</c:v>
                </c:pt>
                <c:pt idx="1">
                  <c:v>2011.</c:v>
                </c:pt>
                <c:pt idx="2">
                  <c:v>2012.</c:v>
                </c:pt>
                <c:pt idx="3">
                  <c:v>2013.</c:v>
                </c:pt>
                <c:pt idx="4">
                  <c:v>2014.</c:v>
                </c:pt>
                <c:pt idx="5">
                  <c:v>2015.</c:v>
                </c:pt>
              </c:strCache>
            </c:strRef>
          </c:cat>
          <c:val>
            <c:numRef>
              <c:f>'[11]2010-2015'!$B$92:$G$92</c:f>
              <c:numCache>
                <c:formatCode>General</c:formatCode>
                <c:ptCount val="6"/>
                <c:pt idx="0">
                  <c:v>446</c:v>
                </c:pt>
                <c:pt idx="1">
                  <c:v>405</c:v>
                </c:pt>
                <c:pt idx="2">
                  <c:v>444</c:v>
                </c:pt>
                <c:pt idx="3">
                  <c:v>473</c:v>
                </c:pt>
                <c:pt idx="4">
                  <c:v>527</c:v>
                </c:pt>
                <c:pt idx="5">
                  <c:v>470</c:v>
                </c:pt>
              </c:numCache>
            </c:numRef>
          </c:val>
        </c:ser>
        <c:dLbls>
          <c:showLegendKey val="0"/>
          <c:showVal val="0"/>
          <c:showCatName val="0"/>
          <c:showSerName val="0"/>
          <c:showPercent val="0"/>
          <c:showBubbleSize val="0"/>
        </c:dLbls>
        <c:gapWidth val="150"/>
        <c:axId val="177689728"/>
        <c:axId val="177691264"/>
      </c:barChart>
      <c:catAx>
        <c:axId val="177689728"/>
        <c:scaling>
          <c:orientation val="minMax"/>
        </c:scaling>
        <c:delete val="0"/>
        <c:axPos val="b"/>
        <c:numFmt formatCode="General" sourceLinked="0"/>
        <c:majorTickMark val="out"/>
        <c:minorTickMark val="none"/>
        <c:tickLblPos val="nextTo"/>
        <c:crossAx val="177691264"/>
        <c:crosses val="autoZero"/>
        <c:auto val="1"/>
        <c:lblAlgn val="ctr"/>
        <c:lblOffset val="100"/>
        <c:noMultiLvlLbl val="0"/>
      </c:catAx>
      <c:valAx>
        <c:axId val="177691264"/>
        <c:scaling>
          <c:orientation val="minMax"/>
        </c:scaling>
        <c:delete val="0"/>
        <c:axPos val="l"/>
        <c:majorGridlines/>
        <c:numFmt formatCode="General" sourceLinked="1"/>
        <c:majorTickMark val="out"/>
        <c:minorTickMark val="none"/>
        <c:tickLblPos val="nextTo"/>
        <c:crossAx val="177689728"/>
        <c:crosses val="autoZero"/>
        <c:crossBetween val="between"/>
      </c:valAx>
    </c:plotArea>
    <c:legend>
      <c:legendPos val="r"/>
      <c:overlay val="0"/>
      <c:txPr>
        <a:bodyPr/>
        <a:lstStyle/>
        <a:p>
          <a:pPr>
            <a:defRPr sz="900"/>
          </a:pPr>
          <a:endParaRPr lang="sr-Latn-RS"/>
        </a:p>
      </c:txPr>
    </c:legend>
    <c:plotVisOnly val="1"/>
    <c:dispBlanksAs val="gap"/>
    <c:showDLblsOverMax val="0"/>
  </c:chart>
  <c:externalData r:id="rId1">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bs-Latn-B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Mortalitet!$A$397</c:f>
              <c:strCache>
                <c:ptCount val="1"/>
                <c:pt idx="0">
                  <c:v>Oboljenja cirkulatornog sistema (I00-I99)</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Mortalitet!$B$396:$C$396</c:f>
              <c:strCache>
                <c:ptCount val="2"/>
                <c:pt idx="0">
                  <c:v>2010.</c:v>
                </c:pt>
                <c:pt idx="1">
                  <c:v>2015.</c:v>
                </c:pt>
              </c:strCache>
            </c:strRef>
          </c:cat>
          <c:val>
            <c:numRef>
              <c:f>Mortalitet!$B$397:$C$397</c:f>
              <c:numCache>
                <c:formatCode>0.0</c:formatCode>
                <c:ptCount val="2"/>
                <c:pt idx="0">
                  <c:v>2763.5606821374286</c:v>
                </c:pt>
                <c:pt idx="1">
                  <c:v>2917.966215226174</c:v>
                </c:pt>
              </c:numCache>
            </c:numRef>
          </c:val>
        </c:ser>
        <c:ser>
          <c:idx val="1"/>
          <c:order val="1"/>
          <c:tx>
            <c:strRef>
              <c:f>Mortalitet!$A$398</c:f>
              <c:strCache>
                <c:ptCount val="1"/>
                <c:pt idx="0">
                  <c:v>Maligne neoplazme (C00-C97)</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Mortalitet!$B$396:$C$396</c:f>
              <c:strCache>
                <c:ptCount val="2"/>
                <c:pt idx="0">
                  <c:v>2010.</c:v>
                </c:pt>
                <c:pt idx="1">
                  <c:v>2015.</c:v>
                </c:pt>
              </c:strCache>
            </c:strRef>
          </c:cat>
          <c:val>
            <c:numRef>
              <c:f>Mortalitet!$B$398:$C$398</c:f>
              <c:numCache>
                <c:formatCode>0.0</c:formatCode>
                <c:ptCount val="2"/>
                <c:pt idx="0">
                  <c:v>772.12228960805317</c:v>
                </c:pt>
                <c:pt idx="1">
                  <c:v>883.34414836832525</c:v>
                </c:pt>
              </c:numCache>
            </c:numRef>
          </c:val>
        </c:ser>
        <c:ser>
          <c:idx val="2"/>
          <c:order val="2"/>
          <c:tx>
            <c:strRef>
              <c:f>Mortalitet!$A$399</c:f>
              <c:strCache>
                <c:ptCount val="1"/>
                <c:pt idx="0">
                  <c:v>Endokrina i metabolička ob. sa poremećajem u ishrani (E00-E99)</c:v>
                </c:pt>
              </c:strCache>
            </c:strRef>
          </c:tx>
          <c:spPr>
            <a:solidFill>
              <a:schemeClr val="accent3"/>
            </a:solidFill>
            <a:ln>
              <a:noFill/>
            </a:ln>
            <a:effectLst/>
          </c:spPr>
          <c:invertIfNegative val="0"/>
          <c:dLbls>
            <c:dLbl>
              <c:idx val="0"/>
              <c:layout>
                <c:manualLayout>
                  <c:x val="0"/>
                  <c:y val="-1.8518518518518604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Mortalitet!$B$396:$C$396</c:f>
              <c:strCache>
                <c:ptCount val="2"/>
                <c:pt idx="0">
                  <c:v>2010.</c:v>
                </c:pt>
                <c:pt idx="1">
                  <c:v>2015.</c:v>
                </c:pt>
              </c:strCache>
            </c:strRef>
          </c:cat>
          <c:val>
            <c:numRef>
              <c:f>Mortalitet!$B$399:$C$399</c:f>
              <c:numCache>
                <c:formatCode>0.0</c:formatCode>
                <c:ptCount val="2"/>
                <c:pt idx="0">
                  <c:v>292.76935539165868</c:v>
                </c:pt>
                <c:pt idx="1">
                  <c:v>303.81775719100148</c:v>
                </c:pt>
              </c:numCache>
            </c:numRef>
          </c:val>
        </c:ser>
        <c:ser>
          <c:idx val="3"/>
          <c:order val="3"/>
          <c:tx>
            <c:strRef>
              <c:f>Mortalitet!$A$400</c:f>
              <c:strCache>
                <c:ptCount val="1"/>
                <c:pt idx="0">
                  <c:v>Simptomi,znaci i nenormalni klinički i lab.nalazi (R00-R99)</c:v>
                </c:pt>
              </c:strCache>
            </c:strRef>
          </c:tx>
          <c:spPr>
            <a:solidFill>
              <a:schemeClr val="accent4"/>
            </a:solidFill>
            <a:ln>
              <a:noFill/>
            </a:ln>
            <a:effectLst/>
          </c:spPr>
          <c:invertIfNegative val="0"/>
          <c:dLbls>
            <c:dLbl>
              <c:idx val="0"/>
              <c:layout>
                <c:manualLayout>
                  <c:x val="1.1111111111111136E-2"/>
                  <c:y val="-8.4875562720133283E-17"/>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Mortalitet!$B$396:$C$396</c:f>
              <c:strCache>
                <c:ptCount val="2"/>
                <c:pt idx="0">
                  <c:v>2010.</c:v>
                </c:pt>
                <c:pt idx="1">
                  <c:v>2015.</c:v>
                </c:pt>
              </c:strCache>
            </c:strRef>
          </c:cat>
          <c:val>
            <c:numRef>
              <c:f>Mortalitet!$B$400:$C$400</c:f>
              <c:numCache>
                <c:formatCode>0.0</c:formatCode>
                <c:ptCount val="2"/>
                <c:pt idx="0">
                  <c:v>226.32739805406979</c:v>
                </c:pt>
                <c:pt idx="1">
                  <c:v>104.66162895359304</c:v>
                </c:pt>
              </c:numCache>
            </c:numRef>
          </c:val>
        </c:ser>
        <c:ser>
          <c:idx val="4"/>
          <c:order val="4"/>
          <c:tx>
            <c:strRef>
              <c:f>Mortalitet!$A$401</c:f>
              <c:strCache>
                <c:ptCount val="1"/>
                <c:pt idx="0">
                  <c:v>Oboljenja respiratornog sistema (J00-J99)</c:v>
                </c:pt>
              </c:strCache>
            </c:strRef>
          </c:tx>
          <c:spPr>
            <a:solidFill>
              <a:schemeClr val="accent5"/>
            </a:solidFill>
            <a:ln>
              <a:noFill/>
            </a:ln>
            <a:effectLst/>
          </c:spPr>
          <c:invertIfNegative val="0"/>
          <c:dLbls>
            <c:dLbl>
              <c:idx val="0"/>
              <c:layout>
                <c:manualLayout>
                  <c:x val="2.7777777777777776E-2"/>
                  <c:y val="9.2592592592592587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Mortalitet!$B$396:$C$396</c:f>
              <c:strCache>
                <c:ptCount val="2"/>
                <c:pt idx="0">
                  <c:v>2010.</c:v>
                </c:pt>
                <c:pt idx="1">
                  <c:v>2015.</c:v>
                </c:pt>
              </c:strCache>
            </c:strRef>
          </c:cat>
          <c:val>
            <c:numRef>
              <c:f>Mortalitet!$B$401:$C$401</c:f>
              <c:numCache>
                <c:formatCode>0.0</c:formatCode>
                <c:ptCount val="2"/>
                <c:pt idx="0">
                  <c:v>168.07691490878642</c:v>
                </c:pt>
                <c:pt idx="1">
                  <c:v>260.45793948165579</c:v>
                </c:pt>
              </c:numCache>
            </c:numRef>
          </c:val>
        </c:ser>
        <c:dLbls>
          <c:showLegendKey val="0"/>
          <c:showVal val="0"/>
          <c:showCatName val="0"/>
          <c:showSerName val="0"/>
          <c:showPercent val="0"/>
          <c:showBubbleSize val="0"/>
        </c:dLbls>
        <c:gapWidth val="199"/>
        <c:axId val="173739392"/>
        <c:axId val="173757568"/>
      </c:barChart>
      <c:catAx>
        <c:axId val="1737393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sr-Latn-RS"/>
          </a:p>
        </c:txPr>
        <c:crossAx val="173757568"/>
        <c:crosses val="autoZero"/>
        <c:auto val="1"/>
        <c:lblAlgn val="ctr"/>
        <c:lblOffset val="100"/>
        <c:noMultiLvlLbl val="0"/>
      </c:catAx>
      <c:valAx>
        <c:axId val="173757568"/>
        <c:scaling>
          <c:orientation val="minMax"/>
        </c:scaling>
        <c:delete val="1"/>
        <c:axPos val="l"/>
        <c:numFmt formatCode="0.0" sourceLinked="1"/>
        <c:majorTickMark val="none"/>
        <c:minorTickMark val="none"/>
        <c:tickLblPos val="nextTo"/>
        <c:crossAx val="173739392"/>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sr-Latn-RS"/>
    </a:p>
  </c:txPr>
  <c:externalData r:id="rId1">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bs-Latn-B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Sheet1!$C$3</c:f>
              <c:strCache>
                <c:ptCount val="1"/>
                <c:pt idx="0">
                  <c:v>2010.</c:v>
                </c:pt>
              </c:strCache>
            </c:strRef>
          </c:tx>
          <c:spPr>
            <a:ln w="28575" cap="rnd">
              <a:solidFill>
                <a:schemeClr val="accent1"/>
              </a:solidFill>
              <a:round/>
            </a:ln>
            <a:effectLst/>
          </c:spPr>
          <c:marker>
            <c:symbol val="none"/>
          </c:marker>
          <c:cat>
            <c:strRef>
              <c:f>Sheet1!$B$4:$B$12</c:f>
              <c:strCache>
                <c:ptCount val="9"/>
                <c:pt idx="0">
                  <c:v>ispod 15</c:v>
                </c:pt>
                <c:pt idx="1">
                  <c:v>15-19</c:v>
                </c:pt>
                <c:pt idx="2">
                  <c:v>20-24</c:v>
                </c:pt>
                <c:pt idx="3">
                  <c:v>25-29</c:v>
                </c:pt>
                <c:pt idx="4">
                  <c:v>30-34</c:v>
                </c:pt>
                <c:pt idx="5">
                  <c:v>35-39</c:v>
                </c:pt>
                <c:pt idx="6">
                  <c:v>40-44</c:v>
                </c:pt>
                <c:pt idx="7">
                  <c:v>45-49</c:v>
                </c:pt>
                <c:pt idx="8">
                  <c:v>preko 49</c:v>
                </c:pt>
              </c:strCache>
            </c:strRef>
          </c:cat>
          <c:val>
            <c:numRef>
              <c:f>Sheet1!$C$4:$C$12</c:f>
              <c:numCache>
                <c:formatCode>General</c:formatCode>
                <c:ptCount val="9"/>
                <c:pt idx="0">
                  <c:v>5</c:v>
                </c:pt>
                <c:pt idx="1">
                  <c:v>1285</c:v>
                </c:pt>
                <c:pt idx="2">
                  <c:v>5609</c:v>
                </c:pt>
                <c:pt idx="3">
                  <c:v>7743</c:v>
                </c:pt>
                <c:pt idx="4">
                  <c:v>5243</c:v>
                </c:pt>
                <c:pt idx="5">
                  <c:v>2028</c:v>
                </c:pt>
                <c:pt idx="6">
                  <c:v>393</c:v>
                </c:pt>
                <c:pt idx="7">
                  <c:v>19</c:v>
                </c:pt>
                <c:pt idx="8">
                  <c:v>0</c:v>
                </c:pt>
              </c:numCache>
            </c:numRef>
          </c:val>
          <c:smooth val="0"/>
        </c:ser>
        <c:ser>
          <c:idx val="1"/>
          <c:order val="1"/>
          <c:tx>
            <c:strRef>
              <c:f>Sheet1!$D$3</c:f>
              <c:strCache>
                <c:ptCount val="1"/>
                <c:pt idx="0">
                  <c:v>2015.</c:v>
                </c:pt>
              </c:strCache>
            </c:strRef>
          </c:tx>
          <c:spPr>
            <a:ln w="28575" cap="rnd">
              <a:solidFill>
                <a:schemeClr val="accent2"/>
              </a:solidFill>
              <a:round/>
            </a:ln>
            <a:effectLst/>
          </c:spPr>
          <c:marker>
            <c:symbol val="none"/>
          </c:marker>
          <c:cat>
            <c:strRef>
              <c:f>Sheet1!$B$4:$B$12</c:f>
              <c:strCache>
                <c:ptCount val="9"/>
                <c:pt idx="0">
                  <c:v>ispod 15</c:v>
                </c:pt>
                <c:pt idx="1">
                  <c:v>15-19</c:v>
                </c:pt>
                <c:pt idx="2">
                  <c:v>20-24</c:v>
                </c:pt>
                <c:pt idx="3">
                  <c:v>25-29</c:v>
                </c:pt>
                <c:pt idx="4">
                  <c:v>30-34</c:v>
                </c:pt>
                <c:pt idx="5">
                  <c:v>35-39</c:v>
                </c:pt>
                <c:pt idx="6">
                  <c:v>40-44</c:v>
                </c:pt>
                <c:pt idx="7">
                  <c:v>45-49</c:v>
                </c:pt>
                <c:pt idx="8">
                  <c:v>preko 49</c:v>
                </c:pt>
              </c:strCache>
            </c:strRef>
          </c:cat>
          <c:val>
            <c:numRef>
              <c:f>Sheet1!$D$4:$D$12</c:f>
              <c:numCache>
                <c:formatCode>General</c:formatCode>
                <c:ptCount val="9"/>
                <c:pt idx="0">
                  <c:v>3</c:v>
                </c:pt>
                <c:pt idx="1">
                  <c:v>948</c:v>
                </c:pt>
                <c:pt idx="2">
                  <c:v>5112</c:v>
                </c:pt>
                <c:pt idx="3">
                  <c:v>5351</c:v>
                </c:pt>
                <c:pt idx="4">
                  <c:v>5444</c:v>
                </c:pt>
                <c:pt idx="5">
                  <c:v>2090</c:v>
                </c:pt>
                <c:pt idx="6">
                  <c:v>349</c:v>
                </c:pt>
                <c:pt idx="7">
                  <c:v>15</c:v>
                </c:pt>
                <c:pt idx="8">
                  <c:v>1</c:v>
                </c:pt>
              </c:numCache>
            </c:numRef>
          </c:val>
          <c:smooth val="0"/>
        </c:ser>
        <c:dLbls>
          <c:showLegendKey val="0"/>
          <c:showVal val="0"/>
          <c:showCatName val="0"/>
          <c:showSerName val="0"/>
          <c:showPercent val="0"/>
          <c:showBubbleSize val="0"/>
        </c:dLbls>
        <c:marker val="1"/>
        <c:smooth val="0"/>
        <c:axId val="178710016"/>
        <c:axId val="178711552"/>
      </c:lineChart>
      <c:catAx>
        <c:axId val="1787100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178711552"/>
        <c:crosses val="autoZero"/>
        <c:auto val="1"/>
        <c:lblAlgn val="ctr"/>
        <c:lblOffset val="100"/>
        <c:noMultiLvlLbl val="0"/>
      </c:catAx>
      <c:valAx>
        <c:axId val="1787115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1787100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sr-Latn-RS"/>
    </a:p>
  </c:txPr>
  <c:externalData r:id="rId2">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bs-Latn-B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'[morbiditet žene 2015.xlsx]žene 15+'!$C$70:$H$70</c:f>
              <c:strCache>
                <c:ptCount val="6"/>
                <c:pt idx="0">
                  <c:v>2010.</c:v>
                </c:pt>
                <c:pt idx="1">
                  <c:v>2011.</c:v>
                </c:pt>
                <c:pt idx="2">
                  <c:v>2012.</c:v>
                </c:pt>
                <c:pt idx="3">
                  <c:v>2013.</c:v>
                </c:pt>
                <c:pt idx="4">
                  <c:v>2014.</c:v>
                </c:pt>
                <c:pt idx="5">
                  <c:v>2015.</c:v>
                </c:pt>
              </c:strCache>
            </c:strRef>
          </c:cat>
          <c:val>
            <c:numRef>
              <c:f>'[morbiditet žene 2015.xlsx]žene 15+'!$C$71:$H$71</c:f>
              <c:numCache>
                <c:formatCode>General</c:formatCode>
                <c:ptCount val="6"/>
                <c:pt idx="0">
                  <c:v>3014</c:v>
                </c:pt>
                <c:pt idx="1">
                  <c:v>2918</c:v>
                </c:pt>
                <c:pt idx="2">
                  <c:v>2853</c:v>
                </c:pt>
                <c:pt idx="3">
                  <c:v>2812</c:v>
                </c:pt>
                <c:pt idx="4">
                  <c:v>3001</c:v>
                </c:pt>
                <c:pt idx="5">
                  <c:v>3125</c:v>
                </c:pt>
              </c:numCache>
            </c:numRef>
          </c:val>
        </c:ser>
        <c:dLbls>
          <c:showLegendKey val="0"/>
          <c:showVal val="0"/>
          <c:showCatName val="0"/>
          <c:showSerName val="0"/>
          <c:showPercent val="0"/>
          <c:showBubbleSize val="0"/>
        </c:dLbls>
        <c:gapWidth val="150"/>
        <c:shape val="box"/>
        <c:axId val="178613632"/>
        <c:axId val="178615424"/>
        <c:axId val="0"/>
      </c:bar3DChart>
      <c:catAx>
        <c:axId val="178613632"/>
        <c:scaling>
          <c:orientation val="minMax"/>
        </c:scaling>
        <c:delete val="0"/>
        <c:axPos val="b"/>
        <c:numFmt formatCode="General" sourceLinked="0"/>
        <c:majorTickMark val="out"/>
        <c:minorTickMark val="none"/>
        <c:tickLblPos val="nextTo"/>
        <c:crossAx val="178615424"/>
        <c:crosses val="autoZero"/>
        <c:auto val="1"/>
        <c:lblAlgn val="ctr"/>
        <c:lblOffset val="100"/>
        <c:noMultiLvlLbl val="0"/>
      </c:catAx>
      <c:valAx>
        <c:axId val="178615424"/>
        <c:scaling>
          <c:orientation val="minMax"/>
        </c:scaling>
        <c:delete val="0"/>
        <c:axPos val="l"/>
        <c:numFmt formatCode="General" sourceLinked="1"/>
        <c:majorTickMark val="out"/>
        <c:minorTickMark val="none"/>
        <c:tickLblPos val="nextTo"/>
        <c:crossAx val="178613632"/>
        <c:crosses val="autoZero"/>
        <c:crossBetween val="between"/>
      </c:valAx>
    </c:plotArea>
    <c:plotVisOnly val="1"/>
    <c:dispBlanksAs val="gap"/>
    <c:showDLblsOverMax val="0"/>
  </c:chart>
  <c:externalData r:id="rId2">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bs-Latn-B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'[morbiditet žene 2015.xlsx]žene 15+'!$B$46</c:f>
              <c:strCache>
                <c:ptCount val="1"/>
                <c:pt idx="0">
                  <c:v>Menopauza i drugi menopauzalni poremećaji(N95)</c:v>
                </c:pt>
              </c:strCache>
            </c:strRef>
          </c:tx>
          <c:invertIfNegative val="0"/>
          <c:cat>
            <c:strRef>
              <c:f>'[morbiditet žene 2015.xlsx]žene 15+'!$C$45:$H$45</c:f>
              <c:strCache>
                <c:ptCount val="6"/>
                <c:pt idx="0">
                  <c:v>2010.</c:v>
                </c:pt>
                <c:pt idx="1">
                  <c:v>2011.</c:v>
                </c:pt>
                <c:pt idx="2">
                  <c:v>2012.</c:v>
                </c:pt>
                <c:pt idx="3">
                  <c:v>2013.</c:v>
                </c:pt>
                <c:pt idx="4">
                  <c:v>2014.</c:v>
                </c:pt>
                <c:pt idx="5">
                  <c:v>2015.</c:v>
                </c:pt>
              </c:strCache>
            </c:strRef>
          </c:cat>
          <c:val>
            <c:numRef>
              <c:f>'[morbiditet žene 2015.xlsx]žene 15+'!$C$46:$H$46</c:f>
              <c:numCache>
                <c:formatCode>General</c:formatCode>
                <c:ptCount val="6"/>
                <c:pt idx="0" formatCode="0">
                  <c:v>195.2</c:v>
                </c:pt>
                <c:pt idx="1">
                  <c:v>214</c:v>
                </c:pt>
                <c:pt idx="2">
                  <c:v>224</c:v>
                </c:pt>
                <c:pt idx="3">
                  <c:v>224</c:v>
                </c:pt>
                <c:pt idx="4" formatCode="0">
                  <c:v>248.19759518877274</c:v>
                </c:pt>
                <c:pt idx="5">
                  <c:v>249</c:v>
                </c:pt>
              </c:numCache>
            </c:numRef>
          </c:val>
        </c:ser>
        <c:ser>
          <c:idx val="1"/>
          <c:order val="1"/>
          <c:tx>
            <c:strRef>
              <c:f>'[morbiditet žene 2015.xlsx]žene 15+'!$B$47</c:f>
              <c:strCache>
                <c:ptCount val="1"/>
                <c:pt idx="0">
                  <c:v>Druge upale vagine i vulve (N76)</c:v>
                </c:pt>
              </c:strCache>
            </c:strRef>
          </c:tx>
          <c:invertIfNegative val="0"/>
          <c:cat>
            <c:strRef>
              <c:f>'[morbiditet žene 2015.xlsx]žene 15+'!$C$45:$H$45</c:f>
              <c:strCache>
                <c:ptCount val="6"/>
                <c:pt idx="0">
                  <c:v>2010.</c:v>
                </c:pt>
                <c:pt idx="1">
                  <c:v>2011.</c:v>
                </c:pt>
                <c:pt idx="2">
                  <c:v>2012.</c:v>
                </c:pt>
                <c:pt idx="3">
                  <c:v>2013.</c:v>
                </c:pt>
                <c:pt idx="4">
                  <c:v>2014.</c:v>
                </c:pt>
                <c:pt idx="5">
                  <c:v>2015.</c:v>
                </c:pt>
              </c:strCache>
            </c:strRef>
          </c:cat>
          <c:val>
            <c:numRef>
              <c:f>'[morbiditet žene 2015.xlsx]žene 15+'!$C$47:$H$47</c:f>
              <c:numCache>
                <c:formatCode>General</c:formatCode>
                <c:ptCount val="6"/>
                <c:pt idx="0" formatCode="0">
                  <c:v>172.8</c:v>
                </c:pt>
                <c:pt idx="1">
                  <c:v>200</c:v>
                </c:pt>
                <c:pt idx="2">
                  <c:v>189</c:v>
                </c:pt>
                <c:pt idx="3">
                  <c:v>204</c:v>
                </c:pt>
                <c:pt idx="4" formatCode="0">
                  <c:v>242.12605533125333</c:v>
                </c:pt>
                <c:pt idx="5">
                  <c:v>264</c:v>
                </c:pt>
              </c:numCache>
            </c:numRef>
          </c:val>
        </c:ser>
        <c:ser>
          <c:idx val="2"/>
          <c:order val="2"/>
          <c:tx>
            <c:strRef>
              <c:f>'[morbiditet žene 2015.xlsx]žene 15+'!$B$48</c:f>
              <c:strCache>
                <c:ptCount val="1"/>
                <c:pt idx="0">
                  <c:v>Kandidijaza(B37)</c:v>
                </c:pt>
              </c:strCache>
            </c:strRef>
          </c:tx>
          <c:invertIfNegative val="0"/>
          <c:cat>
            <c:strRef>
              <c:f>'[morbiditet žene 2015.xlsx]žene 15+'!$C$45:$H$45</c:f>
              <c:strCache>
                <c:ptCount val="6"/>
                <c:pt idx="0">
                  <c:v>2010.</c:v>
                </c:pt>
                <c:pt idx="1">
                  <c:v>2011.</c:v>
                </c:pt>
                <c:pt idx="2">
                  <c:v>2012.</c:v>
                </c:pt>
                <c:pt idx="3">
                  <c:v>2013.</c:v>
                </c:pt>
                <c:pt idx="4">
                  <c:v>2014.</c:v>
                </c:pt>
                <c:pt idx="5">
                  <c:v>2015.</c:v>
                </c:pt>
              </c:strCache>
            </c:strRef>
          </c:cat>
          <c:val>
            <c:numRef>
              <c:f>'[morbiditet žene 2015.xlsx]žene 15+'!$C$48:$H$48</c:f>
              <c:numCache>
                <c:formatCode>General</c:formatCode>
                <c:ptCount val="6"/>
                <c:pt idx="0" formatCode="0">
                  <c:v>159.6</c:v>
                </c:pt>
                <c:pt idx="1">
                  <c:v>153</c:v>
                </c:pt>
                <c:pt idx="2">
                  <c:v>128</c:v>
                </c:pt>
                <c:pt idx="3">
                  <c:v>128</c:v>
                </c:pt>
                <c:pt idx="4" formatCode="0">
                  <c:v>129.18738991990648</c:v>
                </c:pt>
                <c:pt idx="5">
                  <c:v>126</c:v>
                </c:pt>
              </c:numCache>
            </c:numRef>
          </c:val>
        </c:ser>
        <c:ser>
          <c:idx val="3"/>
          <c:order val="3"/>
          <c:tx>
            <c:strRef>
              <c:f>'[morbiditet žene 2015.xlsx]žene 15+'!$B$49</c:f>
              <c:strCache>
                <c:ptCount val="1"/>
                <c:pt idx="0">
                  <c:v>Upala mokraćnog mjehura (N30)</c:v>
                </c:pt>
              </c:strCache>
            </c:strRef>
          </c:tx>
          <c:invertIfNegative val="0"/>
          <c:cat>
            <c:strRef>
              <c:f>'[morbiditet žene 2015.xlsx]žene 15+'!$C$45:$H$45</c:f>
              <c:strCache>
                <c:ptCount val="6"/>
                <c:pt idx="0">
                  <c:v>2010.</c:v>
                </c:pt>
                <c:pt idx="1">
                  <c:v>2011.</c:v>
                </c:pt>
                <c:pt idx="2">
                  <c:v>2012.</c:v>
                </c:pt>
                <c:pt idx="3">
                  <c:v>2013.</c:v>
                </c:pt>
                <c:pt idx="4">
                  <c:v>2014.</c:v>
                </c:pt>
                <c:pt idx="5">
                  <c:v>2015.</c:v>
                </c:pt>
              </c:strCache>
            </c:strRef>
          </c:cat>
          <c:val>
            <c:numRef>
              <c:f>'[morbiditet žene 2015.xlsx]žene 15+'!$C$49:$H$49</c:f>
              <c:numCache>
                <c:formatCode>General</c:formatCode>
                <c:ptCount val="6"/>
                <c:pt idx="0" formatCode="0">
                  <c:v>138.19999999999999</c:v>
                </c:pt>
                <c:pt idx="1">
                  <c:v>113</c:v>
                </c:pt>
                <c:pt idx="2">
                  <c:v>119</c:v>
                </c:pt>
                <c:pt idx="3">
                  <c:v>116</c:v>
                </c:pt>
                <c:pt idx="4" formatCode="0">
                  <c:v>103.28304475687763</c:v>
                </c:pt>
                <c:pt idx="5">
                  <c:v>133</c:v>
                </c:pt>
              </c:numCache>
            </c:numRef>
          </c:val>
        </c:ser>
        <c:ser>
          <c:idx val="4"/>
          <c:order val="4"/>
          <c:tx>
            <c:strRef>
              <c:f>'[morbiditet žene 2015.xlsx]žene 15+'!$B$50</c:f>
              <c:strCache>
                <c:ptCount val="1"/>
                <c:pt idx="0">
                  <c:v>Upala vrata materice (N72)</c:v>
                </c:pt>
              </c:strCache>
            </c:strRef>
          </c:tx>
          <c:invertIfNegative val="0"/>
          <c:cat>
            <c:strRef>
              <c:f>'[morbiditet žene 2015.xlsx]žene 15+'!$C$45:$H$45</c:f>
              <c:strCache>
                <c:ptCount val="6"/>
                <c:pt idx="0">
                  <c:v>2010.</c:v>
                </c:pt>
                <c:pt idx="1">
                  <c:v>2011.</c:v>
                </c:pt>
                <c:pt idx="2">
                  <c:v>2012.</c:v>
                </c:pt>
                <c:pt idx="3">
                  <c:v>2013.</c:v>
                </c:pt>
                <c:pt idx="4">
                  <c:v>2014.</c:v>
                </c:pt>
                <c:pt idx="5">
                  <c:v>2015.</c:v>
                </c:pt>
              </c:strCache>
            </c:strRef>
          </c:cat>
          <c:val>
            <c:numRef>
              <c:f>'[morbiditet žene 2015.xlsx]žene 15+'!$C$50:$H$50</c:f>
              <c:numCache>
                <c:formatCode>General</c:formatCode>
                <c:ptCount val="6"/>
                <c:pt idx="0" formatCode="0">
                  <c:v>121.6</c:v>
                </c:pt>
                <c:pt idx="1">
                  <c:v>117</c:v>
                </c:pt>
                <c:pt idx="2">
                  <c:v>123</c:v>
                </c:pt>
                <c:pt idx="3">
                  <c:v>117</c:v>
                </c:pt>
                <c:pt idx="4" formatCode="0">
                  <c:v>133.80122527418888</c:v>
                </c:pt>
                <c:pt idx="5">
                  <c:v>163</c:v>
                </c:pt>
              </c:numCache>
            </c:numRef>
          </c:val>
        </c:ser>
        <c:dLbls>
          <c:showLegendKey val="0"/>
          <c:showVal val="0"/>
          <c:showCatName val="0"/>
          <c:showSerName val="0"/>
          <c:showPercent val="0"/>
          <c:showBubbleSize val="0"/>
        </c:dLbls>
        <c:gapWidth val="150"/>
        <c:shape val="box"/>
        <c:axId val="179683328"/>
        <c:axId val="179684864"/>
        <c:axId val="0"/>
      </c:bar3DChart>
      <c:catAx>
        <c:axId val="179683328"/>
        <c:scaling>
          <c:orientation val="minMax"/>
        </c:scaling>
        <c:delete val="0"/>
        <c:axPos val="b"/>
        <c:numFmt formatCode="General" sourceLinked="0"/>
        <c:majorTickMark val="out"/>
        <c:minorTickMark val="none"/>
        <c:tickLblPos val="nextTo"/>
        <c:crossAx val="179684864"/>
        <c:crosses val="autoZero"/>
        <c:auto val="1"/>
        <c:lblAlgn val="ctr"/>
        <c:lblOffset val="100"/>
        <c:noMultiLvlLbl val="0"/>
      </c:catAx>
      <c:valAx>
        <c:axId val="179684864"/>
        <c:scaling>
          <c:orientation val="minMax"/>
        </c:scaling>
        <c:delete val="0"/>
        <c:axPos val="l"/>
        <c:majorGridlines/>
        <c:numFmt formatCode="0" sourceLinked="1"/>
        <c:majorTickMark val="out"/>
        <c:minorTickMark val="none"/>
        <c:tickLblPos val="nextTo"/>
        <c:crossAx val="179683328"/>
        <c:crosses val="autoZero"/>
        <c:crossBetween val="between"/>
      </c:valAx>
    </c:plotArea>
    <c:legend>
      <c:legendPos val="r"/>
      <c:overlay val="0"/>
    </c:legend>
    <c:plotVisOnly val="1"/>
    <c:dispBlanksAs val="gap"/>
    <c:showDLblsOverMax val="0"/>
  </c:chart>
  <c:externalData r:id="rId2">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bs-Latn-B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'žene 15-49'!$B$41</c:f>
              <c:strCache>
                <c:ptCount val="1"/>
                <c:pt idx="0">
                  <c:v>Druge upale vagine i vulve (N76)</c:v>
                </c:pt>
              </c:strCache>
            </c:strRef>
          </c:tx>
          <c:spPr>
            <a:solidFill>
              <a:schemeClr val="accent1"/>
            </a:solidFill>
            <a:ln>
              <a:noFill/>
            </a:ln>
            <a:effectLst/>
          </c:spPr>
          <c:invertIfNegative val="0"/>
          <c:cat>
            <c:strRef>
              <c:f>'žene 15-49'!$C$40:$H$40</c:f>
              <c:strCache>
                <c:ptCount val="6"/>
                <c:pt idx="0">
                  <c:v>2010.</c:v>
                </c:pt>
                <c:pt idx="1">
                  <c:v>2011.</c:v>
                </c:pt>
                <c:pt idx="2">
                  <c:v>2012.</c:v>
                </c:pt>
                <c:pt idx="3">
                  <c:v>2013.</c:v>
                </c:pt>
                <c:pt idx="4">
                  <c:v>2014.</c:v>
                </c:pt>
                <c:pt idx="5">
                  <c:v>2015.</c:v>
                </c:pt>
              </c:strCache>
            </c:strRef>
          </c:cat>
          <c:val>
            <c:numRef>
              <c:f>'žene 15-49'!$C$41:$H$41</c:f>
              <c:numCache>
                <c:formatCode>General</c:formatCode>
                <c:ptCount val="6"/>
                <c:pt idx="0">
                  <c:v>182</c:v>
                </c:pt>
                <c:pt idx="1">
                  <c:v>209</c:v>
                </c:pt>
                <c:pt idx="2">
                  <c:v>190</c:v>
                </c:pt>
                <c:pt idx="3">
                  <c:v>206</c:v>
                </c:pt>
                <c:pt idx="4" formatCode="0">
                  <c:v>236.5705149602606</c:v>
                </c:pt>
                <c:pt idx="5">
                  <c:v>255</c:v>
                </c:pt>
              </c:numCache>
            </c:numRef>
          </c:val>
        </c:ser>
        <c:ser>
          <c:idx val="1"/>
          <c:order val="1"/>
          <c:tx>
            <c:strRef>
              <c:f>'žene 15-49'!$B$42</c:f>
              <c:strCache>
                <c:ptCount val="1"/>
                <c:pt idx="0">
                  <c:v>Kandidijaza (B37)</c:v>
                </c:pt>
              </c:strCache>
            </c:strRef>
          </c:tx>
          <c:spPr>
            <a:solidFill>
              <a:schemeClr val="accent2"/>
            </a:solidFill>
            <a:ln>
              <a:noFill/>
            </a:ln>
            <a:effectLst/>
          </c:spPr>
          <c:invertIfNegative val="0"/>
          <c:cat>
            <c:strRef>
              <c:f>'žene 15-49'!$C$40:$H$40</c:f>
              <c:strCache>
                <c:ptCount val="6"/>
                <c:pt idx="0">
                  <c:v>2010.</c:v>
                </c:pt>
                <c:pt idx="1">
                  <c:v>2011.</c:v>
                </c:pt>
                <c:pt idx="2">
                  <c:v>2012.</c:v>
                </c:pt>
                <c:pt idx="3">
                  <c:v>2013.</c:v>
                </c:pt>
                <c:pt idx="4">
                  <c:v>2014.</c:v>
                </c:pt>
                <c:pt idx="5">
                  <c:v>2015.</c:v>
                </c:pt>
              </c:strCache>
            </c:strRef>
          </c:cat>
          <c:val>
            <c:numRef>
              <c:f>'žene 15-49'!$C$42:$H$42</c:f>
              <c:numCache>
                <c:formatCode>General</c:formatCode>
                <c:ptCount val="6"/>
                <c:pt idx="0">
                  <c:v>155</c:v>
                </c:pt>
                <c:pt idx="1">
                  <c:v>154</c:v>
                </c:pt>
                <c:pt idx="2">
                  <c:v>122</c:v>
                </c:pt>
                <c:pt idx="3">
                  <c:v>127</c:v>
                </c:pt>
                <c:pt idx="4" formatCode="0">
                  <c:v>128.24792316080118</c:v>
                </c:pt>
                <c:pt idx="5">
                  <c:v>125</c:v>
                </c:pt>
              </c:numCache>
            </c:numRef>
          </c:val>
        </c:ser>
        <c:ser>
          <c:idx val="2"/>
          <c:order val="2"/>
          <c:tx>
            <c:strRef>
              <c:f>'žene 15-49'!$B$43</c:f>
              <c:strCache>
                <c:ptCount val="1"/>
                <c:pt idx="0">
                  <c:v>Cistitis (N30)</c:v>
                </c:pt>
              </c:strCache>
            </c:strRef>
          </c:tx>
          <c:spPr>
            <a:solidFill>
              <a:schemeClr val="accent3"/>
            </a:solidFill>
            <a:ln>
              <a:noFill/>
            </a:ln>
            <a:effectLst/>
          </c:spPr>
          <c:invertIfNegative val="0"/>
          <c:cat>
            <c:strRef>
              <c:f>'žene 15-49'!$C$40:$H$40</c:f>
              <c:strCache>
                <c:ptCount val="6"/>
                <c:pt idx="0">
                  <c:v>2010.</c:v>
                </c:pt>
                <c:pt idx="1">
                  <c:v>2011.</c:v>
                </c:pt>
                <c:pt idx="2">
                  <c:v>2012.</c:v>
                </c:pt>
                <c:pt idx="3">
                  <c:v>2013.</c:v>
                </c:pt>
                <c:pt idx="4">
                  <c:v>2014.</c:v>
                </c:pt>
                <c:pt idx="5">
                  <c:v>2015.</c:v>
                </c:pt>
              </c:strCache>
            </c:strRef>
          </c:cat>
          <c:val>
            <c:numRef>
              <c:f>'žene 15-49'!$C$43:$H$43</c:f>
              <c:numCache>
                <c:formatCode>General</c:formatCode>
                <c:ptCount val="6"/>
                <c:pt idx="0">
                  <c:v>121</c:v>
                </c:pt>
                <c:pt idx="1">
                  <c:v>101</c:v>
                </c:pt>
                <c:pt idx="2">
                  <c:v>107</c:v>
                </c:pt>
                <c:pt idx="3">
                  <c:v>103</c:v>
                </c:pt>
                <c:pt idx="4" formatCode="0">
                  <c:v>82.679854360206861</c:v>
                </c:pt>
                <c:pt idx="5">
                  <c:v>124</c:v>
                </c:pt>
              </c:numCache>
            </c:numRef>
          </c:val>
        </c:ser>
        <c:ser>
          <c:idx val="3"/>
          <c:order val="3"/>
          <c:tx>
            <c:strRef>
              <c:f>'žene 15-49'!$B$44</c:f>
              <c:strCache>
                <c:ptCount val="1"/>
                <c:pt idx="0">
                  <c:v>Upala vrata materice (N72)</c:v>
                </c:pt>
              </c:strCache>
            </c:strRef>
          </c:tx>
          <c:spPr>
            <a:solidFill>
              <a:schemeClr val="accent4"/>
            </a:solidFill>
            <a:ln>
              <a:noFill/>
            </a:ln>
            <a:effectLst/>
          </c:spPr>
          <c:invertIfNegative val="0"/>
          <c:cat>
            <c:strRef>
              <c:f>'žene 15-49'!$C$40:$H$40</c:f>
              <c:strCache>
                <c:ptCount val="6"/>
                <c:pt idx="0">
                  <c:v>2010.</c:v>
                </c:pt>
                <c:pt idx="1">
                  <c:v>2011.</c:v>
                </c:pt>
                <c:pt idx="2">
                  <c:v>2012.</c:v>
                </c:pt>
                <c:pt idx="3">
                  <c:v>2013.</c:v>
                </c:pt>
                <c:pt idx="4">
                  <c:v>2014.</c:v>
                </c:pt>
                <c:pt idx="5">
                  <c:v>2015.</c:v>
                </c:pt>
              </c:strCache>
            </c:strRef>
          </c:cat>
          <c:val>
            <c:numRef>
              <c:f>'žene 15-49'!$C$44:$H$44</c:f>
              <c:numCache>
                <c:formatCode>General</c:formatCode>
                <c:ptCount val="6"/>
                <c:pt idx="0">
                  <c:v>121</c:v>
                </c:pt>
                <c:pt idx="1">
                  <c:v>120</c:v>
                </c:pt>
                <c:pt idx="2">
                  <c:v>123</c:v>
                </c:pt>
                <c:pt idx="3">
                  <c:v>114</c:v>
                </c:pt>
                <c:pt idx="4" formatCode="0">
                  <c:v>127.49473194095665</c:v>
                </c:pt>
                <c:pt idx="5">
                  <c:v>144</c:v>
                </c:pt>
              </c:numCache>
            </c:numRef>
          </c:val>
        </c:ser>
        <c:ser>
          <c:idx val="4"/>
          <c:order val="4"/>
          <c:tx>
            <c:strRef>
              <c:f>'žene 15-49'!$B$45</c:f>
              <c:strCache>
                <c:ptCount val="1"/>
                <c:pt idx="0">
                  <c:v>Trihomonijaza (A59)</c:v>
                </c:pt>
              </c:strCache>
            </c:strRef>
          </c:tx>
          <c:spPr>
            <a:solidFill>
              <a:schemeClr val="accent5"/>
            </a:solidFill>
            <a:ln>
              <a:noFill/>
            </a:ln>
            <a:effectLst/>
          </c:spPr>
          <c:invertIfNegative val="0"/>
          <c:cat>
            <c:strRef>
              <c:f>'žene 15-49'!$C$40:$H$40</c:f>
              <c:strCache>
                <c:ptCount val="6"/>
                <c:pt idx="0">
                  <c:v>2010.</c:v>
                </c:pt>
                <c:pt idx="1">
                  <c:v>2011.</c:v>
                </c:pt>
                <c:pt idx="2">
                  <c:v>2012.</c:v>
                </c:pt>
                <c:pt idx="3">
                  <c:v>2013.</c:v>
                </c:pt>
                <c:pt idx="4">
                  <c:v>2014.</c:v>
                </c:pt>
                <c:pt idx="5">
                  <c:v>2015.</c:v>
                </c:pt>
              </c:strCache>
            </c:strRef>
          </c:cat>
          <c:val>
            <c:numRef>
              <c:f>'žene 15-49'!$C$45:$H$45</c:f>
              <c:numCache>
                <c:formatCode>General</c:formatCode>
                <c:ptCount val="6"/>
                <c:pt idx="1">
                  <c:v>74</c:v>
                </c:pt>
              </c:numCache>
            </c:numRef>
          </c:val>
        </c:ser>
        <c:ser>
          <c:idx val="5"/>
          <c:order val="5"/>
          <c:tx>
            <c:strRef>
              <c:f>'žene 15-49'!$B$46</c:f>
              <c:strCache>
                <c:ptCount val="1"/>
                <c:pt idx="0">
                  <c:v>Anemija zbog nedostatka željeza (D50)</c:v>
                </c:pt>
              </c:strCache>
            </c:strRef>
          </c:tx>
          <c:spPr>
            <a:solidFill>
              <a:schemeClr val="accent6"/>
            </a:solidFill>
            <a:ln>
              <a:noFill/>
            </a:ln>
            <a:effectLst/>
          </c:spPr>
          <c:invertIfNegative val="0"/>
          <c:cat>
            <c:strRef>
              <c:f>'žene 15-49'!$C$40:$H$40</c:f>
              <c:strCache>
                <c:ptCount val="6"/>
                <c:pt idx="0">
                  <c:v>2010.</c:v>
                </c:pt>
                <c:pt idx="1">
                  <c:v>2011.</c:v>
                </c:pt>
                <c:pt idx="2">
                  <c:v>2012.</c:v>
                </c:pt>
                <c:pt idx="3">
                  <c:v>2013.</c:v>
                </c:pt>
                <c:pt idx="4">
                  <c:v>2014.</c:v>
                </c:pt>
                <c:pt idx="5">
                  <c:v>2015.</c:v>
                </c:pt>
              </c:strCache>
            </c:strRef>
          </c:cat>
          <c:val>
            <c:numRef>
              <c:f>'žene 15-49'!$C$46:$H$46</c:f>
              <c:numCache>
                <c:formatCode>General</c:formatCode>
                <c:ptCount val="6"/>
                <c:pt idx="0">
                  <c:v>95</c:v>
                </c:pt>
              </c:numCache>
            </c:numRef>
          </c:val>
        </c:ser>
        <c:ser>
          <c:idx val="6"/>
          <c:order val="6"/>
          <c:tx>
            <c:strRef>
              <c:f>'žene 15-49'!$B$47</c:f>
              <c:strCache>
                <c:ptCount val="1"/>
                <c:pt idx="0">
                  <c:v>Menopauza i drugi menopauzalni poremećaji(N95)</c:v>
                </c:pt>
              </c:strCache>
            </c:strRef>
          </c:tx>
          <c:spPr>
            <a:solidFill>
              <a:schemeClr val="accent1">
                <a:lumMod val="60000"/>
              </a:schemeClr>
            </a:solidFill>
            <a:ln>
              <a:noFill/>
            </a:ln>
            <a:effectLst/>
          </c:spPr>
          <c:invertIfNegative val="0"/>
          <c:cat>
            <c:strRef>
              <c:f>'žene 15-49'!$C$40:$H$40</c:f>
              <c:strCache>
                <c:ptCount val="6"/>
                <c:pt idx="0">
                  <c:v>2010.</c:v>
                </c:pt>
                <c:pt idx="1">
                  <c:v>2011.</c:v>
                </c:pt>
                <c:pt idx="2">
                  <c:v>2012.</c:v>
                </c:pt>
                <c:pt idx="3">
                  <c:v>2013.</c:v>
                </c:pt>
                <c:pt idx="4">
                  <c:v>2014.</c:v>
                </c:pt>
                <c:pt idx="5">
                  <c:v>2015.</c:v>
                </c:pt>
              </c:strCache>
            </c:strRef>
          </c:cat>
          <c:val>
            <c:numRef>
              <c:f>'žene 15-49'!$C$47:$H$47</c:f>
              <c:numCache>
                <c:formatCode>General</c:formatCode>
                <c:ptCount val="6"/>
                <c:pt idx="2">
                  <c:v>99</c:v>
                </c:pt>
                <c:pt idx="3">
                  <c:v>108</c:v>
                </c:pt>
                <c:pt idx="4" formatCode="0">
                  <c:v>113</c:v>
                </c:pt>
                <c:pt idx="5">
                  <c:v>116</c:v>
                </c:pt>
              </c:numCache>
            </c:numRef>
          </c:val>
        </c:ser>
        <c:dLbls>
          <c:showLegendKey val="0"/>
          <c:showVal val="0"/>
          <c:showCatName val="0"/>
          <c:showSerName val="0"/>
          <c:showPercent val="0"/>
          <c:showBubbleSize val="0"/>
        </c:dLbls>
        <c:gapWidth val="219"/>
        <c:overlap val="-27"/>
        <c:axId val="179701632"/>
        <c:axId val="179703168"/>
      </c:barChart>
      <c:catAx>
        <c:axId val="1797016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179703168"/>
        <c:crosses val="autoZero"/>
        <c:auto val="1"/>
        <c:lblAlgn val="ctr"/>
        <c:lblOffset val="100"/>
        <c:noMultiLvlLbl val="0"/>
      </c:catAx>
      <c:valAx>
        <c:axId val="1797031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179701632"/>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sr-Latn-RS"/>
    </a:p>
  </c:txPr>
  <c:externalData r:id="rId1">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bs-Latn-B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'[morbiditet žene 2015.xlsx]50+'!$B$43</c:f>
              <c:strCache>
                <c:ptCount val="1"/>
                <c:pt idx="0">
                  <c:v>Menopauza i drugi menopauz. poremećaji (N95)</c:v>
                </c:pt>
              </c:strCache>
            </c:strRef>
          </c:tx>
          <c:invertIfNegative val="0"/>
          <c:cat>
            <c:strRef>
              <c:f>'[morbiditet žene 2015.xlsx]50+'!$C$42:$H$42</c:f>
              <c:strCache>
                <c:ptCount val="6"/>
                <c:pt idx="0">
                  <c:v>2010.</c:v>
                </c:pt>
                <c:pt idx="1">
                  <c:v>2011.</c:v>
                </c:pt>
                <c:pt idx="2">
                  <c:v>2012.</c:v>
                </c:pt>
                <c:pt idx="3">
                  <c:v>2013.</c:v>
                </c:pt>
                <c:pt idx="4">
                  <c:v>2014.</c:v>
                </c:pt>
                <c:pt idx="5">
                  <c:v>2015.</c:v>
                </c:pt>
              </c:strCache>
            </c:strRef>
          </c:cat>
          <c:val>
            <c:numRef>
              <c:f>'[morbiditet žene 2015.xlsx]50+'!$C$43:$H$43</c:f>
              <c:numCache>
                <c:formatCode>General</c:formatCode>
                <c:ptCount val="6"/>
                <c:pt idx="0" formatCode="0">
                  <c:v>566.5</c:v>
                </c:pt>
                <c:pt idx="1">
                  <c:v>603</c:v>
                </c:pt>
                <c:pt idx="2">
                  <c:v>654</c:v>
                </c:pt>
                <c:pt idx="3">
                  <c:v>622</c:v>
                </c:pt>
                <c:pt idx="4" formatCode="0">
                  <c:v>731.1809550592709</c:v>
                </c:pt>
                <c:pt idx="5">
                  <c:v>745</c:v>
                </c:pt>
              </c:numCache>
            </c:numRef>
          </c:val>
        </c:ser>
        <c:ser>
          <c:idx val="1"/>
          <c:order val="1"/>
          <c:tx>
            <c:strRef>
              <c:f>'[morbiditet žene 2015.xlsx]50+'!$B$44</c:f>
              <c:strCache>
                <c:ptCount val="1"/>
                <c:pt idx="0">
                  <c:v>Cistitis (N30)</c:v>
                </c:pt>
              </c:strCache>
            </c:strRef>
          </c:tx>
          <c:invertIfNegative val="0"/>
          <c:cat>
            <c:strRef>
              <c:f>'[morbiditet žene 2015.xlsx]50+'!$C$42:$H$42</c:f>
              <c:strCache>
                <c:ptCount val="6"/>
                <c:pt idx="0">
                  <c:v>2010.</c:v>
                </c:pt>
                <c:pt idx="1">
                  <c:v>2011.</c:v>
                </c:pt>
                <c:pt idx="2">
                  <c:v>2012.</c:v>
                </c:pt>
                <c:pt idx="3">
                  <c:v>2013.</c:v>
                </c:pt>
                <c:pt idx="4">
                  <c:v>2014.</c:v>
                </c:pt>
                <c:pt idx="5">
                  <c:v>2015.</c:v>
                </c:pt>
              </c:strCache>
            </c:strRef>
          </c:cat>
          <c:val>
            <c:numRef>
              <c:f>'[morbiditet žene 2015.xlsx]50+'!$C$44:$H$44</c:f>
              <c:numCache>
                <c:formatCode>General</c:formatCode>
                <c:ptCount val="6"/>
                <c:pt idx="0" formatCode="0">
                  <c:v>196.2</c:v>
                </c:pt>
                <c:pt idx="1">
                  <c:v>155</c:v>
                </c:pt>
                <c:pt idx="2">
                  <c:v>159</c:v>
                </c:pt>
                <c:pt idx="3">
                  <c:v>162</c:v>
                </c:pt>
                <c:pt idx="4" formatCode="0">
                  <c:v>133.76454261452213</c:v>
                </c:pt>
                <c:pt idx="5">
                  <c:v>171</c:v>
                </c:pt>
              </c:numCache>
            </c:numRef>
          </c:val>
        </c:ser>
        <c:ser>
          <c:idx val="2"/>
          <c:order val="2"/>
          <c:tx>
            <c:strRef>
              <c:f>'[morbiditet žene 2015.xlsx]50+'!$B$45</c:f>
              <c:strCache>
                <c:ptCount val="1"/>
                <c:pt idx="0">
                  <c:v>Kandidijaza (B37)</c:v>
                </c:pt>
              </c:strCache>
            </c:strRef>
          </c:tx>
          <c:invertIfNegative val="0"/>
          <c:cat>
            <c:strRef>
              <c:f>'[morbiditet žene 2015.xlsx]50+'!$C$42:$H$42</c:f>
              <c:strCache>
                <c:ptCount val="6"/>
                <c:pt idx="0">
                  <c:v>2010.</c:v>
                </c:pt>
                <c:pt idx="1">
                  <c:v>2011.</c:v>
                </c:pt>
                <c:pt idx="2">
                  <c:v>2012.</c:v>
                </c:pt>
                <c:pt idx="3">
                  <c:v>2013.</c:v>
                </c:pt>
                <c:pt idx="4">
                  <c:v>2014.</c:v>
                </c:pt>
                <c:pt idx="5">
                  <c:v>2015.</c:v>
                </c:pt>
              </c:strCache>
            </c:strRef>
          </c:cat>
          <c:val>
            <c:numRef>
              <c:f>'[morbiditet žene 2015.xlsx]50+'!$C$45:$H$45</c:f>
              <c:numCache>
                <c:formatCode>General</c:formatCode>
                <c:ptCount val="6"/>
                <c:pt idx="0" formatCode="0">
                  <c:v>174.5</c:v>
                </c:pt>
                <c:pt idx="1">
                  <c:v>152</c:v>
                </c:pt>
                <c:pt idx="2">
                  <c:v>148</c:v>
                </c:pt>
                <c:pt idx="3">
                  <c:v>132</c:v>
                </c:pt>
                <c:pt idx="4" formatCode="0">
                  <c:v>133.76454261452213</c:v>
                </c:pt>
                <c:pt idx="5">
                  <c:v>129</c:v>
                </c:pt>
              </c:numCache>
            </c:numRef>
          </c:val>
        </c:ser>
        <c:ser>
          <c:idx val="3"/>
          <c:order val="3"/>
          <c:tx>
            <c:strRef>
              <c:f>'[morbiditet žene 2015.xlsx]50+'!$B$46</c:f>
              <c:strCache>
                <c:ptCount val="1"/>
                <c:pt idx="0">
                  <c:v>Druge upale vagine i vulve (N76)</c:v>
                </c:pt>
              </c:strCache>
            </c:strRef>
          </c:tx>
          <c:invertIfNegative val="0"/>
          <c:cat>
            <c:strRef>
              <c:f>'[morbiditet žene 2015.xlsx]50+'!$C$42:$H$42</c:f>
              <c:strCache>
                <c:ptCount val="6"/>
                <c:pt idx="0">
                  <c:v>2010.</c:v>
                </c:pt>
                <c:pt idx="1">
                  <c:v>2011.</c:v>
                </c:pt>
                <c:pt idx="2">
                  <c:v>2012.</c:v>
                </c:pt>
                <c:pt idx="3">
                  <c:v>2013.</c:v>
                </c:pt>
                <c:pt idx="4">
                  <c:v>2014.</c:v>
                </c:pt>
                <c:pt idx="5">
                  <c:v>2015.</c:v>
                </c:pt>
              </c:strCache>
            </c:strRef>
          </c:cat>
          <c:val>
            <c:numRef>
              <c:f>'[morbiditet žene 2015.xlsx]50+'!$C$46:$H$46</c:f>
              <c:numCache>
                <c:formatCode>General</c:formatCode>
                <c:ptCount val="6"/>
                <c:pt idx="0" formatCode="0">
                  <c:v>140.9</c:v>
                </c:pt>
                <c:pt idx="1">
                  <c:v>167</c:v>
                </c:pt>
                <c:pt idx="2">
                  <c:v>189</c:v>
                </c:pt>
                <c:pt idx="3">
                  <c:v>199</c:v>
                </c:pt>
                <c:pt idx="4" formatCode="0">
                  <c:v>261.96575187533244</c:v>
                </c:pt>
                <c:pt idx="5">
                  <c:v>298</c:v>
                </c:pt>
              </c:numCache>
            </c:numRef>
          </c:val>
        </c:ser>
        <c:ser>
          <c:idx val="4"/>
          <c:order val="4"/>
          <c:tx>
            <c:strRef>
              <c:f>'[morbiditet žene 2015.xlsx]50+'!$B$47</c:f>
              <c:strCache>
                <c:ptCount val="1"/>
                <c:pt idx="0">
                  <c:v>Upala vrata materice (N72)</c:v>
                </c:pt>
              </c:strCache>
            </c:strRef>
          </c:tx>
          <c:invertIfNegative val="0"/>
          <c:cat>
            <c:strRef>
              <c:f>'[morbiditet žene 2015.xlsx]50+'!$C$42:$H$42</c:f>
              <c:strCache>
                <c:ptCount val="6"/>
                <c:pt idx="0">
                  <c:v>2010.</c:v>
                </c:pt>
                <c:pt idx="1">
                  <c:v>2011.</c:v>
                </c:pt>
                <c:pt idx="2">
                  <c:v>2012.</c:v>
                </c:pt>
                <c:pt idx="3">
                  <c:v>2013.</c:v>
                </c:pt>
                <c:pt idx="4">
                  <c:v>2014.</c:v>
                </c:pt>
                <c:pt idx="5">
                  <c:v>2015.</c:v>
                </c:pt>
              </c:strCache>
            </c:strRef>
          </c:cat>
          <c:val>
            <c:numRef>
              <c:f>'[morbiditet žene 2015.xlsx]50+'!$C$47:$H$47</c:f>
              <c:numCache>
                <c:formatCode>General</c:formatCode>
                <c:ptCount val="6"/>
                <c:pt idx="0" formatCode="0">
                  <c:v>123</c:v>
                </c:pt>
                <c:pt idx="1">
                  <c:v>108</c:v>
                </c:pt>
                <c:pt idx="2">
                  <c:v>420</c:v>
                </c:pt>
                <c:pt idx="3">
                  <c:v>129</c:v>
                </c:pt>
                <c:pt idx="4" formatCode="0">
                  <c:v>156.32355368616686</c:v>
                </c:pt>
                <c:pt idx="5">
                  <c:v>231</c:v>
                </c:pt>
              </c:numCache>
            </c:numRef>
          </c:val>
        </c:ser>
        <c:dLbls>
          <c:showLegendKey val="0"/>
          <c:showVal val="0"/>
          <c:showCatName val="0"/>
          <c:showSerName val="0"/>
          <c:showPercent val="0"/>
          <c:showBubbleSize val="0"/>
        </c:dLbls>
        <c:gapWidth val="150"/>
        <c:shape val="box"/>
        <c:axId val="179427968"/>
        <c:axId val="179429760"/>
        <c:axId val="0"/>
      </c:bar3DChart>
      <c:catAx>
        <c:axId val="179427968"/>
        <c:scaling>
          <c:orientation val="minMax"/>
        </c:scaling>
        <c:delete val="0"/>
        <c:axPos val="b"/>
        <c:numFmt formatCode="General" sourceLinked="0"/>
        <c:majorTickMark val="out"/>
        <c:minorTickMark val="none"/>
        <c:tickLblPos val="nextTo"/>
        <c:crossAx val="179429760"/>
        <c:crosses val="autoZero"/>
        <c:auto val="1"/>
        <c:lblAlgn val="ctr"/>
        <c:lblOffset val="100"/>
        <c:noMultiLvlLbl val="0"/>
      </c:catAx>
      <c:valAx>
        <c:axId val="179429760"/>
        <c:scaling>
          <c:orientation val="minMax"/>
        </c:scaling>
        <c:delete val="0"/>
        <c:axPos val="l"/>
        <c:majorGridlines/>
        <c:numFmt formatCode="0" sourceLinked="1"/>
        <c:majorTickMark val="out"/>
        <c:minorTickMark val="none"/>
        <c:tickLblPos val="nextTo"/>
        <c:crossAx val="179427968"/>
        <c:crosses val="autoZero"/>
        <c:crossBetween val="between"/>
      </c:valAx>
    </c:plotArea>
    <c:legend>
      <c:legendPos val="r"/>
      <c:overlay val="0"/>
    </c:legend>
    <c:plotVisOnly val="1"/>
    <c:dispBlanksAs val="gap"/>
    <c:showDLblsOverMax val="0"/>
  </c:chart>
  <c:externalData r:id="rId2">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bs-Latn-B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'2. Som. morb.'!$D$4:$I$4</c:f>
              <c:strCache>
                <c:ptCount val="6"/>
                <c:pt idx="0">
                  <c:v>2010.</c:v>
                </c:pt>
                <c:pt idx="1">
                  <c:v>2011.</c:v>
                </c:pt>
                <c:pt idx="2">
                  <c:v>2012.</c:v>
                </c:pt>
                <c:pt idx="3">
                  <c:v>2013.</c:v>
                </c:pt>
                <c:pt idx="4">
                  <c:v>2014.</c:v>
                </c:pt>
                <c:pt idx="5">
                  <c:v>2015.</c:v>
                </c:pt>
              </c:strCache>
            </c:strRef>
          </c:cat>
          <c:val>
            <c:numRef>
              <c:f>'2. Som. morb.'!$D$5:$I$5</c:f>
              <c:numCache>
                <c:formatCode>General</c:formatCode>
                <c:ptCount val="6"/>
                <c:pt idx="0">
                  <c:v>3348</c:v>
                </c:pt>
                <c:pt idx="1">
                  <c:v>3198</c:v>
                </c:pt>
                <c:pt idx="2">
                  <c:v>2658</c:v>
                </c:pt>
                <c:pt idx="3">
                  <c:v>3319</c:v>
                </c:pt>
                <c:pt idx="4">
                  <c:v>3287</c:v>
                </c:pt>
                <c:pt idx="5">
                  <c:v>3194</c:v>
                </c:pt>
              </c:numCache>
            </c:numRef>
          </c:val>
        </c:ser>
        <c:dLbls>
          <c:showLegendKey val="0"/>
          <c:showVal val="0"/>
          <c:showCatName val="0"/>
          <c:showSerName val="0"/>
          <c:showPercent val="0"/>
          <c:showBubbleSize val="0"/>
        </c:dLbls>
        <c:gapWidth val="150"/>
        <c:axId val="179450240"/>
        <c:axId val="179451776"/>
      </c:barChart>
      <c:catAx>
        <c:axId val="179450240"/>
        <c:scaling>
          <c:orientation val="minMax"/>
        </c:scaling>
        <c:delete val="0"/>
        <c:axPos val="b"/>
        <c:numFmt formatCode="General" sourceLinked="0"/>
        <c:majorTickMark val="out"/>
        <c:minorTickMark val="none"/>
        <c:tickLblPos val="nextTo"/>
        <c:crossAx val="179451776"/>
        <c:crosses val="autoZero"/>
        <c:auto val="1"/>
        <c:lblAlgn val="ctr"/>
        <c:lblOffset val="100"/>
        <c:noMultiLvlLbl val="0"/>
      </c:catAx>
      <c:valAx>
        <c:axId val="179451776"/>
        <c:scaling>
          <c:orientation val="minMax"/>
        </c:scaling>
        <c:delete val="0"/>
        <c:axPos val="l"/>
        <c:majorGridlines/>
        <c:numFmt formatCode="General" sourceLinked="1"/>
        <c:majorTickMark val="out"/>
        <c:minorTickMark val="none"/>
        <c:tickLblPos val="nextTo"/>
        <c:crossAx val="179450240"/>
        <c:crosses val="autoZero"/>
        <c:crossBetween val="between"/>
      </c:valAx>
    </c:plotArea>
    <c:plotVisOnly val="1"/>
    <c:dispBlanksAs val="gap"/>
    <c:showDLblsOverMax val="0"/>
  </c:chart>
  <c:externalData r:id="rId1">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c:date1904 val="0"/>
  <c:lang val="bs-Latn-B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tx>
            <c:strRef>
              <c:f>'2. Som. morb.'!$C$23</c:f>
              <c:strCache>
                <c:ptCount val="1"/>
                <c:pt idx="0">
                  <c:v>Zubni karijes (K02)</c:v>
                </c:pt>
              </c:strCache>
            </c:strRef>
          </c:tx>
          <c:invertIfNegative val="0"/>
          <c:cat>
            <c:strRef>
              <c:f>'2. Som. morb.'!$D$22:$I$22</c:f>
              <c:strCache>
                <c:ptCount val="6"/>
                <c:pt idx="0">
                  <c:v>2010.</c:v>
                </c:pt>
                <c:pt idx="1">
                  <c:v>2011.</c:v>
                </c:pt>
                <c:pt idx="2">
                  <c:v>2012.</c:v>
                </c:pt>
                <c:pt idx="3">
                  <c:v>2013.</c:v>
                </c:pt>
                <c:pt idx="4">
                  <c:v>2014.</c:v>
                </c:pt>
                <c:pt idx="5">
                  <c:v>2015.</c:v>
                </c:pt>
              </c:strCache>
            </c:strRef>
          </c:cat>
          <c:val>
            <c:numRef>
              <c:f>'2. Som. morb.'!$D$23:$I$23</c:f>
              <c:numCache>
                <c:formatCode>General</c:formatCode>
                <c:ptCount val="6"/>
                <c:pt idx="0" formatCode="0.0">
                  <c:v>39.5</c:v>
                </c:pt>
                <c:pt idx="1">
                  <c:v>42.3</c:v>
                </c:pt>
                <c:pt idx="2" formatCode="0.0">
                  <c:v>41.848695346104684</c:v>
                </c:pt>
                <c:pt idx="3">
                  <c:v>42.3</c:v>
                </c:pt>
                <c:pt idx="4">
                  <c:v>41.9</c:v>
                </c:pt>
                <c:pt idx="5" formatCode="0.0">
                  <c:v>41.861712757496377</c:v>
                </c:pt>
              </c:numCache>
            </c:numRef>
          </c:val>
        </c:ser>
        <c:ser>
          <c:idx val="1"/>
          <c:order val="1"/>
          <c:tx>
            <c:strRef>
              <c:f>'2. Som. morb.'!$C$24</c:f>
              <c:strCache>
                <c:ptCount val="1"/>
                <c:pt idx="0">
                  <c:v>Oboljenje zubne pulpe i periapikalnog tkiva (K04)</c:v>
                </c:pt>
              </c:strCache>
            </c:strRef>
          </c:tx>
          <c:invertIfNegative val="0"/>
          <c:cat>
            <c:strRef>
              <c:f>'2. Som. morb.'!$D$22:$I$22</c:f>
              <c:strCache>
                <c:ptCount val="6"/>
                <c:pt idx="0">
                  <c:v>2010.</c:v>
                </c:pt>
                <c:pt idx="1">
                  <c:v>2011.</c:v>
                </c:pt>
                <c:pt idx="2">
                  <c:v>2012.</c:v>
                </c:pt>
                <c:pt idx="3">
                  <c:v>2013.</c:v>
                </c:pt>
                <c:pt idx="4">
                  <c:v>2014.</c:v>
                </c:pt>
                <c:pt idx="5">
                  <c:v>2015.</c:v>
                </c:pt>
              </c:strCache>
            </c:strRef>
          </c:cat>
          <c:val>
            <c:numRef>
              <c:f>'2. Som. morb.'!$D$24:$I$24</c:f>
              <c:numCache>
                <c:formatCode>General</c:formatCode>
                <c:ptCount val="6"/>
                <c:pt idx="0" formatCode="0.0">
                  <c:v>31.9</c:v>
                </c:pt>
                <c:pt idx="1">
                  <c:v>29.7</c:v>
                </c:pt>
                <c:pt idx="2" formatCode="0.0">
                  <c:v>31</c:v>
                </c:pt>
                <c:pt idx="3">
                  <c:v>31.2</c:v>
                </c:pt>
                <c:pt idx="4">
                  <c:v>30.5</c:v>
                </c:pt>
                <c:pt idx="5" formatCode="0.0">
                  <c:v>28.659201467824943</c:v>
                </c:pt>
              </c:numCache>
            </c:numRef>
          </c:val>
        </c:ser>
        <c:ser>
          <c:idx val="2"/>
          <c:order val="2"/>
          <c:tx>
            <c:strRef>
              <c:f>'2. Som. morb.'!$C$25</c:f>
              <c:strCache>
                <c:ptCount val="1"/>
                <c:pt idx="0">
                  <c:v>Druga oboljenja čvrstog tkiva zuba (K03)</c:v>
                </c:pt>
              </c:strCache>
            </c:strRef>
          </c:tx>
          <c:invertIfNegative val="0"/>
          <c:cat>
            <c:strRef>
              <c:f>'2. Som. morb.'!$D$22:$I$22</c:f>
              <c:strCache>
                <c:ptCount val="6"/>
                <c:pt idx="0">
                  <c:v>2010.</c:v>
                </c:pt>
                <c:pt idx="1">
                  <c:v>2011.</c:v>
                </c:pt>
                <c:pt idx="2">
                  <c:v>2012.</c:v>
                </c:pt>
                <c:pt idx="3">
                  <c:v>2013.</c:v>
                </c:pt>
                <c:pt idx="4">
                  <c:v>2014.</c:v>
                </c:pt>
                <c:pt idx="5">
                  <c:v>2015.</c:v>
                </c:pt>
              </c:strCache>
            </c:strRef>
          </c:cat>
          <c:val>
            <c:numRef>
              <c:f>'2. Som. morb.'!$D$25:$I$25</c:f>
              <c:numCache>
                <c:formatCode>General</c:formatCode>
                <c:ptCount val="6"/>
                <c:pt idx="0" formatCode="0.0">
                  <c:v>5.3</c:v>
                </c:pt>
                <c:pt idx="1">
                  <c:v>6.9</c:v>
                </c:pt>
                <c:pt idx="2" formatCode="0.0">
                  <c:v>4.3</c:v>
                </c:pt>
                <c:pt idx="3">
                  <c:v>4.7</c:v>
                </c:pt>
                <c:pt idx="4">
                  <c:v>4.8</c:v>
                </c:pt>
                <c:pt idx="5" formatCode="0.0">
                  <c:v>8.0694158877564561</c:v>
                </c:pt>
              </c:numCache>
            </c:numRef>
          </c:val>
        </c:ser>
        <c:ser>
          <c:idx val="3"/>
          <c:order val="3"/>
          <c:tx>
            <c:strRef>
              <c:f>'2. Som. morb.'!$C$26</c:f>
              <c:strCache>
                <c:ptCount val="1"/>
                <c:pt idx="0">
                  <c:v>Gingivitis i periodentalna oboljenja (K05)</c:v>
                </c:pt>
              </c:strCache>
            </c:strRef>
          </c:tx>
          <c:spPr>
            <a:solidFill>
              <a:schemeClr val="accent6"/>
            </a:solidFill>
          </c:spPr>
          <c:invertIfNegative val="0"/>
          <c:cat>
            <c:strRef>
              <c:f>'2. Som. morb.'!$D$22:$I$22</c:f>
              <c:strCache>
                <c:ptCount val="6"/>
                <c:pt idx="0">
                  <c:v>2010.</c:v>
                </c:pt>
                <c:pt idx="1">
                  <c:v>2011.</c:v>
                </c:pt>
                <c:pt idx="2">
                  <c:v>2012.</c:v>
                </c:pt>
                <c:pt idx="3">
                  <c:v>2013.</c:v>
                </c:pt>
                <c:pt idx="4">
                  <c:v>2014.</c:v>
                </c:pt>
                <c:pt idx="5">
                  <c:v>2015.</c:v>
                </c:pt>
              </c:strCache>
            </c:strRef>
          </c:cat>
          <c:val>
            <c:numRef>
              <c:f>'2. Som. morb.'!$D$26:$I$26</c:f>
              <c:numCache>
                <c:formatCode>General</c:formatCode>
                <c:ptCount val="6"/>
                <c:pt idx="0" formatCode="0.0">
                  <c:v>7</c:v>
                </c:pt>
                <c:pt idx="1">
                  <c:v>4.9000000000000004</c:v>
                </c:pt>
                <c:pt idx="2" formatCode="0.0">
                  <c:v>6.7</c:v>
                </c:pt>
                <c:pt idx="3" formatCode="0.0">
                  <c:v>7.5267264727759295</c:v>
                </c:pt>
                <c:pt idx="4">
                  <c:v>7.5</c:v>
                </c:pt>
                <c:pt idx="5">
                  <c:v>4.4000000000000004</c:v>
                </c:pt>
              </c:numCache>
            </c:numRef>
          </c:val>
        </c:ser>
        <c:ser>
          <c:idx val="4"/>
          <c:order val="4"/>
          <c:tx>
            <c:strRef>
              <c:f>'2. Som. morb.'!$C$27</c:f>
              <c:strCache>
                <c:ptCount val="1"/>
                <c:pt idx="0">
                  <c:v>Dentofacijalne anomalije/uključujući maloccl./ (K07)</c:v>
                </c:pt>
              </c:strCache>
            </c:strRef>
          </c:tx>
          <c:spPr>
            <a:solidFill>
              <a:schemeClr val="bg1">
                <a:lumMod val="50000"/>
              </a:schemeClr>
            </a:solidFill>
          </c:spPr>
          <c:invertIfNegative val="0"/>
          <c:cat>
            <c:strRef>
              <c:f>'2. Som. morb.'!$D$22:$I$22</c:f>
              <c:strCache>
                <c:ptCount val="6"/>
                <c:pt idx="0">
                  <c:v>2010.</c:v>
                </c:pt>
                <c:pt idx="1">
                  <c:v>2011.</c:v>
                </c:pt>
                <c:pt idx="2">
                  <c:v>2012.</c:v>
                </c:pt>
                <c:pt idx="3">
                  <c:v>2013.</c:v>
                </c:pt>
                <c:pt idx="4">
                  <c:v>2014.</c:v>
                </c:pt>
                <c:pt idx="5">
                  <c:v>2015.</c:v>
                </c:pt>
              </c:strCache>
            </c:strRef>
          </c:cat>
          <c:val>
            <c:numRef>
              <c:f>'2. Som. morb.'!$D$27:$I$27</c:f>
              <c:numCache>
                <c:formatCode>General</c:formatCode>
                <c:ptCount val="6"/>
                <c:pt idx="0" formatCode="0.0">
                  <c:v>5.3</c:v>
                </c:pt>
                <c:pt idx="1">
                  <c:v>5.8</c:v>
                </c:pt>
                <c:pt idx="2" formatCode="0.0">
                  <c:v>5.5</c:v>
                </c:pt>
                <c:pt idx="3" formatCode="0.0">
                  <c:v>2.6941109588528986</c:v>
                </c:pt>
                <c:pt idx="4">
                  <c:v>6.5</c:v>
                </c:pt>
                <c:pt idx="5">
                  <c:v>6.7</c:v>
                </c:pt>
              </c:numCache>
            </c:numRef>
          </c:val>
        </c:ser>
        <c:dLbls>
          <c:showLegendKey val="0"/>
          <c:showVal val="0"/>
          <c:showCatName val="0"/>
          <c:showSerName val="0"/>
          <c:showPercent val="0"/>
          <c:showBubbleSize val="0"/>
        </c:dLbls>
        <c:gapWidth val="150"/>
        <c:axId val="179503488"/>
        <c:axId val="179505024"/>
      </c:barChart>
      <c:catAx>
        <c:axId val="179503488"/>
        <c:scaling>
          <c:orientation val="minMax"/>
        </c:scaling>
        <c:delete val="0"/>
        <c:axPos val="l"/>
        <c:numFmt formatCode="General" sourceLinked="0"/>
        <c:majorTickMark val="out"/>
        <c:minorTickMark val="none"/>
        <c:tickLblPos val="nextTo"/>
        <c:crossAx val="179505024"/>
        <c:crosses val="autoZero"/>
        <c:auto val="1"/>
        <c:lblAlgn val="ctr"/>
        <c:lblOffset val="100"/>
        <c:noMultiLvlLbl val="0"/>
      </c:catAx>
      <c:valAx>
        <c:axId val="179505024"/>
        <c:scaling>
          <c:orientation val="minMax"/>
        </c:scaling>
        <c:delete val="0"/>
        <c:axPos val="b"/>
        <c:majorGridlines/>
        <c:numFmt formatCode="0.0" sourceLinked="1"/>
        <c:majorTickMark val="out"/>
        <c:minorTickMark val="none"/>
        <c:tickLblPos val="nextTo"/>
        <c:crossAx val="179503488"/>
        <c:crosses val="autoZero"/>
        <c:crossBetween val="between"/>
      </c:valAx>
    </c:plotArea>
    <c:legend>
      <c:legendPos val="r"/>
      <c:layout>
        <c:manualLayout>
          <c:xMode val="edge"/>
          <c:yMode val="edge"/>
          <c:x val="0.64739065931109407"/>
          <c:y val="3.230265941527951E-2"/>
          <c:w val="0.33525387914210042"/>
          <c:h val="0.93596227077119942"/>
        </c:manualLayout>
      </c:layout>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bs-Latn-B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'opšti mort. stopa na 100000'!$C$66</c:f>
              <c:strCache>
                <c:ptCount val="1"/>
                <c:pt idx="0">
                  <c:v>Standardizirana stopa mortaliteta </c:v>
                </c:pt>
              </c:strCache>
            </c:strRef>
          </c:tx>
          <c:marker>
            <c:symbol val="none"/>
          </c:marker>
          <c:dLbls>
            <c:dLbl>
              <c:idx val="0"/>
              <c:layout>
                <c:manualLayout>
                  <c:x val="0"/>
                  <c:y val="5.4380664652567974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0"/>
                  <c:y val="6.0422960725075532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4.135135118427606E-17"/>
                  <c:y val="5.4380664652567974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6.7666629074095786E-3"/>
                  <c:y val="6.0422960725075532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8.2702702368552119E-17"/>
                  <c:y val="3.6253776435045321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100" baseline="0"/>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'opšti mort. stopa na 100000'!$B$67:$B$72</c:f>
              <c:strCache>
                <c:ptCount val="6"/>
                <c:pt idx="0">
                  <c:v>2010.</c:v>
                </c:pt>
                <c:pt idx="1">
                  <c:v>2011.</c:v>
                </c:pt>
                <c:pt idx="2">
                  <c:v>2012.</c:v>
                </c:pt>
                <c:pt idx="3">
                  <c:v>2013.</c:v>
                </c:pt>
                <c:pt idx="4">
                  <c:v>2014.</c:v>
                </c:pt>
                <c:pt idx="5">
                  <c:v>2015.</c:v>
                </c:pt>
              </c:strCache>
            </c:strRef>
          </c:cat>
          <c:val>
            <c:numRef>
              <c:f>'opšti mort. stopa na 100000'!$C$67:$C$72</c:f>
              <c:numCache>
                <c:formatCode>General</c:formatCode>
                <c:ptCount val="6"/>
                <c:pt idx="0">
                  <c:v>734.2</c:v>
                </c:pt>
                <c:pt idx="1">
                  <c:v>723.2</c:v>
                </c:pt>
                <c:pt idx="2">
                  <c:v>736.1</c:v>
                </c:pt>
                <c:pt idx="3">
                  <c:v>730.7</c:v>
                </c:pt>
                <c:pt idx="4">
                  <c:v>712.2</c:v>
                </c:pt>
                <c:pt idx="5">
                  <c:v>762.2</c:v>
                </c:pt>
              </c:numCache>
            </c:numRef>
          </c:val>
          <c:smooth val="0"/>
        </c:ser>
        <c:ser>
          <c:idx val="1"/>
          <c:order val="1"/>
          <c:tx>
            <c:strRef>
              <c:f>'opšti mort. stopa na 100000'!$D$66</c:f>
              <c:strCache>
                <c:ptCount val="1"/>
                <c:pt idx="0">
                  <c:v>Opšta stopa mortaliteta </c:v>
                </c:pt>
              </c:strCache>
            </c:strRef>
          </c:tx>
          <c:marker>
            <c:symbol val="none"/>
          </c:marker>
          <c:dLbls>
            <c:dLbl>
              <c:idx val="0"/>
              <c:layout>
                <c:manualLayout>
                  <c:x val="0"/>
                  <c:y val="-3.6253776435045321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0"/>
                  <c:y val="-5.4380664652567988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4.135135118427606E-17"/>
                  <c:y val="-6.0422960725075532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8.2702702368552119E-17"/>
                  <c:y val="-4.2296072507552886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2.2555543024699145E-3"/>
                  <c:y val="-5.4380664652567974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100" baseline="0"/>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'opšti mort. stopa na 100000'!$B$67:$B$72</c:f>
              <c:strCache>
                <c:ptCount val="6"/>
                <c:pt idx="0">
                  <c:v>2010.</c:v>
                </c:pt>
                <c:pt idx="1">
                  <c:v>2011.</c:v>
                </c:pt>
                <c:pt idx="2">
                  <c:v>2012.</c:v>
                </c:pt>
                <c:pt idx="3">
                  <c:v>2013.</c:v>
                </c:pt>
                <c:pt idx="4">
                  <c:v>2014.</c:v>
                </c:pt>
                <c:pt idx="5">
                  <c:v>2015.</c:v>
                </c:pt>
              </c:strCache>
            </c:strRef>
          </c:cat>
          <c:val>
            <c:numRef>
              <c:f>'opšti mort. stopa na 100000'!$D$67:$D$72</c:f>
              <c:numCache>
                <c:formatCode>General</c:formatCode>
                <c:ptCount val="6"/>
                <c:pt idx="0">
                  <c:v>876.2</c:v>
                </c:pt>
                <c:pt idx="1">
                  <c:v>864.2</c:v>
                </c:pt>
                <c:pt idx="2">
                  <c:v>892.1</c:v>
                </c:pt>
                <c:pt idx="3">
                  <c:v>875.6</c:v>
                </c:pt>
                <c:pt idx="4">
                  <c:v>867.8</c:v>
                </c:pt>
                <c:pt idx="5">
                  <c:v>929.7</c:v>
                </c:pt>
              </c:numCache>
            </c:numRef>
          </c:val>
          <c:smooth val="0"/>
        </c:ser>
        <c:dLbls>
          <c:showLegendKey val="0"/>
          <c:showVal val="0"/>
          <c:showCatName val="0"/>
          <c:showSerName val="0"/>
          <c:showPercent val="0"/>
          <c:showBubbleSize val="0"/>
        </c:dLbls>
        <c:marker val="1"/>
        <c:smooth val="0"/>
        <c:axId val="37440896"/>
        <c:axId val="37442688"/>
      </c:lineChart>
      <c:catAx>
        <c:axId val="37440896"/>
        <c:scaling>
          <c:orientation val="minMax"/>
        </c:scaling>
        <c:delete val="0"/>
        <c:axPos val="b"/>
        <c:numFmt formatCode="General" sourceLinked="0"/>
        <c:majorTickMark val="out"/>
        <c:minorTickMark val="none"/>
        <c:tickLblPos val="nextTo"/>
        <c:crossAx val="37442688"/>
        <c:crosses val="autoZero"/>
        <c:auto val="1"/>
        <c:lblAlgn val="ctr"/>
        <c:lblOffset val="100"/>
        <c:noMultiLvlLbl val="0"/>
      </c:catAx>
      <c:valAx>
        <c:axId val="37442688"/>
        <c:scaling>
          <c:orientation val="minMax"/>
        </c:scaling>
        <c:delete val="1"/>
        <c:axPos val="l"/>
        <c:numFmt formatCode="General" sourceLinked="1"/>
        <c:majorTickMark val="out"/>
        <c:minorTickMark val="none"/>
        <c:tickLblPos val="nextTo"/>
        <c:crossAx val="37440896"/>
        <c:crosses val="autoZero"/>
        <c:crossBetween val="between"/>
      </c:valAx>
    </c:plotArea>
    <c:legend>
      <c:legendPos val="r"/>
      <c:overlay val="0"/>
    </c:legend>
    <c:plotVisOnly val="1"/>
    <c:dispBlanksAs val="gap"/>
    <c:showDLblsOverMax val="0"/>
  </c:chart>
  <c:externalData r:id="rId1">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c:date1904 val="0"/>
  <c:lang val="bs-Latn-B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tx>
            <c:strRef>
              <c:f>'2. Som. morb.'!$C$42</c:f>
              <c:strCache>
                <c:ptCount val="1"/>
                <c:pt idx="0">
                  <c:v>Zubni karijes (K02)</c:v>
                </c:pt>
              </c:strCache>
            </c:strRef>
          </c:tx>
          <c:invertIfNegative val="0"/>
          <c:cat>
            <c:strRef>
              <c:f>'2. Som. morb.'!$D$41:$I$41</c:f>
              <c:strCache>
                <c:ptCount val="6"/>
                <c:pt idx="0">
                  <c:v>2010</c:v>
                </c:pt>
                <c:pt idx="1">
                  <c:v>2011</c:v>
                </c:pt>
                <c:pt idx="2">
                  <c:v>2012</c:v>
                </c:pt>
                <c:pt idx="3">
                  <c:v>2013</c:v>
                </c:pt>
                <c:pt idx="4">
                  <c:v>2014.</c:v>
                </c:pt>
                <c:pt idx="5">
                  <c:v>2015.</c:v>
                </c:pt>
              </c:strCache>
            </c:strRef>
          </c:cat>
          <c:val>
            <c:numRef>
              <c:f>'2. Som. morb.'!$D$42:$I$42</c:f>
              <c:numCache>
                <c:formatCode>General</c:formatCode>
                <c:ptCount val="6"/>
                <c:pt idx="0">
                  <c:v>47.6</c:v>
                </c:pt>
                <c:pt idx="1">
                  <c:v>53.9</c:v>
                </c:pt>
                <c:pt idx="2">
                  <c:v>50.7</c:v>
                </c:pt>
                <c:pt idx="3">
                  <c:v>54.5</c:v>
                </c:pt>
                <c:pt idx="4" formatCode="0.0">
                  <c:v>51.5</c:v>
                </c:pt>
                <c:pt idx="5">
                  <c:v>50.5</c:v>
                </c:pt>
              </c:numCache>
            </c:numRef>
          </c:val>
        </c:ser>
        <c:ser>
          <c:idx val="1"/>
          <c:order val="1"/>
          <c:tx>
            <c:strRef>
              <c:f>'2. Som. morb.'!$C$43</c:f>
              <c:strCache>
                <c:ptCount val="1"/>
                <c:pt idx="0">
                  <c:v>Oboljenja zubne pulpe i periapik. tkiva (K04)</c:v>
                </c:pt>
              </c:strCache>
            </c:strRef>
          </c:tx>
          <c:invertIfNegative val="0"/>
          <c:cat>
            <c:strRef>
              <c:f>'2. Som. morb.'!$D$41:$I$41</c:f>
              <c:strCache>
                <c:ptCount val="6"/>
                <c:pt idx="0">
                  <c:v>2010</c:v>
                </c:pt>
                <c:pt idx="1">
                  <c:v>2011</c:v>
                </c:pt>
                <c:pt idx="2">
                  <c:v>2012</c:v>
                </c:pt>
                <c:pt idx="3">
                  <c:v>2013</c:v>
                </c:pt>
                <c:pt idx="4">
                  <c:v>2014.</c:v>
                </c:pt>
                <c:pt idx="5">
                  <c:v>2015.</c:v>
                </c:pt>
              </c:strCache>
            </c:strRef>
          </c:cat>
          <c:val>
            <c:numRef>
              <c:f>'2. Som. morb.'!$D$43:$I$43</c:f>
              <c:numCache>
                <c:formatCode>General</c:formatCode>
                <c:ptCount val="6"/>
                <c:pt idx="0">
                  <c:v>21.6</c:v>
                </c:pt>
                <c:pt idx="1">
                  <c:v>22.8</c:v>
                </c:pt>
                <c:pt idx="2">
                  <c:v>24.7</c:v>
                </c:pt>
                <c:pt idx="3">
                  <c:v>25.6</c:v>
                </c:pt>
                <c:pt idx="4" formatCode="0.0">
                  <c:v>27.1</c:v>
                </c:pt>
                <c:pt idx="5">
                  <c:v>26.5</c:v>
                </c:pt>
              </c:numCache>
            </c:numRef>
          </c:val>
        </c:ser>
        <c:ser>
          <c:idx val="2"/>
          <c:order val="2"/>
          <c:tx>
            <c:strRef>
              <c:f>'2. Som. morb.'!$C$44</c:f>
              <c:strCache>
                <c:ptCount val="1"/>
                <c:pt idx="0">
                  <c:v>Druga oboljenja čvrst. tkiva zuba(K03)</c:v>
                </c:pt>
              </c:strCache>
            </c:strRef>
          </c:tx>
          <c:invertIfNegative val="0"/>
          <c:cat>
            <c:strRef>
              <c:f>'2. Som. morb.'!$D$41:$I$41</c:f>
              <c:strCache>
                <c:ptCount val="6"/>
                <c:pt idx="0">
                  <c:v>2010</c:v>
                </c:pt>
                <c:pt idx="1">
                  <c:v>2011</c:v>
                </c:pt>
                <c:pt idx="2">
                  <c:v>2012</c:v>
                </c:pt>
                <c:pt idx="3">
                  <c:v>2013</c:v>
                </c:pt>
                <c:pt idx="4">
                  <c:v>2014.</c:v>
                </c:pt>
                <c:pt idx="5">
                  <c:v>2015.</c:v>
                </c:pt>
              </c:strCache>
            </c:strRef>
          </c:cat>
          <c:val>
            <c:numRef>
              <c:f>'2. Som. morb.'!$D$44:$I$44</c:f>
              <c:numCache>
                <c:formatCode>General</c:formatCode>
                <c:ptCount val="6"/>
                <c:pt idx="0">
                  <c:v>4.5</c:v>
                </c:pt>
                <c:pt idx="1">
                  <c:v>4.5999999999999996</c:v>
                </c:pt>
                <c:pt idx="2">
                  <c:v>4.0999999999999996</c:v>
                </c:pt>
                <c:pt idx="3">
                  <c:v>4.7</c:v>
                </c:pt>
                <c:pt idx="4" formatCode="0.0">
                  <c:v>5</c:v>
                </c:pt>
                <c:pt idx="5">
                  <c:v>5.6</c:v>
                </c:pt>
              </c:numCache>
            </c:numRef>
          </c:val>
        </c:ser>
        <c:ser>
          <c:idx val="3"/>
          <c:order val="3"/>
          <c:tx>
            <c:strRef>
              <c:f>'2. Som. morb.'!$C$45</c:f>
              <c:strCache>
                <c:ptCount val="1"/>
                <c:pt idx="0">
                  <c:v>Gingivitis i periodont. oboljenja (K05)</c:v>
                </c:pt>
              </c:strCache>
            </c:strRef>
          </c:tx>
          <c:spPr>
            <a:solidFill>
              <a:schemeClr val="accent6"/>
            </a:solidFill>
          </c:spPr>
          <c:invertIfNegative val="0"/>
          <c:cat>
            <c:strRef>
              <c:f>'2. Som. morb.'!$D$41:$I$41</c:f>
              <c:strCache>
                <c:ptCount val="6"/>
                <c:pt idx="0">
                  <c:v>2010</c:v>
                </c:pt>
                <c:pt idx="1">
                  <c:v>2011</c:v>
                </c:pt>
                <c:pt idx="2">
                  <c:v>2012</c:v>
                </c:pt>
                <c:pt idx="3">
                  <c:v>2013</c:v>
                </c:pt>
                <c:pt idx="4">
                  <c:v>2014.</c:v>
                </c:pt>
                <c:pt idx="5">
                  <c:v>2015.</c:v>
                </c:pt>
              </c:strCache>
            </c:strRef>
          </c:cat>
          <c:val>
            <c:numRef>
              <c:f>'2. Som. morb.'!$D$45:$I$45</c:f>
              <c:numCache>
                <c:formatCode>General</c:formatCode>
                <c:ptCount val="6"/>
                <c:pt idx="0">
                  <c:v>4.4000000000000004</c:v>
                </c:pt>
                <c:pt idx="1">
                  <c:v>4.3</c:v>
                </c:pt>
                <c:pt idx="2">
                  <c:v>3.7</c:v>
                </c:pt>
                <c:pt idx="3">
                  <c:v>4.5999999999999996</c:v>
                </c:pt>
                <c:pt idx="4" formatCode="0.0">
                  <c:v>4.4000000000000004</c:v>
                </c:pt>
                <c:pt idx="5">
                  <c:v>5.3</c:v>
                </c:pt>
              </c:numCache>
            </c:numRef>
          </c:val>
        </c:ser>
        <c:ser>
          <c:idx val="4"/>
          <c:order val="4"/>
          <c:tx>
            <c:strRef>
              <c:f>'2. Som. morb.'!$C$46</c:f>
              <c:strCache>
                <c:ptCount val="1"/>
                <c:pt idx="0">
                  <c:v>Poremećaji razvoja i rasta zuba  (K00)</c:v>
                </c:pt>
              </c:strCache>
            </c:strRef>
          </c:tx>
          <c:spPr>
            <a:solidFill>
              <a:schemeClr val="accent2">
                <a:lumMod val="50000"/>
              </a:schemeClr>
            </a:solidFill>
          </c:spPr>
          <c:invertIfNegative val="0"/>
          <c:cat>
            <c:strRef>
              <c:f>'2. Som. morb.'!$D$41:$I$41</c:f>
              <c:strCache>
                <c:ptCount val="6"/>
                <c:pt idx="0">
                  <c:v>2010</c:v>
                </c:pt>
                <c:pt idx="1">
                  <c:v>2011</c:v>
                </c:pt>
                <c:pt idx="2">
                  <c:v>2012</c:v>
                </c:pt>
                <c:pt idx="3">
                  <c:v>2013</c:v>
                </c:pt>
                <c:pt idx="4">
                  <c:v>2014.</c:v>
                </c:pt>
                <c:pt idx="5">
                  <c:v>2015.</c:v>
                </c:pt>
              </c:strCache>
            </c:strRef>
          </c:cat>
          <c:val>
            <c:numRef>
              <c:f>'2. Som. morb.'!$D$46:$I$46</c:f>
              <c:numCache>
                <c:formatCode>General</c:formatCode>
                <c:ptCount val="6"/>
                <c:pt idx="1">
                  <c:v>3.6</c:v>
                </c:pt>
                <c:pt idx="2">
                  <c:v>6.5</c:v>
                </c:pt>
                <c:pt idx="3" formatCode="0.0">
                  <c:v>5</c:v>
                </c:pt>
                <c:pt idx="4" formatCode="0.0">
                  <c:v>4.4000000000000004</c:v>
                </c:pt>
                <c:pt idx="5">
                  <c:v>4.0999999999999996</c:v>
                </c:pt>
              </c:numCache>
            </c:numRef>
          </c:val>
        </c:ser>
        <c:ser>
          <c:idx val="5"/>
          <c:order val="5"/>
          <c:tx>
            <c:strRef>
              <c:f>'2. Som. morb.'!$C$47</c:f>
              <c:strCache>
                <c:ptCount val="1"/>
                <c:pt idx="0">
                  <c:v>Dentofacijalne anomalije (K07)</c:v>
                </c:pt>
              </c:strCache>
            </c:strRef>
          </c:tx>
          <c:spPr>
            <a:solidFill>
              <a:schemeClr val="bg1">
                <a:lumMod val="50000"/>
              </a:schemeClr>
            </a:solidFill>
          </c:spPr>
          <c:invertIfNegative val="0"/>
          <c:cat>
            <c:strRef>
              <c:f>'2. Som. morb.'!$D$41:$I$41</c:f>
              <c:strCache>
                <c:ptCount val="6"/>
                <c:pt idx="0">
                  <c:v>2010</c:v>
                </c:pt>
                <c:pt idx="1">
                  <c:v>2011</c:v>
                </c:pt>
                <c:pt idx="2">
                  <c:v>2012</c:v>
                </c:pt>
                <c:pt idx="3">
                  <c:v>2013</c:v>
                </c:pt>
                <c:pt idx="4">
                  <c:v>2014.</c:v>
                </c:pt>
                <c:pt idx="5">
                  <c:v>2015.</c:v>
                </c:pt>
              </c:strCache>
            </c:strRef>
          </c:cat>
          <c:val>
            <c:numRef>
              <c:f>'2. Som. morb.'!$D$47:$I$47</c:f>
              <c:numCache>
                <c:formatCode>General</c:formatCode>
                <c:ptCount val="6"/>
                <c:pt idx="0">
                  <c:v>9.4</c:v>
                </c:pt>
              </c:numCache>
            </c:numRef>
          </c:val>
        </c:ser>
        <c:dLbls>
          <c:showLegendKey val="0"/>
          <c:showVal val="0"/>
          <c:showCatName val="0"/>
          <c:showSerName val="0"/>
          <c:showPercent val="0"/>
          <c:showBubbleSize val="0"/>
        </c:dLbls>
        <c:gapWidth val="150"/>
        <c:axId val="179525120"/>
        <c:axId val="179526656"/>
      </c:barChart>
      <c:catAx>
        <c:axId val="179525120"/>
        <c:scaling>
          <c:orientation val="minMax"/>
        </c:scaling>
        <c:delete val="0"/>
        <c:axPos val="l"/>
        <c:numFmt formatCode="General" sourceLinked="0"/>
        <c:majorTickMark val="out"/>
        <c:minorTickMark val="none"/>
        <c:tickLblPos val="nextTo"/>
        <c:crossAx val="179526656"/>
        <c:crosses val="autoZero"/>
        <c:auto val="1"/>
        <c:lblAlgn val="ctr"/>
        <c:lblOffset val="100"/>
        <c:noMultiLvlLbl val="0"/>
      </c:catAx>
      <c:valAx>
        <c:axId val="179526656"/>
        <c:scaling>
          <c:orientation val="minMax"/>
        </c:scaling>
        <c:delete val="0"/>
        <c:axPos val="b"/>
        <c:majorGridlines/>
        <c:numFmt formatCode="General" sourceLinked="1"/>
        <c:majorTickMark val="out"/>
        <c:minorTickMark val="none"/>
        <c:tickLblPos val="nextTo"/>
        <c:crossAx val="179525120"/>
        <c:crosses val="autoZero"/>
        <c:crossBetween val="between"/>
      </c:valAx>
    </c:plotArea>
    <c:legend>
      <c:legendPos val="r"/>
      <c:overlay val="0"/>
      <c:txPr>
        <a:bodyPr/>
        <a:lstStyle/>
        <a:p>
          <a:pPr>
            <a:defRPr sz="900"/>
          </a:pPr>
          <a:endParaRPr lang="sr-Latn-RS"/>
        </a:p>
      </c:txPr>
    </c:legend>
    <c:plotVisOnly val="1"/>
    <c:dispBlanksAs val="gap"/>
    <c:showDLblsOverMax val="0"/>
  </c:chart>
  <c:externalData r:id="rId1">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c:date1904 val="0"/>
  <c:lang val="bs-Latn-B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tx>
            <c:strRef>
              <c:f>'2. Som. morb.'!$C$56</c:f>
              <c:strCache>
                <c:ptCount val="1"/>
                <c:pt idx="0">
                  <c:v>Zubni karijes (K02)</c:v>
                </c:pt>
              </c:strCache>
            </c:strRef>
          </c:tx>
          <c:invertIfNegative val="0"/>
          <c:cat>
            <c:strRef>
              <c:f>'2. Som. morb.'!$D$55:$I$55</c:f>
              <c:strCache>
                <c:ptCount val="6"/>
                <c:pt idx="0">
                  <c:v>2010</c:v>
                </c:pt>
                <c:pt idx="1">
                  <c:v>2011</c:v>
                </c:pt>
                <c:pt idx="2">
                  <c:v>2012</c:v>
                </c:pt>
                <c:pt idx="3">
                  <c:v>2013</c:v>
                </c:pt>
                <c:pt idx="4">
                  <c:v>2014.</c:v>
                </c:pt>
                <c:pt idx="5">
                  <c:v>2015.</c:v>
                </c:pt>
              </c:strCache>
            </c:strRef>
          </c:cat>
          <c:val>
            <c:numRef>
              <c:f>'2. Som. morb.'!$D$56:$I$56</c:f>
              <c:numCache>
                <c:formatCode>General</c:formatCode>
                <c:ptCount val="6"/>
                <c:pt idx="0" formatCode="0.0">
                  <c:v>42.8</c:v>
                </c:pt>
                <c:pt idx="1">
                  <c:v>43.6</c:v>
                </c:pt>
                <c:pt idx="2">
                  <c:v>42.9</c:v>
                </c:pt>
                <c:pt idx="3">
                  <c:v>43.9</c:v>
                </c:pt>
                <c:pt idx="4">
                  <c:v>43.2</c:v>
                </c:pt>
                <c:pt idx="5" formatCode="0.0">
                  <c:v>43.185983660029201</c:v>
                </c:pt>
              </c:numCache>
            </c:numRef>
          </c:val>
        </c:ser>
        <c:ser>
          <c:idx val="1"/>
          <c:order val="1"/>
          <c:tx>
            <c:strRef>
              <c:f>'2. Som. morb.'!$C$57</c:f>
              <c:strCache>
                <c:ptCount val="1"/>
                <c:pt idx="0">
                  <c:v>Oboljenja zubne pulpe i periapik. tkiva (K04)</c:v>
                </c:pt>
              </c:strCache>
            </c:strRef>
          </c:tx>
          <c:invertIfNegative val="0"/>
          <c:cat>
            <c:strRef>
              <c:f>'2. Som. morb.'!$D$55:$I$55</c:f>
              <c:strCache>
                <c:ptCount val="6"/>
                <c:pt idx="0">
                  <c:v>2010</c:v>
                </c:pt>
                <c:pt idx="1">
                  <c:v>2011</c:v>
                </c:pt>
                <c:pt idx="2">
                  <c:v>2012</c:v>
                </c:pt>
                <c:pt idx="3">
                  <c:v>2013</c:v>
                </c:pt>
                <c:pt idx="4">
                  <c:v>2014.</c:v>
                </c:pt>
                <c:pt idx="5">
                  <c:v>2015.</c:v>
                </c:pt>
              </c:strCache>
            </c:strRef>
          </c:cat>
          <c:val>
            <c:numRef>
              <c:f>'2. Som. morb.'!$D$57:$I$57</c:f>
              <c:numCache>
                <c:formatCode>General</c:formatCode>
                <c:ptCount val="6"/>
                <c:pt idx="0" formatCode="0.0">
                  <c:v>25</c:v>
                </c:pt>
                <c:pt idx="1">
                  <c:v>23.1</c:v>
                </c:pt>
                <c:pt idx="2">
                  <c:v>25.2</c:v>
                </c:pt>
                <c:pt idx="3">
                  <c:v>25.4</c:v>
                </c:pt>
                <c:pt idx="4">
                  <c:v>23.7</c:v>
                </c:pt>
                <c:pt idx="5" formatCode="0.0">
                  <c:v>21.33895257128459</c:v>
                </c:pt>
              </c:numCache>
            </c:numRef>
          </c:val>
        </c:ser>
        <c:ser>
          <c:idx val="2"/>
          <c:order val="2"/>
          <c:tx>
            <c:strRef>
              <c:f>'2. Som. morb.'!$C$58</c:f>
              <c:strCache>
                <c:ptCount val="1"/>
                <c:pt idx="0">
                  <c:v>Dentofacijalne anomalije (K07)</c:v>
                </c:pt>
              </c:strCache>
            </c:strRef>
          </c:tx>
          <c:spPr>
            <a:solidFill>
              <a:schemeClr val="tx1">
                <a:lumMod val="50000"/>
                <a:lumOff val="50000"/>
              </a:schemeClr>
            </a:solidFill>
          </c:spPr>
          <c:invertIfNegative val="0"/>
          <c:cat>
            <c:strRef>
              <c:f>'2. Som. morb.'!$D$55:$I$55</c:f>
              <c:strCache>
                <c:ptCount val="6"/>
                <c:pt idx="0">
                  <c:v>2010</c:v>
                </c:pt>
                <c:pt idx="1">
                  <c:v>2011</c:v>
                </c:pt>
                <c:pt idx="2">
                  <c:v>2012</c:v>
                </c:pt>
                <c:pt idx="3">
                  <c:v>2013</c:v>
                </c:pt>
                <c:pt idx="4">
                  <c:v>2014.</c:v>
                </c:pt>
                <c:pt idx="5">
                  <c:v>2015.</c:v>
                </c:pt>
              </c:strCache>
            </c:strRef>
          </c:cat>
          <c:val>
            <c:numRef>
              <c:f>'2. Som. morb.'!$D$58:$I$58</c:f>
              <c:numCache>
                <c:formatCode>General</c:formatCode>
                <c:ptCount val="6"/>
                <c:pt idx="0" formatCode="0.0">
                  <c:v>11.6</c:v>
                </c:pt>
                <c:pt idx="1">
                  <c:v>13.9</c:v>
                </c:pt>
                <c:pt idx="2">
                  <c:v>13.3</c:v>
                </c:pt>
                <c:pt idx="3">
                  <c:v>12.8</c:v>
                </c:pt>
                <c:pt idx="4">
                  <c:v>15.5</c:v>
                </c:pt>
                <c:pt idx="5" formatCode="0.0">
                  <c:v>16.329961100238513</c:v>
                </c:pt>
              </c:numCache>
            </c:numRef>
          </c:val>
        </c:ser>
        <c:ser>
          <c:idx val="3"/>
          <c:order val="3"/>
          <c:tx>
            <c:strRef>
              <c:f>'2. Som. morb.'!$C$59</c:f>
              <c:strCache>
                <c:ptCount val="1"/>
                <c:pt idx="0">
                  <c:v>Druga oboljenja čvrst. tkiva zuba(K03)</c:v>
                </c:pt>
              </c:strCache>
            </c:strRef>
          </c:tx>
          <c:invertIfNegative val="0"/>
          <c:cat>
            <c:strRef>
              <c:f>'2. Som. morb.'!$D$55:$I$55</c:f>
              <c:strCache>
                <c:ptCount val="6"/>
                <c:pt idx="0">
                  <c:v>2010</c:v>
                </c:pt>
                <c:pt idx="1">
                  <c:v>2011</c:v>
                </c:pt>
                <c:pt idx="2">
                  <c:v>2012</c:v>
                </c:pt>
                <c:pt idx="3">
                  <c:v>2013</c:v>
                </c:pt>
                <c:pt idx="4">
                  <c:v>2014.</c:v>
                </c:pt>
                <c:pt idx="5">
                  <c:v>2015.</c:v>
                </c:pt>
              </c:strCache>
            </c:strRef>
          </c:cat>
          <c:val>
            <c:numRef>
              <c:f>'2. Som. morb.'!$D$59:$I$59</c:f>
              <c:numCache>
                <c:formatCode>General</c:formatCode>
                <c:ptCount val="6"/>
                <c:pt idx="0" formatCode="0.0">
                  <c:v>5.5</c:v>
                </c:pt>
                <c:pt idx="1">
                  <c:v>4.8</c:v>
                </c:pt>
                <c:pt idx="2">
                  <c:v>3.9</c:v>
                </c:pt>
                <c:pt idx="3">
                  <c:v>4.5</c:v>
                </c:pt>
                <c:pt idx="4">
                  <c:v>4.2</c:v>
                </c:pt>
                <c:pt idx="5" formatCode="0.0">
                  <c:v>3.9662569593295567</c:v>
                </c:pt>
              </c:numCache>
            </c:numRef>
          </c:val>
        </c:ser>
        <c:ser>
          <c:idx val="4"/>
          <c:order val="4"/>
          <c:tx>
            <c:strRef>
              <c:f>'2. Som. morb.'!$C$60</c:f>
              <c:strCache>
                <c:ptCount val="1"/>
                <c:pt idx="0">
                  <c:v>Gingivitis i periodont. oboljenja (K05)</c:v>
                </c:pt>
              </c:strCache>
            </c:strRef>
          </c:tx>
          <c:spPr>
            <a:solidFill>
              <a:schemeClr val="accent6"/>
            </a:solidFill>
          </c:spPr>
          <c:invertIfNegative val="0"/>
          <c:cat>
            <c:strRef>
              <c:f>'2. Som. morb.'!$D$55:$I$55</c:f>
              <c:strCache>
                <c:ptCount val="6"/>
                <c:pt idx="0">
                  <c:v>2010</c:v>
                </c:pt>
                <c:pt idx="1">
                  <c:v>2011</c:v>
                </c:pt>
                <c:pt idx="2">
                  <c:v>2012</c:v>
                </c:pt>
                <c:pt idx="3">
                  <c:v>2013</c:v>
                </c:pt>
                <c:pt idx="4">
                  <c:v>2014.</c:v>
                </c:pt>
                <c:pt idx="5">
                  <c:v>2015.</c:v>
                </c:pt>
              </c:strCache>
            </c:strRef>
          </c:cat>
          <c:val>
            <c:numRef>
              <c:f>'2. Som. morb.'!$D$60:$I$60</c:f>
              <c:numCache>
                <c:formatCode>General</c:formatCode>
                <c:ptCount val="6"/>
                <c:pt idx="0" formatCode="0.0">
                  <c:v>5</c:v>
                </c:pt>
                <c:pt idx="1">
                  <c:v>4.3</c:v>
                </c:pt>
                <c:pt idx="2">
                  <c:v>4.4000000000000004</c:v>
                </c:pt>
                <c:pt idx="3">
                  <c:v>4.8</c:v>
                </c:pt>
                <c:pt idx="4">
                  <c:v>5.4</c:v>
                </c:pt>
                <c:pt idx="5" formatCode="0.0">
                  <c:v>5.4138665396470369</c:v>
                </c:pt>
              </c:numCache>
            </c:numRef>
          </c:val>
        </c:ser>
        <c:dLbls>
          <c:showLegendKey val="0"/>
          <c:showVal val="0"/>
          <c:showCatName val="0"/>
          <c:showSerName val="0"/>
          <c:showPercent val="0"/>
          <c:showBubbleSize val="0"/>
        </c:dLbls>
        <c:gapWidth val="150"/>
        <c:axId val="179562752"/>
        <c:axId val="180031488"/>
      </c:barChart>
      <c:catAx>
        <c:axId val="179562752"/>
        <c:scaling>
          <c:orientation val="minMax"/>
        </c:scaling>
        <c:delete val="0"/>
        <c:axPos val="l"/>
        <c:numFmt formatCode="General" sourceLinked="0"/>
        <c:majorTickMark val="out"/>
        <c:minorTickMark val="none"/>
        <c:tickLblPos val="nextTo"/>
        <c:crossAx val="180031488"/>
        <c:crosses val="autoZero"/>
        <c:auto val="1"/>
        <c:lblAlgn val="ctr"/>
        <c:lblOffset val="100"/>
        <c:noMultiLvlLbl val="0"/>
      </c:catAx>
      <c:valAx>
        <c:axId val="180031488"/>
        <c:scaling>
          <c:orientation val="minMax"/>
        </c:scaling>
        <c:delete val="0"/>
        <c:axPos val="b"/>
        <c:majorGridlines/>
        <c:numFmt formatCode="0.0" sourceLinked="1"/>
        <c:majorTickMark val="out"/>
        <c:minorTickMark val="none"/>
        <c:tickLblPos val="nextTo"/>
        <c:crossAx val="179562752"/>
        <c:crosses val="autoZero"/>
        <c:crossBetween val="between"/>
      </c:valAx>
    </c:plotArea>
    <c:legend>
      <c:legendPos val="r"/>
      <c:overlay val="0"/>
    </c:legend>
    <c:plotVisOnly val="1"/>
    <c:dispBlanksAs val="gap"/>
    <c:showDLblsOverMax val="0"/>
  </c:chart>
  <c:spPr>
    <a:ln>
      <a:solidFill>
        <a:schemeClr val="tx1"/>
      </a:solidFill>
    </a:ln>
  </c:spPr>
  <c:externalData r:id="rId1">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c:date1904 val="0"/>
  <c:lang val="bs-Latn-B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tx>
            <c:strRef>
              <c:f>'2. Som. morb.'!$C$72</c:f>
              <c:strCache>
                <c:ptCount val="1"/>
                <c:pt idx="0">
                  <c:v>Oboljenja zubne pulpe i periapik. tkiva (K04)</c:v>
                </c:pt>
              </c:strCache>
            </c:strRef>
          </c:tx>
          <c:spPr>
            <a:solidFill>
              <a:schemeClr val="accent2"/>
            </a:solidFill>
          </c:spPr>
          <c:invertIfNegative val="0"/>
          <c:cat>
            <c:strRef>
              <c:f>'2. Som. morb.'!$D$71:$I$71</c:f>
              <c:strCache>
                <c:ptCount val="6"/>
                <c:pt idx="0">
                  <c:v>2010.</c:v>
                </c:pt>
                <c:pt idx="1">
                  <c:v>2011.</c:v>
                </c:pt>
                <c:pt idx="2">
                  <c:v>2012.</c:v>
                </c:pt>
                <c:pt idx="3">
                  <c:v>2013.</c:v>
                </c:pt>
                <c:pt idx="4">
                  <c:v>2014.</c:v>
                </c:pt>
                <c:pt idx="5">
                  <c:v>2015.</c:v>
                </c:pt>
              </c:strCache>
            </c:strRef>
          </c:cat>
          <c:val>
            <c:numRef>
              <c:f>'2. Som. morb.'!$D$72:$I$72</c:f>
              <c:numCache>
                <c:formatCode>General</c:formatCode>
                <c:ptCount val="6"/>
                <c:pt idx="0">
                  <c:v>37.6</c:v>
                </c:pt>
                <c:pt idx="1">
                  <c:v>34.9</c:v>
                </c:pt>
                <c:pt idx="2">
                  <c:v>35.300000000000011</c:v>
                </c:pt>
                <c:pt idx="3">
                  <c:v>35.6</c:v>
                </c:pt>
                <c:pt idx="4">
                  <c:v>35.6</c:v>
                </c:pt>
                <c:pt idx="5" formatCode="0.0">
                  <c:v>33.889400680325544</c:v>
                </c:pt>
              </c:numCache>
            </c:numRef>
          </c:val>
        </c:ser>
        <c:ser>
          <c:idx val="1"/>
          <c:order val="1"/>
          <c:tx>
            <c:strRef>
              <c:f>'2. Som. morb.'!$C$73</c:f>
              <c:strCache>
                <c:ptCount val="1"/>
                <c:pt idx="0">
                  <c:v>Zubni karijes (K02)</c:v>
                </c:pt>
              </c:strCache>
            </c:strRef>
          </c:tx>
          <c:spPr>
            <a:solidFill>
              <a:schemeClr val="accent1"/>
            </a:solidFill>
          </c:spPr>
          <c:invertIfNegative val="0"/>
          <c:cat>
            <c:strRef>
              <c:f>'2. Som. morb.'!$D$71:$I$71</c:f>
              <c:strCache>
                <c:ptCount val="6"/>
                <c:pt idx="0">
                  <c:v>2010.</c:v>
                </c:pt>
                <c:pt idx="1">
                  <c:v>2011.</c:v>
                </c:pt>
                <c:pt idx="2">
                  <c:v>2012.</c:v>
                </c:pt>
                <c:pt idx="3">
                  <c:v>2013.</c:v>
                </c:pt>
                <c:pt idx="4">
                  <c:v>2014.</c:v>
                </c:pt>
                <c:pt idx="5">
                  <c:v>2015.</c:v>
                </c:pt>
              </c:strCache>
            </c:strRef>
          </c:cat>
          <c:val>
            <c:numRef>
              <c:f>'2. Som. morb.'!$D$73:$I$73</c:f>
              <c:numCache>
                <c:formatCode>General</c:formatCode>
                <c:ptCount val="6"/>
                <c:pt idx="0">
                  <c:v>36.5</c:v>
                </c:pt>
                <c:pt idx="1">
                  <c:v>40.200000000000003</c:v>
                </c:pt>
                <c:pt idx="2">
                  <c:v>40.4</c:v>
                </c:pt>
                <c:pt idx="3">
                  <c:v>40.4</c:v>
                </c:pt>
                <c:pt idx="4">
                  <c:v>40.1</c:v>
                </c:pt>
                <c:pt idx="5" formatCode="0.0">
                  <c:v>40.210381986845768</c:v>
                </c:pt>
              </c:numCache>
            </c:numRef>
          </c:val>
        </c:ser>
        <c:ser>
          <c:idx val="2"/>
          <c:order val="2"/>
          <c:tx>
            <c:strRef>
              <c:f>'2. Som. morb.'!$C$74</c:f>
              <c:strCache>
                <c:ptCount val="1"/>
                <c:pt idx="0">
                  <c:v>Gingivitis i periodont. oboljenja (K05)</c:v>
                </c:pt>
              </c:strCache>
            </c:strRef>
          </c:tx>
          <c:spPr>
            <a:solidFill>
              <a:schemeClr val="accent6"/>
            </a:solidFill>
          </c:spPr>
          <c:invertIfNegative val="0"/>
          <c:cat>
            <c:strRef>
              <c:f>'2. Som. morb.'!$D$71:$I$71</c:f>
              <c:strCache>
                <c:ptCount val="6"/>
                <c:pt idx="0">
                  <c:v>2010.</c:v>
                </c:pt>
                <c:pt idx="1">
                  <c:v>2011.</c:v>
                </c:pt>
                <c:pt idx="2">
                  <c:v>2012.</c:v>
                </c:pt>
                <c:pt idx="3">
                  <c:v>2013.</c:v>
                </c:pt>
                <c:pt idx="4">
                  <c:v>2014.</c:v>
                </c:pt>
                <c:pt idx="5">
                  <c:v>2015.</c:v>
                </c:pt>
              </c:strCache>
            </c:strRef>
          </c:cat>
          <c:val>
            <c:numRef>
              <c:f>'2. Som. morb.'!$D$74:$I$74</c:f>
              <c:numCache>
                <c:formatCode>0.0</c:formatCode>
                <c:ptCount val="6"/>
                <c:pt idx="0" formatCode="General">
                  <c:v>8.5</c:v>
                </c:pt>
                <c:pt idx="1">
                  <c:v>9</c:v>
                </c:pt>
                <c:pt idx="2" formatCode="General">
                  <c:v>8.5</c:v>
                </c:pt>
                <c:pt idx="3" formatCode="General">
                  <c:v>9.6</c:v>
                </c:pt>
                <c:pt idx="4" formatCode="General">
                  <c:v>9.3000000000000007</c:v>
                </c:pt>
                <c:pt idx="5">
                  <c:v>10.13632695617399</c:v>
                </c:pt>
              </c:numCache>
            </c:numRef>
          </c:val>
        </c:ser>
        <c:ser>
          <c:idx val="3"/>
          <c:order val="3"/>
          <c:tx>
            <c:strRef>
              <c:f>'2. Som. morb.'!$C$75</c:f>
              <c:strCache>
                <c:ptCount val="1"/>
                <c:pt idx="0">
                  <c:v>Druga oboljenja čvrst. tkiva zuba(K03)</c:v>
                </c:pt>
              </c:strCache>
            </c:strRef>
          </c:tx>
          <c:invertIfNegative val="0"/>
          <c:cat>
            <c:strRef>
              <c:f>'2. Som. morb.'!$D$71:$I$71</c:f>
              <c:strCache>
                <c:ptCount val="6"/>
                <c:pt idx="0">
                  <c:v>2010.</c:v>
                </c:pt>
                <c:pt idx="1">
                  <c:v>2011.</c:v>
                </c:pt>
                <c:pt idx="2">
                  <c:v>2012.</c:v>
                </c:pt>
                <c:pt idx="3">
                  <c:v>2013.</c:v>
                </c:pt>
                <c:pt idx="4">
                  <c:v>2014.</c:v>
                </c:pt>
                <c:pt idx="5">
                  <c:v>2015.</c:v>
                </c:pt>
              </c:strCache>
            </c:strRef>
          </c:cat>
          <c:val>
            <c:numRef>
              <c:f>'2. Som. morb.'!$D$75:$I$75</c:f>
              <c:numCache>
                <c:formatCode>General</c:formatCode>
                <c:ptCount val="6"/>
                <c:pt idx="0">
                  <c:v>5.3</c:v>
                </c:pt>
                <c:pt idx="1">
                  <c:v>5.0999999999999996</c:v>
                </c:pt>
                <c:pt idx="2">
                  <c:v>4.5999999999999996</c:v>
                </c:pt>
                <c:pt idx="3">
                  <c:v>4.8</c:v>
                </c:pt>
                <c:pt idx="4">
                  <c:v>5.2</c:v>
                </c:pt>
                <c:pt idx="5" formatCode="0.0">
                  <c:v>4.5413753621221975</c:v>
                </c:pt>
              </c:numCache>
            </c:numRef>
          </c:val>
        </c:ser>
        <c:ser>
          <c:idx val="4"/>
          <c:order val="4"/>
          <c:tx>
            <c:strRef>
              <c:f>'2. Som. morb.'!$C$76</c:f>
              <c:strCache>
                <c:ptCount val="1"/>
                <c:pt idx="0">
                  <c:v>Drugi poremeć. zuba i potpor. struktura (K08)</c:v>
                </c:pt>
              </c:strCache>
            </c:strRef>
          </c:tx>
          <c:invertIfNegative val="0"/>
          <c:cat>
            <c:strRef>
              <c:f>'2. Som. morb.'!$D$71:$I$71</c:f>
              <c:strCache>
                <c:ptCount val="6"/>
                <c:pt idx="0">
                  <c:v>2010.</c:v>
                </c:pt>
                <c:pt idx="1">
                  <c:v>2011.</c:v>
                </c:pt>
                <c:pt idx="2">
                  <c:v>2012.</c:v>
                </c:pt>
                <c:pt idx="3">
                  <c:v>2013.</c:v>
                </c:pt>
                <c:pt idx="4">
                  <c:v>2014.</c:v>
                </c:pt>
                <c:pt idx="5">
                  <c:v>2015.</c:v>
                </c:pt>
              </c:strCache>
            </c:strRef>
          </c:cat>
          <c:val>
            <c:numRef>
              <c:f>'2. Som. morb.'!$D$76:$I$76</c:f>
              <c:numCache>
                <c:formatCode>General</c:formatCode>
                <c:ptCount val="6"/>
                <c:pt idx="0">
                  <c:v>3.9</c:v>
                </c:pt>
                <c:pt idx="1">
                  <c:v>3.7</c:v>
                </c:pt>
                <c:pt idx="2">
                  <c:v>3.8</c:v>
                </c:pt>
                <c:pt idx="3">
                  <c:v>3.6</c:v>
                </c:pt>
                <c:pt idx="4">
                  <c:v>4.2</c:v>
                </c:pt>
                <c:pt idx="5" formatCode="0.0">
                  <c:v>4.6313554379625463</c:v>
                </c:pt>
              </c:numCache>
            </c:numRef>
          </c:val>
        </c:ser>
        <c:dLbls>
          <c:showLegendKey val="0"/>
          <c:showVal val="0"/>
          <c:showCatName val="0"/>
          <c:showSerName val="0"/>
          <c:showPercent val="0"/>
          <c:showBubbleSize val="0"/>
        </c:dLbls>
        <c:gapWidth val="150"/>
        <c:axId val="180054656"/>
        <c:axId val="180060544"/>
      </c:barChart>
      <c:catAx>
        <c:axId val="180054656"/>
        <c:scaling>
          <c:orientation val="minMax"/>
        </c:scaling>
        <c:delete val="0"/>
        <c:axPos val="l"/>
        <c:numFmt formatCode="General" sourceLinked="1"/>
        <c:majorTickMark val="out"/>
        <c:minorTickMark val="none"/>
        <c:tickLblPos val="nextTo"/>
        <c:crossAx val="180060544"/>
        <c:crosses val="autoZero"/>
        <c:auto val="1"/>
        <c:lblAlgn val="ctr"/>
        <c:lblOffset val="100"/>
        <c:noMultiLvlLbl val="0"/>
      </c:catAx>
      <c:valAx>
        <c:axId val="180060544"/>
        <c:scaling>
          <c:orientation val="minMax"/>
        </c:scaling>
        <c:delete val="0"/>
        <c:axPos val="b"/>
        <c:majorGridlines/>
        <c:numFmt formatCode="General" sourceLinked="1"/>
        <c:majorTickMark val="out"/>
        <c:minorTickMark val="none"/>
        <c:tickLblPos val="nextTo"/>
        <c:crossAx val="180054656"/>
        <c:crosses val="autoZero"/>
        <c:crossBetween val="between"/>
      </c:valAx>
    </c:plotArea>
    <c:legend>
      <c:legendPos val="r"/>
      <c:legendEntry>
        <c:idx val="3"/>
        <c:txPr>
          <a:bodyPr/>
          <a:lstStyle/>
          <a:p>
            <a:pPr>
              <a:defRPr>
                <a:solidFill>
                  <a:sysClr val="windowText" lastClr="000000"/>
                </a:solidFill>
              </a:defRPr>
            </a:pPr>
            <a:endParaRPr lang="sr-Latn-RS"/>
          </a:p>
        </c:txPr>
      </c:legendEntry>
      <c:layout>
        <c:manualLayout>
          <c:xMode val="edge"/>
          <c:yMode val="edge"/>
          <c:x val="0.65675902100938954"/>
          <c:y val="6.9797108219430359E-2"/>
          <c:w val="0.33654230756044407"/>
          <c:h val="0.86040578356113928"/>
        </c:manualLayout>
      </c:layout>
      <c:overlay val="0"/>
    </c:legend>
    <c:plotVisOnly val="1"/>
    <c:dispBlanksAs val="gap"/>
    <c:showDLblsOverMax val="0"/>
  </c:chart>
  <c:externalData r:id="rId1">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c:date1904 val="0"/>
  <c:lang val="bs-Latn-B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Sheet1!$C$5</c:f>
              <c:strCache>
                <c:ptCount val="1"/>
                <c:pt idx="0">
                  <c:v>2002</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Sheet1!$B$6:$B$8</c:f>
              <c:strCache>
                <c:ptCount val="3"/>
                <c:pt idx="0">
                  <c:v>Normalna težina</c:v>
                </c:pt>
                <c:pt idx="1">
                  <c:v>Prekomjerna tjelesna težina</c:v>
                </c:pt>
                <c:pt idx="2">
                  <c:v>Gojaznost</c:v>
                </c:pt>
              </c:strCache>
            </c:strRef>
          </c:cat>
          <c:val>
            <c:numRef>
              <c:f>Sheet1!$C$6:$C$8</c:f>
              <c:numCache>
                <c:formatCode>0.0%</c:formatCode>
                <c:ptCount val="3"/>
                <c:pt idx="0">
                  <c:v>0.36800000000000027</c:v>
                </c:pt>
                <c:pt idx="1">
                  <c:v>0.4100000000000002</c:v>
                </c:pt>
                <c:pt idx="2">
                  <c:v>0.21500000000000011</c:v>
                </c:pt>
              </c:numCache>
            </c:numRef>
          </c:val>
        </c:ser>
        <c:ser>
          <c:idx val="1"/>
          <c:order val="1"/>
          <c:tx>
            <c:strRef>
              <c:f>Sheet1!$D$5</c:f>
              <c:strCache>
                <c:ptCount val="1"/>
                <c:pt idx="0">
                  <c:v>2012</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Sheet1!$B$6:$B$8</c:f>
              <c:strCache>
                <c:ptCount val="3"/>
                <c:pt idx="0">
                  <c:v>Normalna težina</c:v>
                </c:pt>
                <c:pt idx="1">
                  <c:v>Prekomjerna tjelesna težina</c:v>
                </c:pt>
                <c:pt idx="2">
                  <c:v>Gojaznost</c:v>
                </c:pt>
              </c:strCache>
            </c:strRef>
          </c:cat>
          <c:val>
            <c:numRef>
              <c:f>Sheet1!$D$6:$D$8</c:f>
              <c:numCache>
                <c:formatCode>0.0%</c:formatCode>
                <c:ptCount val="3"/>
                <c:pt idx="0">
                  <c:v>0.37600000000000022</c:v>
                </c:pt>
                <c:pt idx="1">
                  <c:v>0.37500000000000022</c:v>
                </c:pt>
                <c:pt idx="2">
                  <c:v>0.22500000000000006</c:v>
                </c:pt>
              </c:numCache>
            </c:numRef>
          </c:val>
        </c:ser>
        <c:dLbls>
          <c:showLegendKey val="0"/>
          <c:showVal val="1"/>
          <c:showCatName val="0"/>
          <c:showSerName val="0"/>
          <c:showPercent val="0"/>
          <c:showBubbleSize val="0"/>
        </c:dLbls>
        <c:gapWidth val="150"/>
        <c:overlap val="-25"/>
        <c:axId val="180094848"/>
        <c:axId val="180096384"/>
      </c:barChart>
      <c:catAx>
        <c:axId val="180094848"/>
        <c:scaling>
          <c:orientation val="minMax"/>
        </c:scaling>
        <c:delete val="0"/>
        <c:axPos val="b"/>
        <c:numFmt formatCode="General" sourceLinked="0"/>
        <c:majorTickMark val="none"/>
        <c:minorTickMark val="none"/>
        <c:tickLblPos val="nextTo"/>
        <c:crossAx val="180096384"/>
        <c:crosses val="autoZero"/>
        <c:auto val="1"/>
        <c:lblAlgn val="ctr"/>
        <c:lblOffset val="100"/>
        <c:noMultiLvlLbl val="0"/>
      </c:catAx>
      <c:valAx>
        <c:axId val="180096384"/>
        <c:scaling>
          <c:orientation val="minMax"/>
        </c:scaling>
        <c:delete val="1"/>
        <c:axPos val="l"/>
        <c:numFmt formatCode="0.0%" sourceLinked="1"/>
        <c:majorTickMark val="out"/>
        <c:minorTickMark val="none"/>
        <c:tickLblPos val="none"/>
        <c:crossAx val="180094848"/>
        <c:crosses val="autoZero"/>
        <c:crossBetween val="between"/>
      </c:valAx>
      <c:spPr>
        <a:ln>
          <a:solidFill>
            <a:schemeClr val="tx1">
              <a:alpha val="0"/>
            </a:schemeClr>
          </a:solidFill>
        </a:ln>
      </c:spPr>
    </c:plotArea>
    <c:legend>
      <c:legendPos val="t"/>
      <c:overlay val="0"/>
    </c:legend>
    <c:plotVisOnly val="1"/>
    <c:dispBlanksAs val="gap"/>
    <c:showDLblsOverMax val="0"/>
  </c:chart>
  <c:spPr>
    <a:solidFill>
      <a:schemeClr val="lt1"/>
    </a:solidFill>
    <a:ln>
      <a:solidFill>
        <a:schemeClr val="tx1"/>
      </a:solidFill>
    </a:ln>
    <a:effectLst/>
  </c:spPr>
  <c:txPr>
    <a:bodyPr/>
    <a:lstStyle/>
    <a:p>
      <a:pPr>
        <a:defRPr>
          <a:solidFill>
            <a:schemeClr val="dk1"/>
          </a:solidFill>
          <a:latin typeface="+mn-lt"/>
          <a:ea typeface="+mn-ea"/>
          <a:cs typeface="+mn-cs"/>
        </a:defRPr>
      </a:pPr>
      <a:endParaRPr lang="sr-Latn-RS"/>
    </a:p>
  </c:txPr>
  <c:externalData r:id="rId1">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c:date1904 val="0"/>
  <c:lang val="bs-Latn-B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Sheet1!$C$4</c:f>
              <c:strCache>
                <c:ptCount val="1"/>
                <c:pt idx="0">
                  <c:v>Muškarci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Sheet1!$B$5:$B$13</c:f>
              <c:strCache>
                <c:ptCount val="9"/>
                <c:pt idx="0">
                  <c:v>Gojaznost</c:v>
                </c:pt>
                <c:pt idx="1">
                  <c:v>Povišen krvni pritisak</c:v>
                </c:pt>
                <c:pt idx="2">
                  <c:v>Šećerna bolest</c:v>
                </c:pt>
                <c:pt idx="3">
                  <c:v>Bolest srca i krvnih sudova</c:v>
                </c:pt>
                <c:pt idx="4">
                  <c:v>Plućne bolesti</c:v>
                </c:pt>
                <c:pt idx="5">
                  <c:v>Rak</c:v>
                </c:pt>
                <c:pt idx="6">
                  <c:v>Ciroza jetre</c:v>
                </c:pt>
                <c:pt idx="7">
                  <c:v>Polne bolesti, SIDA/AIDS</c:v>
                </c:pt>
                <c:pt idx="8">
                  <c:v>Bolesti kao posljedice povrede</c:v>
                </c:pt>
              </c:strCache>
            </c:strRef>
          </c:cat>
          <c:val>
            <c:numRef>
              <c:f>Sheet1!$C$5:$C$13</c:f>
              <c:numCache>
                <c:formatCode>General</c:formatCode>
                <c:ptCount val="9"/>
                <c:pt idx="0">
                  <c:v>10.9</c:v>
                </c:pt>
                <c:pt idx="1">
                  <c:v>13.3</c:v>
                </c:pt>
                <c:pt idx="2">
                  <c:v>8.9</c:v>
                </c:pt>
                <c:pt idx="3">
                  <c:v>14</c:v>
                </c:pt>
                <c:pt idx="4">
                  <c:v>9.7000000000000011</c:v>
                </c:pt>
                <c:pt idx="5">
                  <c:v>5.9</c:v>
                </c:pt>
                <c:pt idx="6">
                  <c:v>4.0999999999999996</c:v>
                </c:pt>
                <c:pt idx="7">
                  <c:v>1.4</c:v>
                </c:pt>
                <c:pt idx="8">
                  <c:v>7.5</c:v>
                </c:pt>
              </c:numCache>
            </c:numRef>
          </c:val>
        </c:ser>
        <c:ser>
          <c:idx val="1"/>
          <c:order val="1"/>
          <c:tx>
            <c:strRef>
              <c:f>Sheet1!$D$4</c:f>
              <c:strCache>
                <c:ptCount val="1"/>
                <c:pt idx="0">
                  <c:v>Žene</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Sheet1!$B$5:$B$13</c:f>
              <c:strCache>
                <c:ptCount val="9"/>
                <c:pt idx="0">
                  <c:v>Gojaznost</c:v>
                </c:pt>
                <c:pt idx="1">
                  <c:v>Povišen krvni pritisak</c:v>
                </c:pt>
                <c:pt idx="2">
                  <c:v>Šećerna bolest</c:v>
                </c:pt>
                <c:pt idx="3">
                  <c:v>Bolest srca i krvnih sudova</c:v>
                </c:pt>
                <c:pt idx="4">
                  <c:v>Plućne bolesti</c:v>
                </c:pt>
                <c:pt idx="5">
                  <c:v>Rak</c:v>
                </c:pt>
                <c:pt idx="6">
                  <c:v>Ciroza jetre</c:v>
                </c:pt>
                <c:pt idx="7">
                  <c:v>Polne bolesti, SIDA/AIDS</c:v>
                </c:pt>
                <c:pt idx="8">
                  <c:v>Bolesti kao posljedice povrede</c:v>
                </c:pt>
              </c:strCache>
            </c:strRef>
          </c:cat>
          <c:val>
            <c:numRef>
              <c:f>Sheet1!$D$5:$D$13</c:f>
              <c:numCache>
                <c:formatCode>General</c:formatCode>
                <c:ptCount val="9"/>
                <c:pt idx="0">
                  <c:v>15.5</c:v>
                </c:pt>
                <c:pt idx="1">
                  <c:v>13.6</c:v>
                </c:pt>
                <c:pt idx="2">
                  <c:v>12</c:v>
                </c:pt>
                <c:pt idx="3">
                  <c:v>15.7</c:v>
                </c:pt>
                <c:pt idx="4">
                  <c:v>7.9</c:v>
                </c:pt>
                <c:pt idx="5">
                  <c:v>6.6</c:v>
                </c:pt>
                <c:pt idx="6">
                  <c:v>3</c:v>
                </c:pt>
                <c:pt idx="7">
                  <c:v>1.2</c:v>
                </c:pt>
                <c:pt idx="8">
                  <c:v>5.6</c:v>
                </c:pt>
              </c:numCache>
            </c:numRef>
          </c:val>
        </c:ser>
        <c:dLbls>
          <c:showLegendKey val="0"/>
          <c:showVal val="1"/>
          <c:showCatName val="0"/>
          <c:showSerName val="0"/>
          <c:showPercent val="0"/>
          <c:showBubbleSize val="0"/>
        </c:dLbls>
        <c:gapWidth val="150"/>
        <c:shape val="box"/>
        <c:axId val="180126848"/>
        <c:axId val="180128384"/>
        <c:axId val="0"/>
      </c:bar3DChart>
      <c:catAx>
        <c:axId val="180126848"/>
        <c:scaling>
          <c:orientation val="minMax"/>
        </c:scaling>
        <c:delete val="0"/>
        <c:axPos val="b"/>
        <c:numFmt formatCode="General" sourceLinked="0"/>
        <c:majorTickMark val="none"/>
        <c:minorTickMark val="none"/>
        <c:tickLblPos val="nextTo"/>
        <c:txPr>
          <a:bodyPr rot="-5400000" vert="horz"/>
          <a:lstStyle/>
          <a:p>
            <a:pPr>
              <a:defRPr sz="1000"/>
            </a:pPr>
            <a:endParaRPr lang="sr-Latn-RS"/>
          </a:p>
        </c:txPr>
        <c:crossAx val="180128384"/>
        <c:crosses val="autoZero"/>
        <c:auto val="0"/>
        <c:lblAlgn val="ctr"/>
        <c:lblOffset val="100"/>
        <c:noMultiLvlLbl val="0"/>
      </c:catAx>
      <c:valAx>
        <c:axId val="180128384"/>
        <c:scaling>
          <c:orientation val="minMax"/>
        </c:scaling>
        <c:delete val="1"/>
        <c:axPos val="l"/>
        <c:numFmt formatCode="General" sourceLinked="1"/>
        <c:majorTickMark val="none"/>
        <c:minorTickMark val="none"/>
        <c:tickLblPos val="none"/>
        <c:crossAx val="180126848"/>
        <c:crosses val="autoZero"/>
        <c:crossBetween val="between"/>
      </c:valAx>
    </c:plotArea>
    <c:legend>
      <c:legendPos val="t"/>
      <c:overlay val="0"/>
    </c:legend>
    <c:plotVisOnly val="1"/>
    <c:dispBlanksAs val="gap"/>
    <c:showDLblsOverMax val="0"/>
  </c:chart>
  <c:spPr>
    <a:ln>
      <a:solidFill>
        <a:schemeClr val="tx1"/>
      </a:solidFill>
    </a:ln>
  </c:spPr>
  <c:txPr>
    <a:bodyPr/>
    <a:lstStyle/>
    <a:p>
      <a:pPr>
        <a:defRPr sz="900"/>
      </a:pPr>
      <a:endParaRPr lang="sr-Latn-RS"/>
    </a:p>
  </c:txPr>
  <c:externalData r:id="rId1">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c:date1904 val="0"/>
  <c:lang val="bs-Latn-B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pie3DChart>
        <c:varyColors val="1"/>
        <c:ser>
          <c:idx val="0"/>
          <c:order val="0"/>
          <c:dLbls>
            <c:dLbl>
              <c:idx val="0"/>
              <c:tx>
                <c:rich>
                  <a:bodyPr/>
                  <a:lstStyle/>
                  <a:p>
                    <a:r>
                      <a:rPr lang="en-US"/>
                      <a:t>Nikada 
33,3%</a:t>
                    </a:r>
                  </a:p>
                </c:rich>
              </c:tx>
              <c:showLegendKey val="0"/>
              <c:showVal val="0"/>
              <c:showCatName val="1"/>
              <c:showSerName val="0"/>
              <c:showPercent val="1"/>
              <c:showBubbleSize val="0"/>
              <c:extLst>
                <c:ext xmlns:c15="http://schemas.microsoft.com/office/drawing/2012/chart" uri="{CE6537A1-D6FC-4f65-9D91-7224C49458BB}"/>
              </c:extLst>
            </c:dLbl>
            <c:dLbl>
              <c:idx val="1"/>
              <c:layout>
                <c:manualLayout>
                  <c:x val="0.30125156728020464"/>
                  <c:y val="-0.26652641720800213"/>
                </c:manualLayout>
              </c:layout>
              <c:tx>
                <c:rich>
                  <a:bodyPr/>
                  <a:lstStyle/>
                  <a:p>
                    <a:r>
                      <a:rPr lang="en-US"/>
                      <a:t>Kada hrana nije slana
59,5%</a:t>
                    </a:r>
                  </a:p>
                </c:rich>
              </c:tx>
              <c:showLegendKey val="0"/>
              <c:showVal val="0"/>
              <c:showCatName val="1"/>
              <c:showSerName val="0"/>
              <c:showPercent val="1"/>
              <c:showBubbleSize val="0"/>
              <c:extLst>
                <c:ext xmlns:c15="http://schemas.microsoft.com/office/drawing/2012/chart" uri="{CE6537A1-D6FC-4f65-9D91-7224C49458BB}"/>
              </c:extLst>
            </c:dLbl>
            <c:dLbl>
              <c:idx val="2"/>
              <c:tx>
                <c:rich>
                  <a:bodyPr/>
                  <a:lstStyle/>
                  <a:p>
                    <a:r>
                      <a:rPr lang="en-US"/>
                      <a:t>Uvijek
7,2%</a:t>
                    </a:r>
                  </a:p>
                </c:rich>
              </c:tx>
              <c:showLegendKey val="0"/>
              <c:showVal val="0"/>
              <c:showCatName val="1"/>
              <c:showSerName val="0"/>
              <c:showPercent val="1"/>
              <c:showBubbleSize val="0"/>
              <c:extLst>
                <c:ext xmlns:c15="http://schemas.microsoft.com/office/drawing/2012/chart" uri="{CE6537A1-D6FC-4f65-9D91-7224C49458BB}"/>
              </c:extLst>
            </c:dLbl>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'[dosoljavanje hrane.xlsx]Sheet1'!$A$1:$A$3</c:f>
              <c:strCache>
                <c:ptCount val="3"/>
                <c:pt idx="0">
                  <c:v>Nikada </c:v>
                </c:pt>
                <c:pt idx="1">
                  <c:v>Kada hrana nije slana</c:v>
                </c:pt>
                <c:pt idx="2">
                  <c:v>Uvijek</c:v>
                </c:pt>
              </c:strCache>
            </c:strRef>
          </c:cat>
          <c:val>
            <c:numRef>
              <c:f>'[dosoljavanje hrane.xlsx]Sheet1'!$B$1:$B$3</c:f>
              <c:numCache>
                <c:formatCode>General</c:formatCode>
                <c:ptCount val="3"/>
                <c:pt idx="0">
                  <c:v>33.299999999999997</c:v>
                </c:pt>
                <c:pt idx="1">
                  <c:v>59.5</c:v>
                </c:pt>
                <c:pt idx="2">
                  <c:v>7.2</c:v>
                </c:pt>
              </c:numCache>
            </c:numRef>
          </c:val>
        </c:ser>
        <c:dLbls>
          <c:showLegendKey val="0"/>
          <c:showVal val="0"/>
          <c:showCatName val="1"/>
          <c:showSerName val="0"/>
          <c:showPercent val="1"/>
          <c:showBubbleSize val="0"/>
          <c:showLeaderLines val="1"/>
        </c:dLbls>
      </c:pie3DChart>
    </c:plotArea>
    <c:plotVisOnly val="1"/>
    <c:dispBlanksAs val="gap"/>
    <c:showDLblsOverMax val="0"/>
  </c:chart>
  <c:spPr>
    <a:ln>
      <a:solidFill>
        <a:schemeClr val="tx1"/>
      </a:solidFill>
    </a:ln>
  </c:spPr>
  <c:txPr>
    <a:bodyPr/>
    <a:lstStyle/>
    <a:p>
      <a:pPr>
        <a:defRPr sz="1200"/>
      </a:pPr>
      <a:endParaRPr lang="sr-Latn-RS"/>
    </a:p>
  </c:txPr>
  <c:externalData r:id="rId1">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c:date1904 val="0"/>
  <c:lang val="bs-Latn-B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Sheet1!$B$30</c:f>
              <c:strCache>
                <c:ptCount val="1"/>
                <c:pt idx="0">
                  <c:v>18-24</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Sheet1!$C$30</c:f>
              <c:numCache>
                <c:formatCode>General</c:formatCode>
                <c:ptCount val="1"/>
                <c:pt idx="0">
                  <c:v>34.4</c:v>
                </c:pt>
              </c:numCache>
            </c:numRef>
          </c:val>
        </c:ser>
        <c:ser>
          <c:idx val="1"/>
          <c:order val="1"/>
          <c:tx>
            <c:strRef>
              <c:f>Sheet1!$B$31</c:f>
              <c:strCache>
                <c:ptCount val="1"/>
                <c:pt idx="0">
                  <c:v>25-34</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Sheet1!$C$31</c:f>
              <c:numCache>
                <c:formatCode>General</c:formatCode>
                <c:ptCount val="1"/>
                <c:pt idx="0">
                  <c:v>29.6</c:v>
                </c:pt>
              </c:numCache>
            </c:numRef>
          </c:val>
        </c:ser>
        <c:ser>
          <c:idx val="2"/>
          <c:order val="2"/>
          <c:tx>
            <c:strRef>
              <c:f>Sheet1!$B$32</c:f>
              <c:strCache>
                <c:ptCount val="1"/>
                <c:pt idx="0">
                  <c:v>35-44</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Sheet1!$C$32</c:f>
              <c:numCache>
                <c:formatCode>General</c:formatCode>
                <c:ptCount val="1"/>
                <c:pt idx="0">
                  <c:v>26.8</c:v>
                </c:pt>
              </c:numCache>
            </c:numRef>
          </c:val>
        </c:ser>
        <c:ser>
          <c:idx val="3"/>
          <c:order val="3"/>
          <c:tx>
            <c:strRef>
              <c:f>Sheet1!$B$33</c:f>
              <c:strCache>
                <c:ptCount val="1"/>
                <c:pt idx="0">
                  <c:v>45-54</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Sheet1!$C$33</c:f>
              <c:numCache>
                <c:formatCode>General</c:formatCode>
                <c:ptCount val="1"/>
                <c:pt idx="0">
                  <c:v>25.4</c:v>
                </c:pt>
              </c:numCache>
            </c:numRef>
          </c:val>
        </c:ser>
        <c:ser>
          <c:idx val="4"/>
          <c:order val="4"/>
          <c:tx>
            <c:strRef>
              <c:f>Sheet1!$B$34</c:f>
              <c:strCache>
                <c:ptCount val="1"/>
                <c:pt idx="0">
                  <c:v>55-64</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Sheet1!$C$34</c:f>
              <c:numCache>
                <c:formatCode>General</c:formatCode>
                <c:ptCount val="1"/>
                <c:pt idx="0">
                  <c:v>23.8</c:v>
                </c:pt>
              </c:numCache>
            </c:numRef>
          </c:val>
        </c:ser>
        <c:ser>
          <c:idx val="5"/>
          <c:order val="5"/>
          <c:tx>
            <c:strRef>
              <c:f>Sheet1!$B$35</c:f>
              <c:strCache>
                <c:ptCount val="1"/>
                <c:pt idx="0">
                  <c:v>64+</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Sheet1!$C$35</c:f>
              <c:numCache>
                <c:formatCode>General</c:formatCode>
                <c:ptCount val="1"/>
                <c:pt idx="0">
                  <c:v>8.3000000000000007</c:v>
                </c:pt>
              </c:numCache>
            </c:numRef>
          </c:val>
        </c:ser>
        <c:dLbls>
          <c:showLegendKey val="0"/>
          <c:showVal val="1"/>
          <c:showCatName val="0"/>
          <c:showSerName val="0"/>
          <c:showPercent val="0"/>
          <c:showBubbleSize val="0"/>
        </c:dLbls>
        <c:gapWidth val="75"/>
        <c:axId val="180218496"/>
        <c:axId val="180236672"/>
      </c:barChart>
      <c:catAx>
        <c:axId val="180218496"/>
        <c:scaling>
          <c:orientation val="minMax"/>
        </c:scaling>
        <c:delete val="1"/>
        <c:axPos val="b"/>
        <c:majorTickMark val="none"/>
        <c:minorTickMark val="none"/>
        <c:tickLblPos val="none"/>
        <c:crossAx val="180236672"/>
        <c:crosses val="autoZero"/>
        <c:auto val="1"/>
        <c:lblAlgn val="ctr"/>
        <c:lblOffset val="100"/>
        <c:noMultiLvlLbl val="0"/>
      </c:catAx>
      <c:valAx>
        <c:axId val="180236672"/>
        <c:scaling>
          <c:orientation val="minMax"/>
        </c:scaling>
        <c:delete val="0"/>
        <c:axPos val="l"/>
        <c:numFmt formatCode="General" sourceLinked="1"/>
        <c:majorTickMark val="none"/>
        <c:minorTickMark val="none"/>
        <c:tickLblPos val="nextTo"/>
        <c:spPr>
          <a:ln w="9525">
            <a:noFill/>
          </a:ln>
        </c:spPr>
        <c:crossAx val="180218496"/>
        <c:crosses val="autoZero"/>
        <c:crossBetween val="between"/>
      </c:valAx>
    </c:plotArea>
    <c:legend>
      <c:legendPos val="b"/>
      <c:overlay val="0"/>
    </c:legend>
    <c:plotVisOnly val="1"/>
    <c:dispBlanksAs val="gap"/>
    <c:showDLblsOverMax val="0"/>
  </c:chart>
  <c:spPr>
    <a:solidFill>
      <a:schemeClr val="lt1"/>
    </a:solidFill>
    <a:ln w="25400" cap="flat" cmpd="sng" algn="ctr">
      <a:noFill/>
      <a:prstDash val="solid"/>
    </a:ln>
    <a:effectLst/>
  </c:spPr>
  <c:txPr>
    <a:bodyPr/>
    <a:lstStyle/>
    <a:p>
      <a:pPr>
        <a:defRPr>
          <a:solidFill>
            <a:schemeClr val="dk1"/>
          </a:solidFill>
          <a:latin typeface="+mn-lt"/>
          <a:ea typeface="+mn-ea"/>
          <a:cs typeface="+mn-cs"/>
        </a:defRPr>
      </a:pPr>
      <a:endParaRPr lang="sr-Latn-RS"/>
    </a:p>
  </c:txPr>
  <c:externalData r:id="rId1">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c:date1904 val="0"/>
  <c:lang val="bs-Latn-B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Sheet1!$E$74</c:f>
              <c:strCache>
                <c:ptCount val="1"/>
                <c:pt idx="0">
                  <c:v>Pothranjenost (težina/dob &gt;2SD)</c:v>
                </c:pt>
              </c:strCache>
            </c:strRef>
          </c:tx>
          <c:marker>
            <c:symbol val="none"/>
          </c:marker>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Sheet1!$F$72:$H$73</c:f>
              <c:strCache>
                <c:ptCount val="3"/>
                <c:pt idx="0">
                  <c:v>2000</c:v>
                </c:pt>
                <c:pt idx="1">
                  <c:v>2006</c:v>
                </c:pt>
                <c:pt idx="2">
                  <c:v>2012</c:v>
                </c:pt>
              </c:strCache>
            </c:strRef>
          </c:cat>
          <c:val>
            <c:numRef>
              <c:f>Sheet1!$F$74:$H$74</c:f>
              <c:numCache>
                <c:formatCode>General</c:formatCode>
                <c:ptCount val="3"/>
                <c:pt idx="0">
                  <c:v>5</c:v>
                </c:pt>
                <c:pt idx="1">
                  <c:v>2.5</c:v>
                </c:pt>
                <c:pt idx="2">
                  <c:v>2</c:v>
                </c:pt>
              </c:numCache>
            </c:numRef>
          </c:val>
          <c:smooth val="0"/>
        </c:ser>
        <c:ser>
          <c:idx val="1"/>
          <c:order val="1"/>
          <c:tx>
            <c:strRef>
              <c:f>Sheet1!$E$75</c:f>
              <c:strCache>
                <c:ptCount val="1"/>
                <c:pt idx="0">
                  <c:v>Zakržljalost (visina/dob &gt;2SD)</c:v>
                </c:pt>
              </c:strCache>
            </c:strRef>
          </c:tx>
          <c:marker>
            <c:symbol val="none"/>
          </c:marker>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Sheet1!$F$72:$H$73</c:f>
              <c:strCache>
                <c:ptCount val="3"/>
                <c:pt idx="0">
                  <c:v>2000</c:v>
                </c:pt>
                <c:pt idx="1">
                  <c:v>2006</c:v>
                </c:pt>
                <c:pt idx="2">
                  <c:v>2012</c:v>
                </c:pt>
              </c:strCache>
            </c:strRef>
          </c:cat>
          <c:val>
            <c:numRef>
              <c:f>Sheet1!$F$75:$H$75</c:f>
              <c:numCache>
                <c:formatCode>General</c:formatCode>
                <c:ptCount val="3"/>
                <c:pt idx="0">
                  <c:v>13</c:v>
                </c:pt>
                <c:pt idx="1">
                  <c:v>6.9</c:v>
                </c:pt>
                <c:pt idx="2">
                  <c:v>9.9</c:v>
                </c:pt>
              </c:numCache>
            </c:numRef>
          </c:val>
          <c:smooth val="0"/>
        </c:ser>
        <c:ser>
          <c:idx val="2"/>
          <c:order val="2"/>
          <c:tx>
            <c:strRef>
              <c:f>Sheet1!$E$76</c:f>
              <c:strCache>
                <c:ptCount val="1"/>
                <c:pt idx="0">
                  <c:v>Mršavost (težina/visina &gt;2SD)</c:v>
                </c:pt>
              </c:strCache>
            </c:strRef>
          </c:tx>
          <c:marker>
            <c:symbol val="none"/>
          </c:marker>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Sheet1!$F$72:$H$73</c:f>
              <c:strCache>
                <c:ptCount val="3"/>
                <c:pt idx="0">
                  <c:v>2000</c:v>
                </c:pt>
                <c:pt idx="1">
                  <c:v>2006</c:v>
                </c:pt>
                <c:pt idx="2">
                  <c:v>2012</c:v>
                </c:pt>
              </c:strCache>
            </c:strRef>
          </c:cat>
          <c:val>
            <c:numRef>
              <c:f>Sheet1!$F$76:$H$76</c:f>
              <c:numCache>
                <c:formatCode>General</c:formatCode>
                <c:ptCount val="3"/>
                <c:pt idx="0">
                  <c:v>8</c:v>
                </c:pt>
                <c:pt idx="1">
                  <c:v>3.6</c:v>
                </c:pt>
                <c:pt idx="2">
                  <c:v>2.6</c:v>
                </c:pt>
              </c:numCache>
            </c:numRef>
          </c:val>
          <c:smooth val="0"/>
        </c:ser>
        <c:dLbls>
          <c:showLegendKey val="0"/>
          <c:showVal val="1"/>
          <c:showCatName val="0"/>
          <c:showSerName val="0"/>
          <c:showPercent val="0"/>
          <c:showBubbleSize val="0"/>
        </c:dLbls>
        <c:marker val="1"/>
        <c:smooth val="0"/>
        <c:axId val="180255360"/>
        <c:axId val="180265344"/>
      </c:lineChart>
      <c:catAx>
        <c:axId val="180255360"/>
        <c:scaling>
          <c:orientation val="minMax"/>
        </c:scaling>
        <c:delete val="0"/>
        <c:axPos val="b"/>
        <c:numFmt formatCode="General" sourceLinked="0"/>
        <c:majorTickMark val="none"/>
        <c:minorTickMark val="none"/>
        <c:tickLblPos val="nextTo"/>
        <c:crossAx val="180265344"/>
        <c:crosses val="autoZero"/>
        <c:auto val="1"/>
        <c:lblAlgn val="ctr"/>
        <c:lblOffset val="100"/>
        <c:noMultiLvlLbl val="0"/>
      </c:catAx>
      <c:valAx>
        <c:axId val="180265344"/>
        <c:scaling>
          <c:orientation val="minMax"/>
        </c:scaling>
        <c:delete val="1"/>
        <c:axPos val="l"/>
        <c:numFmt formatCode="General" sourceLinked="1"/>
        <c:majorTickMark val="none"/>
        <c:minorTickMark val="none"/>
        <c:tickLblPos val="none"/>
        <c:crossAx val="180255360"/>
        <c:crosses val="autoZero"/>
        <c:crossBetween val="between"/>
      </c:valAx>
    </c:plotArea>
    <c:legend>
      <c:legendPos val="t"/>
      <c:overlay val="0"/>
    </c:legend>
    <c:plotVisOnly val="1"/>
    <c:dispBlanksAs val="gap"/>
    <c:showDLblsOverMax val="0"/>
  </c:chart>
  <c:spPr>
    <a:ln w="19050">
      <a:solidFill>
        <a:schemeClr val="tx1"/>
      </a:solidFill>
    </a:ln>
  </c:spPr>
  <c:txPr>
    <a:bodyPr/>
    <a:lstStyle/>
    <a:p>
      <a:pPr>
        <a:defRPr sz="1100"/>
      </a:pPr>
      <a:endParaRPr lang="sr-Latn-RS"/>
    </a:p>
  </c:txPr>
  <c:externalData r:id="rId1">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c:date1904 val="0"/>
  <c:lang val="bs-Latn-B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2006</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Sheet1!$A$2:$A$4</c:f>
              <c:strCache>
                <c:ptCount val="3"/>
                <c:pt idx="0">
                  <c:v>Isključivo dojenje  - &lt; 6 mjeseci</c:v>
                </c:pt>
                <c:pt idx="1">
                  <c:v>Kontinuirano dojenje – 12 -15 mjeseci</c:v>
                </c:pt>
                <c:pt idx="2">
                  <c:v>Kontinuirano dojenje  - 20-23 mjeseca</c:v>
                </c:pt>
              </c:strCache>
            </c:strRef>
          </c:cat>
          <c:val>
            <c:numRef>
              <c:f>Sheet1!$B$2:$B$4</c:f>
              <c:numCache>
                <c:formatCode>0%</c:formatCode>
                <c:ptCount val="3"/>
                <c:pt idx="0">
                  <c:v>0.22</c:v>
                </c:pt>
                <c:pt idx="1">
                  <c:v>0.34</c:v>
                </c:pt>
                <c:pt idx="2">
                  <c:v>0.13</c:v>
                </c:pt>
              </c:numCache>
            </c:numRef>
          </c:val>
        </c:ser>
        <c:ser>
          <c:idx val="1"/>
          <c:order val="1"/>
          <c:tx>
            <c:strRef>
              <c:f>Sheet1!$C$1</c:f>
              <c:strCache>
                <c:ptCount val="1"/>
                <c:pt idx="0">
                  <c:v>2012</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Sheet1!$A$2:$A$4</c:f>
              <c:strCache>
                <c:ptCount val="3"/>
                <c:pt idx="0">
                  <c:v>Isključivo dojenje  - &lt; 6 mjeseci</c:v>
                </c:pt>
                <c:pt idx="1">
                  <c:v>Kontinuirano dojenje – 12 -15 mjeseci</c:v>
                </c:pt>
                <c:pt idx="2">
                  <c:v>Kontinuirano dojenje  - 20-23 mjeseca</c:v>
                </c:pt>
              </c:strCache>
            </c:strRef>
          </c:cat>
          <c:val>
            <c:numRef>
              <c:f>Sheet1!$C$2:$C$4</c:f>
              <c:numCache>
                <c:formatCode>0.00%</c:formatCode>
                <c:ptCount val="3"/>
                <c:pt idx="0">
                  <c:v>0.15100000000000008</c:v>
                </c:pt>
                <c:pt idx="1">
                  <c:v>0.13200000000000001</c:v>
                </c:pt>
                <c:pt idx="2">
                  <c:v>0.15300000000000008</c:v>
                </c:pt>
              </c:numCache>
            </c:numRef>
          </c:val>
        </c:ser>
        <c:dLbls>
          <c:showLegendKey val="0"/>
          <c:showVal val="1"/>
          <c:showCatName val="0"/>
          <c:showSerName val="0"/>
          <c:showPercent val="0"/>
          <c:showBubbleSize val="0"/>
        </c:dLbls>
        <c:gapWidth val="75"/>
        <c:axId val="180291072"/>
        <c:axId val="180292608"/>
      </c:barChart>
      <c:catAx>
        <c:axId val="180291072"/>
        <c:scaling>
          <c:orientation val="minMax"/>
        </c:scaling>
        <c:delete val="0"/>
        <c:axPos val="b"/>
        <c:numFmt formatCode="General" sourceLinked="0"/>
        <c:majorTickMark val="none"/>
        <c:minorTickMark val="none"/>
        <c:tickLblPos val="nextTo"/>
        <c:crossAx val="180292608"/>
        <c:crosses val="autoZero"/>
        <c:auto val="1"/>
        <c:lblAlgn val="ctr"/>
        <c:lblOffset val="100"/>
        <c:noMultiLvlLbl val="0"/>
      </c:catAx>
      <c:valAx>
        <c:axId val="180292608"/>
        <c:scaling>
          <c:orientation val="minMax"/>
        </c:scaling>
        <c:delete val="0"/>
        <c:axPos val="l"/>
        <c:numFmt formatCode="0%" sourceLinked="1"/>
        <c:majorTickMark val="none"/>
        <c:minorTickMark val="none"/>
        <c:tickLblPos val="nextTo"/>
        <c:crossAx val="180291072"/>
        <c:crosses val="autoZero"/>
        <c:crossBetween val="between"/>
      </c:valAx>
    </c:plotArea>
    <c:legend>
      <c:legendPos val="b"/>
      <c:overlay val="0"/>
    </c:legend>
    <c:plotVisOnly val="1"/>
    <c:dispBlanksAs val="gap"/>
    <c:showDLblsOverMax val="0"/>
  </c:chart>
  <c:spPr>
    <a:solidFill>
      <a:schemeClr val="lt1"/>
    </a:solidFill>
    <a:effectLst/>
  </c:spPr>
  <c:txPr>
    <a:bodyPr/>
    <a:lstStyle/>
    <a:p>
      <a:pPr>
        <a:defRPr>
          <a:solidFill>
            <a:schemeClr val="dk1"/>
          </a:solidFill>
          <a:latin typeface="+mn-lt"/>
          <a:ea typeface="+mn-ea"/>
          <a:cs typeface="+mn-cs"/>
        </a:defRPr>
      </a:pPr>
      <a:endParaRPr lang="sr-Latn-RS"/>
    </a:p>
  </c:txPr>
  <c:externalData r:id="rId1">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c:date1904 val="0"/>
  <c:lang val="bs-Latn-B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'Faktori rizika po zdravlje'!$B$175:$B$177</c:f>
              <c:strCache>
                <c:ptCount val="3"/>
                <c:pt idx="0">
                  <c:v>Ukupno</c:v>
                </c:pt>
                <c:pt idx="1">
                  <c:v>Žene</c:v>
                </c:pt>
                <c:pt idx="2">
                  <c:v>Muškarci</c:v>
                </c:pt>
              </c:strCache>
            </c:strRef>
          </c:cat>
          <c:val>
            <c:numRef>
              <c:f>'Faktori rizika po zdravlje'!$C$175:$C$177</c:f>
              <c:numCache>
                <c:formatCode>General</c:formatCode>
                <c:ptCount val="3"/>
                <c:pt idx="0">
                  <c:v>44.1</c:v>
                </c:pt>
                <c:pt idx="1">
                  <c:v>31.6</c:v>
                </c:pt>
                <c:pt idx="2">
                  <c:v>56.3</c:v>
                </c:pt>
              </c:numCache>
            </c:numRef>
          </c:val>
        </c:ser>
        <c:dLbls>
          <c:showLegendKey val="0"/>
          <c:showVal val="0"/>
          <c:showCatName val="0"/>
          <c:showSerName val="0"/>
          <c:showPercent val="0"/>
          <c:showBubbleSize val="0"/>
        </c:dLbls>
        <c:gapWidth val="219"/>
        <c:overlap val="-27"/>
        <c:axId val="180330496"/>
        <c:axId val="180332032"/>
      </c:barChart>
      <c:catAx>
        <c:axId val="1803304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180332032"/>
        <c:crosses val="autoZero"/>
        <c:auto val="1"/>
        <c:lblAlgn val="ctr"/>
        <c:lblOffset val="100"/>
        <c:noMultiLvlLbl val="0"/>
      </c:catAx>
      <c:valAx>
        <c:axId val="180332032"/>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1803304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dk1">
          <a:alpha val="0"/>
        </a:schemeClr>
      </a:solidFill>
      <a:round/>
    </a:ln>
    <a:effectLst/>
  </c:spPr>
  <c:txPr>
    <a:bodyPr/>
    <a:lstStyle/>
    <a:p>
      <a:pPr>
        <a:defRPr/>
      </a:pPr>
      <a:endParaRPr lang="sr-Latn-R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bs-Latn-BA"/>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0.18659951881014891"/>
          <c:y val="7.407407407407407E-2"/>
          <c:w val="0.76301859142607265"/>
          <c:h val="0.79869969378827843"/>
        </c:manualLayout>
      </c:layout>
      <c:bar3DChart>
        <c:barDir val="bar"/>
        <c:grouping val="clustered"/>
        <c:varyColors val="0"/>
        <c:ser>
          <c:idx val="0"/>
          <c:order val="0"/>
          <c:invertIfNegative val="0"/>
          <c:dLbls>
            <c:dLbl>
              <c:idx val="0"/>
              <c:layout>
                <c:manualLayout>
                  <c:x val="-0.30012649767851574"/>
                  <c:y val="0"/>
                </c:manualLayout>
              </c:layout>
              <c:spPr/>
              <c:txPr>
                <a:bodyPr anchor="ctr" anchorCtr="0"/>
                <a:lstStyle/>
                <a:p>
                  <a:pPr>
                    <a:defRPr baseline="0">
                      <a:solidFill>
                        <a:schemeClr val="bg1"/>
                      </a:solidFill>
                    </a:defRPr>
                  </a:pPr>
                  <a:endParaRPr lang="sr-Latn-RS"/>
                </a:p>
              </c:txPr>
              <c:showLegendKey val="0"/>
              <c:showVal val="1"/>
              <c:showCatName val="0"/>
              <c:showSerName val="0"/>
              <c:showPercent val="0"/>
              <c:showBubbleSize val="0"/>
              <c:extLst>
                <c:ext xmlns:c15="http://schemas.microsoft.com/office/drawing/2012/chart" uri="{CE6537A1-D6FC-4f65-9D91-7224C49458BB}"/>
              </c:extLst>
            </c:dLbl>
            <c:dLbl>
              <c:idx val="1"/>
              <c:layout>
                <c:manualLayout>
                  <c:x val="-0.37380550871276053"/>
                  <c:y val="-1.3888888888888914E-2"/>
                </c:manualLayout>
              </c:layout>
              <c:spPr/>
              <c:txPr>
                <a:bodyPr anchor="ctr" anchorCtr="0"/>
                <a:lstStyle/>
                <a:p>
                  <a:pPr>
                    <a:defRPr baseline="0">
                      <a:solidFill>
                        <a:schemeClr val="bg1"/>
                      </a:solidFill>
                    </a:defRPr>
                  </a:pPr>
                  <a:endParaRPr lang="sr-Latn-RS"/>
                </a:p>
              </c:txPr>
              <c:showLegendKey val="0"/>
              <c:showVal val="1"/>
              <c:showCatName val="0"/>
              <c:showSerName val="0"/>
              <c:showPercent val="0"/>
              <c:showBubbleSize val="0"/>
              <c:extLst>
                <c:ext xmlns:c15="http://schemas.microsoft.com/office/drawing/2012/chart" uri="{CE6537A1-D6FC-4f65-9D91-7224C49458BB}"/>
              </c:extLst>
            </c:dLbl>
            <c:dLbl>
              <c:idx val="2"/>
              <c:layout>
                <c:manualLayout>
                  <c:x val="-0.35528391160211231"/>
                  <c:y val="-9.2592592592592865E-3"/>
                </c:manualLayout>
              </c:layout>
              <c:spPr/>
              <c:txPr>
                <a:bodyPr anchor="ctr" anchorCtr="0"/>
                <a:lstStyle/>
                <a:p>
                  <a:pPr>
                    <a:defRPr baseline="0">
                      <a:solidFill>
                        <a:schemeClr val="bg1"/>
                      </a:solidFill>
                    </a:defRPr>
                  </a:pPr>
                  <a:endParaRPr lang="sr-Latn-RS"/>
                </a:p>
              </c:txPr>
              <c:showLegendKey val="0"/>
              <c:showVal val="1"/>
              <c:showCatName val="0"/>
              <c:showSerName val="0"/>
              <c:showPercent val="0"/>
              <c:showBubbleSize val="0"/>
              <c:extLst>
                <c:ext xmlns:c15="http://schemas.microsoft.com/office/drawing/2012/chart" uri="{CE6537A1-D6FC-4f65-9D91-7224C49458BB}"/>
              </c:extLst>
            </c:dLbl>
            <c:dLbl>
              <c:idx val="3"/>
              <c:layout>
                <c:manualLayout>
                  <c:x val="-0.38531015832127274"/>
                  <c:y val="-9.2592592592593264E-3"/>
                </c:manualLayout>
              </c:layout>
              <c:spPr/>
              <c:txPr>
                <a:bodyPr anchor="ctr" anchorCtr="0"/>
                <a:lstStyle/>
                <a:p>
                  <a:pPr>
                    <a:defRPr baseline="0">
                      <a:solidFill>
                        <a:schemeClr val="bg1"/>
                      </a:solidFill>
                    </a:defRPr>
                  </a:pPr>
                  <a:endParaRPr lang="sr-Latn-RS"/>
                </a:p>
              </c:txPr>
              <c:showLegendKey val="0"/>
              <c:showVal val="1"/>
              <c:showCatName val="0"/>
              <c:showSerName val="0"/>
              <c:showPercent val="0"/>
              <c:showBubbleSize val="0"/>
              <c:extLst>
                <c:ext xmlns:c15="http://schemas.microsoft.com/office/drawing/2012/chart" uri="{CE6537A1-D6FC-4f65-9D91-7224C49458BB}"/>
              </c:extLst>
            </c:dLbl>
            <c:dLbl>
              <c:idx val="4"/>
              <c:layout>
                <c:manualLayout>
                  <c:x val="-0.40317120562290598"/>
                  <c:y val="-1.3888888888888914E-2"/>
                </c:manualLayout>
              </c:layout>
              <c:spPr/>
              <c:txPr>
                <a:bodyPr anchor="ctr" anchorCtr="0"/>
                <a:lstStyle/>
                <a:p>
                  <a:pPr>
                    <a:defRPr baseline="0">
                      <a:solidFill>
                        <a:schemeClr val="bg1"/>
                      </a:solidFill>
                    </a:defRPr>
                  </a:pPr>
                  <a:endParaRPr lang="sr-Latn-RS"/>
                </a:p>
              </c:txPr>
              <c:showLegendKey val="0"/>
              <c:showVal val="1"/>
              <c:showCatName val="0"/>
              <c:showSerName val="0"/>
              <c:showPercent val="0"/>
              <c:showBubbleSize val="0"/>
              <c:extLst>
                <c:ext xmlns:c15="http://schemas.microsoft.com/office/drawing/2012/chart" uri="{CE6537A1-D6FC-4f65-9D91-7224C49458BB}"/>
              </c:extLst>
            </c:dLbl>
            <c:dLbl>
              <c:idx val="5"/>
              <c:layout>
                <c:manualLayout>
                  <c:x val="-0.35886727481155956"/>
                  <c:y val="-1.3888888888888914E-2"/>
                </c:manualLayout>
              </c:layout>
              <c:spPr/>
              <c:txPr>
                <a:bodyPr anchor="ctr" anchorCtr="0"/>
                <a:lstStyle/>
                <a:p>
                  <a:pPr>
                    <a:defRPr baseline="0">
                      <a:solidFill>
                        <a:schemeClr val="bg1"/>
                      </a:solidFill>
                    </a:defRPr>
                  </a:pPr>
                  <a:endParaRPr lang="sr-Latn-RS"/>
                </a:p>
              </c:txPr>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Sheet2!$K$15:$K$20</c:f>
              <c:strCache>
                <c:ptCount val="6"/>
                <c:pt idx="0">
                  <c:v>EU</c:v>
                </c:pt>
                <c:pt idx="1">
                  <c:v>Hrvatska</c:v>
                </c:pt>
                <c:pt idx="2">
                  <c:v>F BiH</c:v>
                </c:pt>
                <c:pt idx="3">
                  <c:v>Mađarska</c:v>
                </c:pt>
                <c:pt idx="4">
                  <c:v>Rumunija</c:v>
                </c:pt>
                <c:pt idx="5">
                  <c:v>Bugarska</c:v>
                </c:pt>
              </c:strCache>
            </c:strRef>
          </c:cat>
          <c:val>
            <c:numRef>
              <c:f>Sheet2!$L$15:$L$20</c:f>
              <c:numCache>
                <c:formatCode>General</c:formatCode>
                <c:ptCount val="6"/>
                <c:pt idx="0">
                  <c:v>575.5</c:v>
                </c:pt>
                <c:pt idx="1">
                  <c:v>721.47</c:v>
                </c:pt>
                <c:pt idx="2">
                  <c:v>762.2</c:v>
                </c:pt>
                <c:pt idx="3">
                  <c:v>840.71</c:v>
                </c:pt>
                <c:pt idx="4">
                  <c:v>901.31</c:v>
                </c:pt>
                <c:pt idx="5">
                  <c:v>930.45999999999947</c:v>
                </c:pt>
              </c:numCache>
            </c:numRef>
          </c:val>
        </c:ser>
        <c:dLbls>
          <c:showLegendKey val="0"/>
          <c:showVal val="0"/>
          <c:showCatName val="0"/>
          <c:showSerName val="0"/>
          <c:showPercent val="0"/>
          <c:showBubbleSize val="0"/>
        </c:dLbls>
        <c:gapWidth val="150"/>
        <c:shape val="box"/>
        <c:axId val="37052800"/>
        <c:axId val="37054336"/>
        <c:axId val="0"/>
      </c:bar3DChart>
      <c:catAx>
        <c:axId val="37052800"/>
        <c:scaling>
          <c:orientation val="minMax"/>
        </c:scaling>
        <c:delete val="0"/>
        <c:axPos val="l"/>
        <c:numFmt formatCode="General" sourceLinked="0"/>
        <c:majorTickMark val="out"/>
        <c:minorTickMark val="none"/>
        <c:tickLblPos val="nextTo"/>
        <c:crossAx val="37054336"/>
        <c:crosses val="autoZero"/>
        <c:auto val="1"/>
        <c:lblAlgn val="ctr"/>
        <c:lblOffset val="100"/>
        <c:noMultiLvlLbl val="0"/>
      </c:catAx>
      <c:valAx>
        <c:axId val="37054336"/>
        <c:scaling>
          <c:orientation val="minMax"/>
        </c:scaling>
        <c:delete val="0"/>
        <c:axPos val="b"/>
        <c:numFmt formatCode="General" sourceLinked="1"/>
        <c:majorTickMark val="out"/>
        <c:minorTickMark val="none"/>
        <c:tickLblPos val="nextTo"/>
        <c:crossAx val="37052800"/>
        <c:crosses val="autoZero"/>
        <c:crossBetween val="between"/>
      </c:valAx>
    </c:plotArea>
    <c:plotVisOnly val="1"/>
    <c:dispBlanksAs val="gap"/>
    <c:showDLblsOverMax val="0"/>
  </c:chart>
  <c:externalData r:id="rId1">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c:date1904 val="0"/>
  <c:lang val="bs-Latn-BA"/>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barChart>
        <c:barDir val="col"/>
        <c:grouping val="clustered"/>
        <c:varyColors val="0"/>
        <c:ser>
          <c:idx val="0"/>
          <c:order val="0"/>
          <c:invertIfNegative val="0"/>
          <c:dPt>
            <c:idx val="0"/>
            <c:invertIfNegative val="0"/>
            <c:bubble3D val="0"/>
            <c:spPr>
              <a:solidFill>
                <a:srgbClr val="002060"/>
              </a:solidFill>
            </c:spPr>
          </c:dPt>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'[1]Stalni pušači'!$B$29:$B$41</c:f>
              <c:strCache>
                <c:ptCount val="13"/>
                <c:pt idx="0">
                  <c:v>FBIH</c:v>
                </c:pt>
                <c:pt idx="1">
                  <c:v>Urbano</c:v>
                </c:pt>
                <c:pt idx="2">
                  <c:v>Ruralno</c:v>
                </c:pt>
                <c:pt idx="4">
                  <c:v>Žene</c:v>
                </c:pt>
                <c:pt idx="5">
                  <c:v>Muškarci</c:v>
                </c:pt>
                <c:pt idx="7">
                  <c:v>18-24</c:v>
                </c:pt>
                <c:pt idx="8">
                  <c:v>25-34</c:v>
                </c:pt>
                <c:pt idx="9">
                  <c:v>35-44</c:v>
                </c:pt>
                <c:pt idx="10">
                  <c:v>45-54</c:v>
                </c:pt>
                <c:pt idx="11">
                  <c:v>55-64</c:v>
                </c:pt>
                <c:pt idx="12">
                  <c:v>65+</c:v>
                </c:pt>
              </c:strCache>
            </c:strRef>
          </c:cat>
          <c:val>
            <c:numRef>
              <c:f>'[1]Stalni pušači'!$C$29:$C$41</c:f>
              <c:numCache>
                <c:formatCode>General</c:formatCode>
                <c:ptCount val="13"/>
                <c:pt idx="0">
                  <c:v>16.899999999999999</c:v>
                </c:pt>
                <c:pt idx="1">
                  <c:v>16.8</c:v>
                </c:pt>
                <c:pt idx="2">
                  <c:v>16.899999999999999</c:v>
                </c:pt>
                <c:pt idx="4">
                  <c:v>14.8</c:v>
                </c:pt>
                <c:pt idx="5">
                  <c:v>18.2</c:v>
                </c:pt>
                <c:pt idx="7">
                  <c:v>14.9</c:v>
                </c:pt>
                <c:pt idx="8">
                  <c:v>17.3</c:v>
                </c:pt>
                <c:pt idx="9">
                  <c:v>17.3</c:v>
                </c:pt>
                <c:pt idx="10">
                  <c:v>17.8</c:v>
                </c:pt>
                <c:pt idx="11">
                  <c:v>17.100000000000001</c:v>
                </c:pt>
                <c:pt idx="12">
                  <c:v>12.8</c:v>
                </c:pt>
              </c:numCache>
            </c:numRef>
          </c:val>
        </c:ser>
        <c:dLbls>
          <c:showLegendKey val="0"/>
          <c:showVal val="0"/>
          <c:showCatName val="0"/>
          <c:showSerName val="0"/>
          <c:showPercent val="0"/>
          <c:showBubbleSize val="0"/>
        </c:dLbls>
        <c:gapWidth val="150"/>
        <c:axId val="179914240"/>
        <c:axId val="179915776"/>
      </c:barChart>
      <c:catAx>
        <c:axId val="179914240"/>
        <c:scaling>
          <c:orientation val="minMax"/>
        </c:scaling>
        <c:delete val="0"/>
        <c:axPos val="b"/>
        <c:numFmt formatCode="General" sourceLinked="0"/>
        <c:majorTickMark val="out"/>
        <c:minorTickMark val="none"/>
        <c:tickLblPos val="nextTo"/>
        <c:txPr>
          <a:bodyPr/>
          <a:lstStyle/>
          <a:p>
            <a:pPr>
              <a:defRPr lang="hr-BA" sz="900"/>
            </a:pPr>
            <a:endParaRPr lang="sr-Latn-RS"/>
          </a:p>
        </c:txPr>
        <c:crossAx val="179915776"/>
        <c:crosses val="autoZero"/>
        <c:auto val="1"/>
        <c:lblAlgn val="ctr"/>
        <c:lblOffset val="100"/>
        <c:noMultiLvlLbl val="0"/>
      </c:catAx>
      <c:valAx>
        <c:axId val="179915776"/>
        <c:scaling>
          <c:orientation val="minMax"/>
        </c:scaling>
        <c:delete val="0"/>
        <c:axPos val="l"/>
        <c:numFmt formatCode="General" sourceLinked="1"/>
        <c:majorTickMark val="out"/>
        <c:minorTickMark val="none"/>
        <c:tickLblPos val="nextTo"/>
        <c:txPr>
          <a:bodyPr/>
          <a:lstStyle/>
          <a:p>
            <a:pPr>
              <a:defRPr lang="hr-BA"/>
            </a:pPr>
            <a:endParaRPr lang="sr-Latn-RS"/>
          </a:p>
        </c:txPr>
        <c:crossAx val="179914240"/>
        <c:crosses val="autoZero"/>
        <c:crossBetween val="between"/>
      </c:valAx>
    </c:plotArea>
    <c:plotVisOnly val="1"/>
    <c:dispBlanksAs val="gap"/>
    <c:showDLblsOverMax val="0"/>
  </c:chart>
  <c:externalData r:id="rId1">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c:date1904 val="0"/>
  <c:lang val="bs-Latn-BA"/>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barChart>
        <c:barDir val="col"/>
        <c:grouping val="clustered"/>
        <c:varyColors val="0"/>
        <c:ser>
          <c:idx val="0"/>
          <c:order val="0"/>
          <c:invertIfNegative val="0"/>
          <c:dLbls>
            <c:dLbl>
              <c:idx val="0"/>
              <c:tx>
                <c:rich>
                  <a:bodyPr/>
                  <a:lstStyle/>
                  <a:p>
                    <a:r>
                      <a:rPr lang="en-US"/>
                      <a:t>54,1</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lang="hr-BA"/>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'[24]Stalni pušači'!$B$48:$B$50</c:f>
              <c:strCache>
                <c:ptCount val="3"/>
                <c:pt idx="0">
                  <c:v>U kući</c:v>
                </c:pt>
                <c:pt idx="1">
                  <c:v>Radna mjesta</c:v>
                </c:pt>
                <c:pt idx="2">
                  <c:v>Javna mjesta</c:v>
                </c:pt>
              </c:strCache>
            </c:strRef>
          </c:cat>
          <c:val>
            <c:numRef>
              <c:f>'[24]Stalni pušači'!$C$48:$C$50</c:f>
              <c:numCache>
                <c:formatCode>General</c:formatCode>
                <c:ptCount val="3"/>
                <c:pt idx="0">
                  <c:v>54.4</c:v>
                </c:pt>
                <c:pt idx="1">
                  <c:v>44.4</c:v>
                </c:pt>
                <c:pt idx="2">
                  <c:v>52.7</c:v>
                </c:pt>
              </c:numCache>
            </c:numRef>
          </c:val>
        </c:ser>
        <c:dLbls>
          <c:showLegendKey val="0"/>
          <c:showVal val="0"/>
          <c:showCatName val="0"/>
          <c:showSerName val="0"/>
          <c:showPercent val="0"/>
          <c:showBubbleSize val="0"/>
        </c:dLbls>
        <c:gapWidth val="150"/>
        <c:axId val="182327936"/>
        <c:axId val="182350208"/>
      </c:barChart>
      <c:catAx>
        <c:axId val="182327936"/>
        <c:scaling>
          <c:orientation val="minMax"/>
        </c:scaling>
        <c:delete val="0"/>
        <c:axPos val="b"/>
        <c:numFmt formatCode="General" sourceLinked="0"/>
        <c:majorTickMark val="out"/>
        <c:minorTickMark val="none"/>
        <c:tickLblPos val="nextTo"/>
        <c:txPr>
          <a:bodyPr/>
          <a:lstStyle/>
          <a:p>
            <a:pPr>
              <a:defRPr lang="hr-BA"/>
            </a:pPr>
            <a:endParaRPr lang="sr-Latn-RS"/>
          </a:p>
        </c:txPr>
        <c:crossAx val="182350208"/>
        <c:crosses val="autoZero"/>
        <c:auto val="1"/>
        <c:lblAlgn val="ctr"/>
        <c:lblOffset val="100"/>
        <c:noMultiLvlLbl val="0"/>
      </c:catAx>
      <c:valAx>
        <c:axId val="182350208"/>
        <c:scaling>
          <c:orientation val="minMax"/>
        </c:scaling>
        <c:delete val="0"/>
        <c:axPos val="l"/>
        <c:numFmt formatCode="General" sourceLinked="1"/>
        <c:majorTickMark val="out"/>
        <c:minorTickMark val="none"/>
        <c:tickLblPos val="nextTo"/>
        <c:txPr>
          <a:bodyPr/>
          <a:lstStyle/>
          <a:p>
            <a:pPr>
              <a:defRPr lang="hr-BA"/>
            </a:pPr>
            <a:endParaRPr lang="sr-Latn-RS"/>
          </a:p>
        </c:txPr>
        <c:crossAx val="182327936"/>
        <c:crosses val="autoZero"/>
        <c:crossBetween val="between"/>
      </c:valAx>
    </c:plotArea>
    <c:plotVisOnly val="1"/>
    <c:dispBlanksAs val="gap"/>
    <c:showDLblsOverMax val="0"/>
  </c:chart>
  <c:externalData r:id="rId1">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c:date1904 val="0"/>
  <c:lang val="bs-Latn-B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Sheet1!$B$7</c:f>
              <c:strCache>
                <c:ptCount val="1"/>
                <c:pt idx="0">
                  <c:v>Maligne neoplazme ( C00-C96)</c:v>
                </c:pt>
              </c:strCache>
            </c:strRef>
          </c:tx>
          <c:spPr>
            <a:ln w="22225" cap="rnd" cmpd="sng" algn="ctr">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numRef>
              <c:f>Sheet1!$C$6:$H$6</c:f>
              <c:numCache>
                <c:formatCode>General</c:formatCode>
                <c:ptCount val="6"/>
                <c:pt idx="0">
                  <c:v>2010</c:v>
                </c:pt>
                <c:pt idx="1">
                  <c:v>2011</c:v>
                </c:pt>
                <c:pt idx="2">
                  <c:v>2012</c:v>
                </c:pt>
                <c:pt idx="3">
                  <c:v>2013</c:v>
                </c:pt>
                <c:pt idx="4">
                  <c:v>2014</c:v>
                </c:pt>
                <c:pt idx="5">
                  <c:v>2015</c:v>
                </c:pt>
              </c:numCache>
            </c:numRef>
          </c:cat>
          <c:val>
            <c:numRef>
              <c:f>Sheet1!$C$7:$H$7</c:f>
              <c:numCache>
                <c:formatCode>General</c:formatCode>
                <c:ptCount val="6"/>
                <c:pt idx="0">
                  <c:v>52</c:v>
                </c:pt>
                <c:pt idx="1">
                  <c:v>51</c:v>
                </c:pt>
                <c:pt idx="2">
                  <c:v>56</c:v>
                </c:pt>
                <c:pt idx="3">
                  <c:v>63.7</c:v>
                </c:pt>
                <c:pt idx="4">
                  <c:v>67.2</c:v>
                </c:pt>
                <c:pt idx="5">
                  <c:v>62.1</c:v>
                </c:pt>
              </c:numCache>
            </c:numRef>
          </c:val>
          <c:smooth val="0"/>
        </c:ser>
        <c:ser>
          <c:idx val="1"/>
          <c:order val="1"/>
          <c:tx>
            <c:strRef>
              <c:f>Sheet1!$B$8</c:f>
              <c:strCache>
                <c:ptCount val="1"/>
                <c:pt idx="0">
                  <c:v>Maligne  neoplazme bronha i pluća ( C34)</c:v>
                </c:pt>
              </c:strCache>
            </c:strRef>
          </c:tx>
          <c:spPr>
            <a:ln w="22225" cap="rnd" cmpd="sng" algn="ctr">
              <a:solidFill>
                <a:schemeClr val="accent2"/>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numRef>
              <c:f>Sheet1!$C$6:$H$6</c:f>
              <c:numCache>
                <c:formatCode>General</c:formatCode>
                <c:ptCount val="6"/>
                <c:pt idx="0">
                  <c:v>2010</c:v>
                </c:pt>
                <c:pt idx="1">
                  <c:v>2011</c:v>
                </c:pt>
                <c:pt idx="2">
                  <c:v>2012</c:v>
                </c:pt>
                <c:pt idx="3">
                  <c:v>2013</c:v>
                </c:pt>
                <c:pt idx="4">
                  <c:v>2014</c:v>
                </c:pt>
                <c:pt idx="5">
                  <c:v>2015</c:v>
                </c:pt>
              </c:numCache>
            </c:numRef>
          </c:cat>
          <c:val>
            <c:numRef>
              <c:f>Sheet1!$C$8:$H$8</c:f>
              <c:numCache>
                <c:formatCode>General</c:formatCode>
                <c:ptCount val="6"/>
                <c:pt idx="0">
                  <c:v>4.8</c:v>
                </c:pt>
                <c:pt idx="1">
                  <c:v>4.8</c:v>
                </c:pt>
                <c:pt idx="2">
                  <c:v>5.7</c:v>
                </c:pt>
                <c:pt idx="3">
                  <c:v>6</c:v>
                </c:pt>
                <c:pt idx="4">
                  <c:v>6.9</c:v>
                </c:pt>
                <c:pt idx="5">
                  <c:v>5.0999999999999996</c:v>
                </c:pt>
              </c:numCache>
            </c:numRef>
          </c:val>
          <c:smooth val="0"/>
        </c:ser>
        <c:dLbls>
          <c:showLegendKey val="0"/>
          <c:showVal val="0"/>
          <c:showCatName val="0"/>
          <c:showSerName val="0"/>
          <c:showPercent val="0"/>
          <c:showBubbleSize val="0"/>
        </c:dLbls>
        <c:dropLines>
          <c:spPr>
            <a:ln w="9525" cap="flat" cmpd="sng" algn="ctr">
              <a:solidFill>
                <a:schemeClr val="dk1">
                  <a:lumMod val="35000"/>
                  <a:lumOff val="65000"/>
                  <a:alpha val="33000"/>
                </a:schemeClr>
              </a:solidFill>
              <a:round/>
            </a:ln>
            <a:effectLst/>
          </c:spPr>
        </c:dropLines>
        <c:marker val="1"/>
        <c:smooth val="0"/>
        <c:axId val="183047680"/>
        <c:axId val="183049216"/>
      </c:lineChart>
      <c:catAx>
        <c:axId val="183047680"/>
        <c:scaling>
          <c:orientation val="minMax"/>
        </c:scaling>
        <c:delete val="0"/>
        <c:axPos val="b"/>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sr-Latn-RS"/>
          </a:p>
        </c:txPr>
        <c:crossAx val="183049216"/>
        <c:crosses val="autoZero"/>
        <c:auto val="1"/>
        <c:lblAlgn val="ctr"/>
        <c:lblOffset val="100"/>
        <c:noMultiLvlLbl val="0"/>
      </c:catAx>
      <c:valAx>
        <c:axId val="18304921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sr-Latn-RS"/>
          </a:p>
        </c:txPr>
        <c:crossAx val="183047680"/>
        <c:crosses val="autoZero"/>
        <c:crossBetween val="between"/>
      </c:valAx>
      <c:spPr>
        <a:gradFill>
          <a:gsLst>
            <a:gs pos="100000">
              <a:schemeClr val="lt1">
                <a:lumMod val="95000"/>
              </a:schemeClr>
            </a:gs>
            <a:gs pos="0">
              <a:schemeClr val="lt1"/>
            </a:gs>
          </a:gsLst>
          <a:lin ang="5400000" scaled="0"/>
        </a:grad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sr-Latn-RS"/>
        </a:p>
      </c:txPr>
    </c:legend>
    <c:plotVisOnly val="1"/>
    <c:dispBlanksAs val="gap"/>
    <c:showDLblsOverMax val="0"/>
  </c:chart>
  <c:spPr>
    <a:solidFill>
      <a:schemeClr val="lt1"/>
    </a:solidFill>
    <a:ln w="9525" cap="flat" cmpd="sng" algn="ctr">
      <a:solidFill>
        <a:schemeClr val="tx1"/>
      </a:solidFill>
      <a:round/>
    </a:ln>
    <a:effectLst/>
  </c:spPr>
  <c:txPr>
    <a:bodyPr/>
    <a:lstStyle/>
    <a:p>
      <a:pPr>
        <a:defRPr/>
      </a:pPr>
      <a:endParaRPr lang="sr-Latn-RS"/>
    </a:p>
  </c:txPr>
  <c:externalData r:id="rId1">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c:date1904 val="0"/>
  <c:lang val="bs-Latn-B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invertIfNegative val="0"/>
          <c:cat>
            <c:strRef>
              <c:f>Sheet1!$H$84:$H$90</c:f>
              <c:strCache>
                <c:ptCount val="7"/>
                <c:pt idx="0">
                  <c:v>15-19</c:v>
                </c:pt>
                <c:pt idx="1">
                  <c:v>20-24</c:v>
                </c:pt>
                <c:pt idx="2">
                  <c:v>25-29</c:v>
                </c:pt>
                <c:pt idx="3">
                  <c:v>30-34</c:v>
                </c:pt>
                <c:pt idx="4">
                  <c:v>35-39</c:v>
                </c:pt>
                <c:pt idx="5">
                  <c:v>40-44</c:v>
                </c:pt>
                <c:pt idx="6">
                  <c:v>45-49</c:v>
                </c:pt>
              </c:strCache>
            </c:strRef>
          </c:cat>
          <c:val>
            <c:numRef>
              <c:f>Sheet1!$I$84:$I$90</c:f>
              <c:numCache>
                <c:formatCode>####.0</c:formatCode>
                <c:ptCount val="7"/>
                <c:pt idx="0">
                  <c:v>16.880311318072724</c:v>
                </c:pt>
                <c:pt idx="1">
                  <c:v>34.911821551006675</c:v>
                </c:pt>
                <c:pt idx="2">
                  <c:v>35.039651006413976</c:v>
                </c:pt>
                <c:pt idx="3">
                  <c:v>27.526659064990685</c:v>
                </c:pt>
                <c:pt idx="4">
                  <c:v>28.195495962673544</c:v>
                </c:pt>
                <c:pt idx="5">
                  <c:v>27.423335358408654</c:v>
                </c:pt>
                <c:pt idx="6">
                  <c:v>30.434048774788199</c:v>
                </c:pt>
              </c:numCache>
            </c:numRef>
          </c:val>
        </c:ser>
        <c:dLbls>
          <c:showLegendKey val="0"/>
          <c:showVal val="0"/>
          <c:showCatName val="0"/>
          <c:showSerName val="0"/>
          <c:showPercent val="0"/>
          <c:showBubbleSize val="0"/>
        </c:dLbls>
        <c:gapWidth val="150"/>
        <c:axId val="183061120"/>
        <c:axId val="183075200"/>
      </c:barChart>
      <c:catAx>
        <c:axId val="183061120"/>
        <c:scaling>
          <c:orientation val="minMax"/>
        </c:scaling>
        <c:delete val="0"/>
        <c:axPos val="b"/>
        <c:numFmt formatCode="General" sourceLinked="0"/>
        <c:majorTickMark val="out"/>
        <c:minorTickMark val="none"/>
        <c:tickLblPos val="nextTo"/>
        <c:txPr>
          <a:bodyPr/>
          <a:lstStyle/>
          <a:p>
            <a:pPr>
              <a:defRPr lang="bs-Latn-BA"/>
            </a:pPr>
            <a:endParaRPr lang="sr-Latn-RS"/>
          </a:p>
        </c:txPr>
        <c:crossAx val="183075200"/>
        <c:crosses val="autoZero"/>
        <c:auto val="1"/>
        <c:lblAlgn val="ctr"/>
        <c:lblOffset val="100"/>
        <c:noMultiLvlLbl val="0"/>
      </c:catAx>
      <c:valAx>
        <c:axId val="183075200"/>
        <c:scaling>
          <c:orientation val="minMax"/>
        </c:scaling>
        <c:delete val="0"/>
        <c:axPos val="l"/>
        <c:majorGridlines/>
        <c:numFmt formatCode="####.0" sourceLinked="1"/>
        <c:majorTickMark val="out"/>
        <c:minorTickMark val="none"/>
        <c:tickLblPos val="nextTo"/>
        <c:txPr>
          <a:bodyPr/>
          <a:lstStyle/>
          <a:p>
            <a:pPr>
              <a:defRPr lang="bs-Latn-BA"/>
            </a:pPr>
            <a:endParaRPr lang="sr-Latn-RS"/>
          </a:p>
        </c:txPr>
        <c:crossAx val="183061120"/>
        <c:crosses val="autoZero"/>
        <c:crossBetween val="between"/>
      </c:valAx>
    </c:plotArea>
    <c:plotVisOnly val="1"/>
    <c:dispBlanksAs val="gap"/>
    <c:showDLblsOverMax val="0"/>
  </c:chart>
  <c:externalData r:id="rId2">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c:date1904 val="0"/>
  <c:lang val="bs-Latn-BA"/>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barChart>
        <c:barDir val="col"/>
        <c:grouping val="clustered"/>
        <c:varyColors val="0"/>
        <c:ser>
          <c:idx val="0"/>
          <c:order val="0"/>
          <c:invertIfNegative val="0"/>
          <c:dPt>
            <c:idx val="0"/>
            <c:invertIfNegative val="0"/>
            <c:bubble3D val="0"/>
            <c:spPr>
              <a:solidFill>
                <a:srgbClr val="002060"/>
              </a:solidFill>
            </c:spPr>
          </c:dPt>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'[24]Stalni pušači'!$B$105:$B$117</c:f>
              <c:strCache>
                <c:ptCount val="13"/>
                <c:pt idx="0">
                  <c:v>FBIH</c:v>
                </c:pt>
                <c:pt idx="1">
                  <c:v>Urbano</c:v>
                </c:pt>
                <c:pt idx="2">
                  <c:v>Ruralno</c:v>
                </c:pt>
                <c:pt idx="4">
                  <c:v>Žene</c:v>
                </c:pt>
                <c:pt idx="5">
                  <c:v>Muškarci</c:v>
                </c:pt>
                <c:pt idx="7">
                  <c:v>18-24</c:v>
                </c:pt>
                <c:pt idx="8">
                  <c:v>25-34</c:v>
                </c:pt>
                <c:pt idx="9">
                  <c:v>35-44</c:v>
                </c:pt>
                <c:pt idx="10">
                  <c:v>45-54</c:v>
                </c:pt>
                <c:pt idx="11">
                  <c:v>55-64</c:v>
                </c:pt>
                <c:pt idx="12">
                  <c:v>65+</c:v>
                </c:pt>
              </c:strCache>
            </c:strRef>
          </c:cat>
          <c:val>
            <c:numRef>
              <c:f>'[24]Stalni pušači'!$C$105:$C$117</c:f>
              <c:numCache>
                <c:formatCode>General</c:formatCode>
                <c:ptCount val="13"/>
                <c:pt idx="0">
                  <c:v>28.8</c:v>
                </c:pt>
                <c:pt idx="1">
                  <c:v>29.7</c:v>
                </c:pt>
                <c:pt idx="2">
                  <c:v>28.1</c:v>
                </c:pt>
                <c:pt idx="4">
                  <c:v>11</c:v>
                </c:pt>
                <c:pt idx="5">
                  <c:v>46.1</c:v>
                </c:pt>
                <c:pt idx="7">
                  <c:v>31.1</c:v>
                </c:pt>
                <c:pt idx="8">
                  <c:v>33.700000000000003</c:v>
                </c:pt>
                <c:pt idx="9">
                  <c:v>30.9</c:v>
                </c:pt>
                <c:pt idx="10">
                  <c:v>28.4</c:v>
                </c:pt>
                <c:pt idx="11">
                  <c:v>27.8</c:v>
                </c:pt>
                <c:pt idx="12">
                  <c:v>20.5</c:v>
                </c:pt>
              </c:numCache>
            </c:numRef>
          </c:val>
        </c:ser>
        <c:dLbls>
          <c:showLegendKey val="0"/>
          <c:showVal val="0"/>
          <c:showCatName val="0"/>
          <c:showSerName val="0"/>
          <c:showPercent val="0"/>
          <c:showBubbleSize val="0"/>
        </c:dLbls>
        <c:gapWidth val="150"/>
        <c:axId val="183091584"/>
        <c:axId val="183093120"/>
      </c:barChart>
      <c:catAx>
        <c:axId val="183091584"/>
        <c:scaling>
          <c:orientation val="minMax"/>
        </c:scaling>
        <c:delete val="0"/>
        <c:axPos val="b"/>
        <c:numFmt formatCode="General" sourceLinked="0"/>
        <c:majorTickMark val="out"/>
        <c:minorTickMark val="none"/>
        <c:tickLblPos val="nextTo"/>
        <c:txPr>
          <a:bodyPr rot="-5400000" vert="horz"/>
          <a:lstStyle/>
          <a:p>
            <a:pPr>
              <a:defRPr lang="hr-BA"/>
            </a:pPr>
            <a:endParaRPr lang="sr-Latn-RS"/>
          </a:p>
        </c:txPr>
        <c:crossAx val="183093120"/>
        <c:crosses val="autoZero"/>
        <c:auto val="1"/>
        <c:lblAlgn val="ctr"/>
        <c:lblOffset val="100"/>
        <c:noMultiLvlLbl val="0"/>
      </c:catAx>
      <c:valAx>
        <c:axId val="183093120"/>
        <c:scaling>
          <c:orientation val="minMax"/>
        </c:scaling>
        <c:delete val="0"/>
        <c:axPos val="l"/>
        <c:numFmt formatCode="General" sourceLinked="1"/>
        <c:majorTickMark val="out"/>
        <c:minorTickMark val="none"/>
        <c:tickLblPos val="nextTo"/>
        <c:txPr>
          <a:bodyPr/>
          <a:lstStyle/>
          <a:p>
            <a:pPr>
              <a:defRPr lang="hr-BA"/>
            </a:pPr>
            <a:endParaRPr lang="sr-Latn-RS"/>
          </a:p>
        </c:txPr>
        <c:crossAx val="183091584"/>
        <c:crosses val="autoZero"/>
        <c:crossBetween val="between"/>
      </c:valAx>
    </c:plotArea>
    <c:plotVisOnly val="1"/>
    <c:dispBlanksAs val="gap"/>
    <c:showDLblsOverMax val="0"/>
  </c:chart>
  <c:externalData r:id="rId1">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c:date1904 val="0"/>
  <c:lang val="bs-Latn-B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Sheet3!$B$80</c:f>
              <c:strCache>
                <c:ptCount val="1"/>
                <c:pt idx="0">
                  <c:v>Da </c:v>
                </c:pt>
              </c:strCache>
            </c:strRef>
          </c:tx>
          <c:invertIfNegative val="0"/>
          <c:cat>
            <c:strRef>
              <c:f>Sheet3!$C$79:$M$79</c:f>
              <c:strCache>
                <c:ptCount val="11"/>
                <c:pt idx="0">
                  <c:v>Ukupno</c:v>
                </c:pt>
                <c:pt idx="1">
                  <c:v>muskarci </c:v>
                </c:pt>
                <c:pt idx="2">
                  <c:v>žene</c:v>
                </c:pt>
                <c:pt idx="4">
                  <c:v>15-19</c:v>
                </c:pt>
                <c:pt idx="5">
                  <c:v>20-24</c:v>
                </c:pt>
                <c:pt idx="6">
                  <c:v>25-29</c:v>
                </c:pt>
                <c:pt idx="7">
                  <c:v>30-34</c:v>
                </c:pt>
                <c:pt idx="8">
                  <c:v>35-39</c:v>
                </c:pt>
                <c:pt idx="9">
                  <c:v>40-44</c:v>
                </c:pt>
                <c:pt idx="10">
                  <c:v>45-49</c:v>
                </c:pt>
              </c:strCache>
            </c:strRef>
          </c:cat>
          <c:val>
            <c:numRef>
              <c:f>Sheet3!$C$80:$M$80</c:f>
              <c:numCache>
                <c:formatCode>General</c:formatCode>
                <c:ptCount val="11"/>
                <c:pt idx="0">
                  <c:v>3.8</c:v>
                </c:pt>
                <c:pt idx="1">
                  <c:v>6.8</c:v>
                </c:pt>
                <c:pt idx="2">
                  <c:v>0.9</c:v>
                </c:pt>
                <c:pt idx="4">
                  <c:v>2.4</c:v>
                </c:pt>
                <c:pt idx="5">
                  <c:v>7.7</c:v>
                </c:pt>
                <c:pt idx="6">
                  <c:v>9.3000000000000007</c:v>
                </c:pt>
                <c:pt idx="7">
                  <c:v>3.7</c:v>
                </c:pt>
                <c:pt idx="8">
                  <c:v>2</c:v>
                </c:pt>
                <c:pt idx="9">
                  <c:v>0.9</c:v>
                </c:pt>
                <c:pt idx="10">
                  <c:v>0.9</c:v>
                </c:pt>
              </c:numCache>
            </c:numRef>
          </c:val>
        </c:ser>
        <c:dLbls>
          <c:showLegendKey val="0"/>
          <c:showVal val="0"/>
          <c:showCatName val="0"/>
          <c:showSerName val="0"/>
          <c:showPercent val="0"/>
          <c:showBubbleSize val="0"/>
        </c:dLbls>
        <c:gapWidth val="150"/>
        <c:axId val="184063488"/>
        <c:axId val="184065024"/>
      </c:barChart>
      <c:catAx>
        <c:axId val="184063488"/>
        <c:scaling>
          <c:orientation val="minMax"/>
        </c:scaling>
        <c:delete val="0"/>
        <c:axPos val="b"/>
        <c:numFmt formatCode="General" sourceLinked="0"/>
        <c:majorTickMark val="out"/>
        <c:minorTickMark val="none"/>
        <c:tickLblPos val="nextTo"/>
        <c:txPr>
          <a:bodyPr/>
          <a:lstStyle/>
          <a:p>
            <a:pPr>
              <a:defRPr lang="bs-Latn-BA"/>
            </a:pPr>
            <a:endParaRPr lang="sr-Latn-RS"/>
          </a:p>
        </c:txPr>
        <c:crossAx val="184065024"/>
        <c:crosses val="autoZero"/>
        <c:auto val="1"/>
        <c:lblAlgn val="ctr"/>
        <c:lblOffset val="100"/>
        <c:noMultiLvlLbl val="0"/>
      </c:catAx>
      <c:valAx>
        <c:axId val="184065024"/>
        <c:scaling>
          <c:orientation val="minMax"/>
        </c:scaling>
        <c:delete val="0"/>
        <c:axPos val="l"/>
        <c:majorGridlines/>
        <c:numFmt formatCode="General" sourceLinked="1"/>
        <c:majorTickMark val="out"/>
        <c:minorTickMark val="none"/>
        <c:tickLblPos val="nextTo"/>
        <c:txPr>
          <a:bodyPr/>
          <a:lstStyle/>
          <a:p>
            <a:pPr>
              <a:defRPr lang="bs-Latn-BA"/>
            </a:pPr>
            <a:endParaRPr lang="sr-Latn-RS"/>
          </a:p>
        </c:txPr>
        <c:crossAx val="184063488"/>
        <c:crosses val="autoZero"/>
        <c:crossBetween val="between"/>
      </c:valAx>
    </c:plotArea>
    <c:plotVisOnly val="1"/>
    <c:dispBlanksAs val="gap"/>
    <c:showDLblsOverMax val="0"/>
  </c:chart>
  <c:txPr>
    <a:bodyPr/>
    <a:lstStyle/>
    <a:p>
      <a:pPr>
        <a:defRPr sz="900"/>
      </a:pPr>
      <a:endParaRPr lang="sr-Latn-RS"/>
    </a:p>
  </c:txPr>
  <c:externalData r:id="rId2">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c:date1904 val="0"/>
  <c:lang val="bs-Latn-B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2801468385446882E-2"/>
          <c:y val="3.9956411187795145E-2"/>
          <c:w val="0.69621376544285485"/>
          <c:h val="0.78783517479858078"/>
        </c:manualLayout>
      </c:layout>
      <c:barChart>
        <c:barDir val="col"/>
        <c:grouping val="clustered"/>
        <c:varyColors val="0"/>
        <c:ser>
          <c:idx val="0"/>
          <c:order val="0"/>
          <c:tx>
            <c:strRef>
              <c:f>Sheet3!$B$101</c:f>
              <c:strCache>
                <c:ptCount val="1"/>
                <c:pt idx="0">
                  <c:v>kanabis (marihuanu i / ili hašiš)</c:v>
                </c:pt>
              </c:strCache>
            </c:strRef>
          </c:tx>
          <c:invertIfNegative val="0"/>
          <c:cat>
            <c:strRef>
              <c:f>Sheet3!$C$100:$L$100</c:f>
              <c:strCache>
                <c:ptCount val="10"/>
                <c:pt idx="0">
                  <c:v>Ukupno</c:v>
                </c:pt>
                <c:pt idx="1">
                  <c:v>Muskarci</c:v>
                </c:pt>
                <c:pt idx="2">
                  <c:v>Žene</c:v>
                </c:pt>
                <c:pt idx="3">
                  <c:v>15-19</c:v>
                </c:pt>
                <c:pt idx="4">
                  <c:v>20-24</c:v>
                </c:pt>
                <c:pt idx="5">
                  <c:v>25-29</c:v>
                </c:pt>
                <c:pt idx="6">
                  <c:v>30-34</c:v>
                </c:pt>
                <c:pt idx="7">
                  <c:v>35-39</c:v>
                </c:pt>
                <c:pt idx="8">
                  <c:v>40-44</c:v>
                </c:pt>
                <c:pt idx="9">
                  <c:v>45-49</c:v>
                </c:pt>
              </c:strCache>
            </c:strRef>
          </c:cat>
          <c:val>
            <c:numRef>
              <c:f>Sheet3!$C$101:$L$101</c:f>
              <c:numCache>
                <c:formatCode>General</c:formatCode>
                <c:ptCount val="10"/>
                <c:pt idx="0">
                  <c:v>38.200000000000003</c:v>
                </c:pt>
                <c:pt idx="1">
                  <c:v>38.800000000000004</c:v>
                </c:pt>
                <c:pt idx="2">
                  <c:v>33.6</c:v>
                </c:pt>
                <c:pt idx="3">
                  <c:v>71.3</c:v>
                </c:pt>
                <c:pt idx="4">
                  <c:v>47.7</c:v>
                </c:pt>
                <c:pt idx="5">
                  <c:v>37.9</c:v>
                </c:pt>
                <c:pt idx="6">
                  <c:v>25.1</c:v>
                </c:pt>
                <c:pt idx="7">
                  <c:v>1.6</c:v>
                </c:pt>
                <c:pt idx="8">
                  <c:v>11.5</c:v>
                </c:pt>
                <c:pt idx="9">
                  <c:v>0</c:v>
                </c:pt>
              </c:numCache>
            </c:numRef>
          </c:val>
        </c:ser>
        <c:ser>
          <c:idx val="1"/>
          <c:order val="1"/>
          <c:tx>
            <c:strRef>
              <c:f>Sheet3!$B$102</c:f>
              <c:strCache>
                <c:ptCount val="1"/>
                <c:pt idx="0">
                  <c:v>ekstazi</c:v>
                </c:pt>
              </c:strCache>
            </c:strRef>
          </c:tx>
          <c:invertIfNegative val="0"/>
          <c:cat>
            <c:strRef>
              <c:f>Sheet3!$C$100:$L$100</c:f>
              <c:strCache>
                <c:ptCount val="10"/>
                <c:pt idx="0">
                  <c:v>Ukupno</c:v>
                </c:pt>
                <c:pt idx="1">
                  <c:v>Muskarci</c:v>
                </c:pt>
                <c:pt idx="2">
                  <c:v>Žene</c:v>
                </c:pt>
                <c:pt idx="3">
                  <c:v>15-19</c:v>
                </c:pt>
                <c:pt idx="4">
                  <c:v>20-24</c:v>
                </c:pt>
                <c:pt idx="5">
                  <c:v>25-29</c:v>
                </c:pt>
                <c:pt idx="6">
                  <c:v>30-34</c:v>
                </c:pt>
                <c:pt idx="7">
                  <c:v>35-39</c:v>
                </c:pt>
                <c:pt idx="8">
                  <c:v>40-44</c:v>
                </c:pt>
                <c:pt idx="9">
                  <c:v>45-49</c:v>
                </c:pt>
              </c:strCache>
            </c:strRef>
          </c:cat>
          <c:val>
            <c:numRef>
              <c:f>Sheet3!$C$102:$L$102</c:f>
              <c:numCache>
                <c:formatCode>General</c:formatCode>
                <c:ptCount val="10"/>
                <c:pt idx="0">
                  <c:v>0.9</c:v>
                </c:pt>
                <c:pt idx="1">
                  <c:v>1</c:v>
                </c:pt>
                <c:pt idx="2">
                  <c:v>0</c:v>
                </c:pt>
                <c:pt idx="3">
                  <c:v>0</c:v>
                </c:pt>
                <c:pt idx="4">
                  <c:v>0</c:v>
                </c:pt>
                <c:pt idx="5">
                  <c:v>3</c:v>
                </c:pt>
                <c:pt idx="6">
                  <c:v>0</c:v>
                </c:pt>
                <c:pt idx="7">
                  <c:v>0</c:v>
                </c:pt>
                <c:pt idx="8">
                  <c:v>0</c:v>
                </c:pt>
                <c:pt idx="9">
                  <c:v>0</c:v>
                </c:pt>
              </c:numCache>
            </c:numRef>
          </c:val>
        </c:ser>
        <c:ser>
          <c:idx val="2"/>
          <c:order val="2"/>
          <c:tx>
            <c:strRef>
              <c:f>Sheet3!$B$103</c:f>
              <c:strCache>
                <c:ptCount val="1"/>
                <c:pt idx="0">
                  <c:v>amfetamin i / ili metamfetamin, supstance koje su najpoznatije pod nazivom  „speed“</c:v>
                </c:pt>
              </c:strCache>
            </c:strRef>
          </c:tx>
          <c:invertIfNegative val="0"/>
          <c:cat>
            <c:strRef>
              <c:f>Sheet3!$C$100:$L$100</c:f>
              <c:strCache>
                <c:ptCount val="10"/>
                <c:pt idx="0">
                  <c:v>Ukupno</c:v>
                </c:pt>
                <c:pt idx="1">
                  <c:v>Muskarci</c:v>
                </c:pt>
                <c:pt idx="2">
                  <c:v>Žene</c:v>
                </c:pt>
                <c:pt idx="3">
                  <c:v>15-19</c:v>
                </c:pt>
                <c:pt idx="4">
                  <c:v>20-24</c:v>
                </c:pt>
                <c:pt idx="5">
                  <c:v>25-29</c:v>
                </c:pt>
                <c:pt idx="6">
                  <c:v>30-34</c:v>
                </c:pt>
                <c:pt idx="7">
                  <c:v>35-39</c:v>
                </c:pt>
                <c:pt idx="8">
                  <c:v>40-44</c:v>
                </c:pt>
                <c:pt idx="9">
                  <c:v>45-49</c:v>
                </c:pt>
              </c:strCache>
            </c:strRef>
          </c:cat>
          <c:val>
            <c:numRef>
              <c:f>Sheet3!$C$103:$L$103</c:f>
              <c:numCache>
                <c:formatCode>General</c:formatCode>
                <c:ptCount val="10"/>
                <c:pt idx="0">
                  <c:v>3.9</c:v>
                </c:pt>
                <c:pt idx="1">
                  <c:v>4.4000000000000004</c:v>
                </c:pt>
                <c:pt idx="2">
                  <c:v>0</c:v>
                </c:pt>
                <c:pt idx="3">
                  <c:v>8.8000000000000007</c:v>
                </c:pt>
                <c:pt idx="4">
                  <c:v>5</c:v>
                </c:pt>
                <c:pt idx="5">
                  <c:v>3.4</c:v>
                </c:pt>
                <c:pt idx="6">
                  <c:v>2.8</c:v>
                </c:pt>
                <c:pt idx="7">
                  <c:v>0</c:v>
                </c:pt>
                <c:pt idx="8">
                  <c:v>0</c:v>
                </c:pt>
                <c:pt idx="9">
                  <c:v>0</c:v>
                </c:pt>
              </c:numCache>
            </c:numRef>
          </c:val>
        </c:ser>
        <c:ser>
          <c:idx val="3"/>
          <c:order val="3"/>
          <c:tx>
            <c:strRef>
              <c:f>Sheet3!$B$104</c:f>
              <c:strCache>
                <c:ptCount val="1"/>
                <c:pt idx="0">
                  <c:v>kokain i / ili crack</c:v>
                </c:pt>
              </c:strCache>
            </c:strRef>
          </c:tx>
          <c:invertIfNegative val="0"/>
          <c:cat>
            <c:strRef>
              <c:f>Sheet3!$C$100:$L$100</c:f>
              <c:strCache>
                <c:ptCount val="10"/>
                <c:pt idx="0">
                  <c:v>Ukupno</c:v>
                </c:pt>
                <c:pt idx="1">
                  <c:v>Muskarci</c:v>
                </c:pt>
                <c:pt idx="2">
                  <c:v>Žene</c:v>
                </c:pt>
                <c:pt idx="3">
                  <c:v>15-19</c:v>
                </c:pt>
                <c:pt idx="4">
                  <c:v>20-24</c:v>
                </c:pt>
                <c:pt idx="5">
                  <c:v>25-29</c:v>
                </c:pt>
                <c:pt idx="6">
                  <c:v>30-34</c:v>
                </c:pt>
                <c:pt idx="7">
                  <c:v>35-39</c:v>
                </c:pt>
                <c:pt idx="8">
                  <c:v>40-44</c:v>
                </c:pt>
                <c:pt idx="9">
                  <c:v>45-49</c:v>
                </c:pt>
              </c:strCache>
            </c:strRef>
          </c:cat>
          <c:val>
            <c:numRef>
              <c:f>Sheet3!$C$104:$L$104</c:f>
              <c:numCache>
                <c:formatCode>General</c:formatCode>
                <c:ptCount val="10"/>
                <c:pt idx="0">
                  <c:v>0.2</c:v>
                </c:pt>
                <c:pt idx="1">
                  <c:v>0.1</c:v>
                </c:pt>
                <c:pt idx="2">
                  <c:v>1</c:v>
                </c:pt>
                <c:pt idx="3">
                  <c:v>0</c:v>
                </c:pt>
                <c:pt idx="4">
                  <c:v>0.30000000000000032</c:v>
                </c:pt>
                <c:pt idx="5">
                  <c:v>0.4</c:v>
                </c:pt>
                <c:pt idx="6">
                  <c:v>0</c:v>
                </c:pt>
                <c:pt idx="7">
                  <c:v>0</c:v>
                </c:pt>
                <c:pt idx="8">
                  <c:v>0</c:v>
                </c:pt>
                <c:pt idx="9">
                  <c:v>0</c:v>
                </c:pt>
              </c:numCache>
            </c:numRef>
          </c:val>
        </c:ser>
        <c:ser>
          <c:idx val="4"/>
          <c:order val="4"/>
          <c:tx>
            <c:strRef>
              <c:f>Sheet3!$B$105</c:f>
              <c:strCache>
                <c:ptCount val="1"/>
                <c:pt idx="0">
                  <c:v>Heroin</c:v>
                </c:pt>
              </c:strCache>
            </c:strRef>
          </c:tx>
          <c:invertIfNegative val="0"/>
          <c:cat>
            <c:strRef>
              <c:f>Sheet3!$C$100:$L$100</c:f>
              <c:strCache>
                <c:ptCount val="10"/>
                <c:pt idx="0">
                  <c:v>Ukupno</c:v>
                </c:pt>
                <c:pt idx="1">
                  <c:v>Muskarci</c:v>
                </c:pt>
                <c:pt idx="2">
                  <c:v>Žene</c:v>
                </c:pt>
                <c:pt idx="3">
                  <c:v>15-19</c:v>
                </c:pt>
                <c:pt idx="4">
                  <c:v>20-24</c:v>
                </c:pt>
                <c:pt idx="5">
                  <c:v>25-29</c:v>
                </c:pt>
                <c:pt idx="6">
                  <c:v>30-34</c:v>
                </c:pt>
                <c:pt idx="7">
                  <c:v>35-39</c:v>
                </c:pt>
                <c:pt idx="8">
                  <c:v>40-44</c:v>
                </c:pt>
                <c:pt idx="9">
                  <c:v>45-49</c:v>
                </c:pt>
              </c:strCache>
            </c:strRef>
          </c:cat>
          <c:val>
            <c:numRef>
              <c:f>Sheet3!$C$105:$L$105</c:f>
              <c:numCache>
                <c:formatCode>General</c:formatCode>
                <c:ptCount val="10"/>
                <c:pt idx="0">
                  <c:v>0</c:v>
                </c:pt>
                <c:pt idx="1">
                  <c:v>0</c:v>
                </c:pt>
                <c:pt idx="2">
                  <c:v>0</c:v>
                </c:pt>
                <c:pt idx="3">
                  <c:v>0</c:v>
                </c:pt>
                <c:pt idx="4">
                  <c:v>0</c:v>
                </c:pt>
                <c:pt idx="5">
                  <c:v>0</c:v>
                </c:pt>
                <c:pt idx="6">
                  <c:v>0</c:v>
                </c:pt>
                <c:pt idx="7">
                  <c:v>0</c:v>
                </c:pt>
                <c:pt idx="8">
                  <c:v>0</c:v>
                </c:pt>
                <c:pt idx="9">
                  <c:v>0</c:v>
                </c:pt>
              </c:numCache>
            </c:numRef>
          </c:val>
        </c:ser>
        <c:ser>
          <c:idx val="5"/>
          <c:order val="5"/>
          <c:tx>
            <c:strRef>
              <c:f>Sheet3!$B$106</c:f>
              <c:strCache>
                <c:ptCount val="1"/>
                <c:pt idx="0">
                  <c:v>LSD (trip, acid, kiselina)</c:v>
                </c:pt>
              </c:strCache>
            </c:strRef>
          </c:tx>
          <c:invertIfNegative val="0"/>
          <c:cat>
            <c:strRef>
              <c:f>Sheet3!$C$100:$L$100</c:f>
              <c:strCache>
                <c:ptCount val="10"/>
                <c:pt idx="0">
                  <c:v>Ukupno</c:v>
                </c:pt>
                <c:pt idx="1">
                  <c:v>Muskarci</c:v>
                </c:pt>
                <c:pt idx="2">
                  <c:v>Žene</c:v>
                </c:pt>
                <c:pt idx="3">
                  <c:v>15-19</c:v>
                </c:pt>
                <c:pt idx="4">
                  <c:v>20-24</c:v>
                </c:pt>
                <c:pt idx="5">
                  <c:v>25-29</c:v>
                </c:pt>
                <c:pt idx="6">
                  <c:v>30-34</c:v>
                </c:pt>
                <c:pt idx="7">
                  <c:v>35-39</c:v>
                </c:pt>
                <c:pt idx="8">
                  <c:v>40-44</c:v>
                </c:pt>
                <c:pt idx="9">
                  <c:v>45-49</c:v>
                </c:pt>
              </c:strCache>
            </c:strRef>
          </c:cat>
          <c:val>
            <c:numRef>
              <c:f>Sheet3!$C$106:$L$106</c:f>
              <c:numCache>
                <c:formatCode>General</c:formatCode>
                <c:ptCount val="10"/>
                <c:pt idx="0">
                  <c:v>0.5</c:v>
                </c:pt>
                <c:pt idx="1">
                  <c:v>0.5</c:v>
                </c:pt>
                <c:pt idx="2">
                  <c:v>1</c:v>
                </c:pt>
                <c:pt idx="3">
                  <c:v>0</c:v>
                </c:pt>
                <c:pt idx="4">
                  <c:v>0.30000000000000032</c:v>
                </c:pt>
                <c:pt idx="5">
                  <c:v>0.4</c:v>
                </c:pt>
                <c:pt idx="6">
                  <c:v>2.8</c:v>
                </c:pt>
                <c:pt idx="7">
                  <c:v>0</c:v>
                </c:pt>
                <c:pt idx="8">
                  <c:v>0</c:v>
                </c:pt>
                <c:pt idx="9">
                  <c:v>0</c:v>
                </c:pt>
              </c:numCache>
            </c:numRef>
          </c:val>
        </c:ser>
        <c:dLbls>
          <c:showLegendKey val="0"/>
          <c:showVal val="0"/>
          <c:showCatName val="0"/>
          <c:showSerName val="0"/>
          <c:showPercent val="0"/>
          <c:showBubbleSize val="0"/>
        </c:dLbls>
        <c:gapWidth val="150"/>
        <c:axId val="185747712"/>
        <c:axId val="185761792"/>
      </c:barChart>
      <c:catAx>
        <c:axId val="185747712"/>
        <c:scaling>
          <c:orientation val="minMax"/>
        </c:scaling>
        <c:delete val="0"/>
        <c:axPos val="b"/>
        <c:numFmt formatCode="General" sourceLinked="0"/>
        <c:majorTickMark val="out"/>
        <c:minorTickMark val="none"/>
        <c:tickLblPos val="nextTo"/>
        <c:txPr>
          <a:bodyPr rot="-5400000" vert="horz"/>
          <a:lstStyle/>
          <a:p>
            <a:pPr>
              <a:defRPr/>
            </a:pPr>
            <a:endParaRPr lang="sr-Latn-RS"/>
          </a:p>
        </c:txPr>
        <c:crossAx val="185761792"/>
        <c:crosses val="autoZero"/>
        <c:auto val="1"/>
        <c:lblAlgn val="ctr"/>
        <c:lblOffset val="100"/>
        <c:noMultiLvlLbl val="0"/>
      </c:catAx>
      <c:valAx>
        <c:axId val="185761792"/>
        <c:scaling>
          <c:orientation val="minMax"/>
        </c:scaling>
        <c:delete val="0"/>
        <c:axPos val="l"/>
        <c:numFmt formatCode="General" sourceLinked="1"/>
        <c:majorTickMark val="out"/>
        <c:minorTickMark val="none"/>
        <c:tickLblPos val="nextTo"/>
        <c:crossAx val="185747712"/>
        <c:crosses val="autoZero"/>
        <c:crossBetween val="between"/>
      </c:valAx>
    </c:plotArea>
    <c:legend>
      <c:legendPos val="r"/>
      <c:layout>
        <c:manualLayout>
          <c:xMode val="edge"/>
          <c:yMode val="edge"/>
          <c:x val="0.72267637848925481"/>
          <c:y val="2.7700449657533269E-2"/>
          <c:w val="0.26369493956339718"/>
          <c:h val="0.95585903324584431"/>
        </c:manualLayout>
      </c:layout>
      <c:overlay val="0"/>
      <c:txPr>
        <a:bodyPr/>
        <a:lstStyle/>
        <a:p>
          <a:pPr>
            <a:defRPr sz="1000"/>
          </a:pPr>
          <a:endParaRPr lang="sr-Latn-RS"/>
        </a:p>
      </c:txPr>
    </c:legend>
    <c:plotVisOnly val="1"/>
    <c:dispBlanksAs val="gap"/>
    <c:showDLblsOverMax val="0"/>
  </c:chart>
  <c:txPr>
    <a:bodyPr/>
    <a:lstStyle/>
    <a:p>
      <a:pPr>
        <a:defRPr sz="1000"/>
      </a:pPr>
      <a:endParaRPr lang="sr-Latn-RS"/>
    </a:p>
  </c:txPr>
  <c:externalData r:id="rId2">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c:date1904 val="0"/>
  <c:lang val="bs-Latn-B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0555609682647936E-2"/>
          <c:y val="5.8243929091115192E-2"/>
          <c:w val="0.93888888888888888"/>
          <c:h val="0.72088764946048411"/>
        </c:manualLayout>
      </c:layout>
      <c:barChart>
        <c:barDir val="col"/>
        <c:grouping val="clustered"/>
        <c:varyColors val="0"/>
        <c:ser>
          <c:idx val="0"/>
          <c:order val="0"/>
          <c:tx>
            <c:strRef>
              <c:f>'[Zdr stanje GRAFIKONI 2015.xlsx]Faktori rizika po zdravlje'!$B$378</c:f>
              <c:strCache>
                <c:ptCount val="1"/>
                <c:pt idx="0">
                  <c:v>Stopa na 100000 stanovnika </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'[Zdr stanje GRAFIKONI 2015.xlsx]Faktori rizika po zdravlje'!$A$379:$A$384</c:f>
              <c:numCache>
                <c:formatCode>General</c:formatCode>
                <c:ptCount val="6"/>
                <c:pt idx="0">
                  <c:v>2010</c:v>
                </c:pt>
                <c:pt idx="1">
                  <c:v>2011</c:v>
                </c:pt>
                <c:pt idx="2">
                  <c:v>2012</c:v>
                </c:pt>
                <c:pt idx="3">
                  <c:v>2013</c:v>
                </c:pt>
                <c:pt idx="4">
                  <c:v>2014</c:v>
                </c:pt>
                <c:pt idx="5">
                  <c:v>2015</c:v>
                </c:pt>
              </c:numCache>
            </c:numRef>
          </c:cat>
          <c:val>
            <c:numRef>
              <c:f>'[Zdr stanje GRAFIKONI 2015.xlsx]Faktori rizika po zdravlje'!$B$379:$B$384</c:f>
              <c:numCache>
                <c:formatCode>General</c:formatCode>
                <c:ptCount val="6"/>
                <c:pt idx="0">
                  <c:v>28.7</c:v>
                </c:pt>
                <c:pt idx="1">
                  <c:v>29.3</c:v>
                </c:pt>
                <c:pt idx="2">
                  <c:v>27.6</c:v>
                </c:pt>
                <c:pt idx="3">
                  <c:v>19.04</c:v>
                </c:pt>
                <c:pt idx="4">
                  <c:v>18.100000000000001</c:v>
                </c:pt>
                <c:pt idx="5">
                  <c:v>17.649999999999999</c:v>
                </c:pt>
              </c:numCache>
            </c:numRef>
          </c:val>
        </c:ser>
        <c:dLbls>
          <c:showLegendKey val="0"/>
          <c:showVal val="0"/>
          <c:showCatName val="0"/>
          <c:showSerName val="0"/>
          <c:showPercent val="0"/>
          <c:showBubbleSize val="0"/>
        </c:dLbls>
        <c:gapWidth val="100"/>
        <c:overlap val="-24"/>
        <c:axId val="172974080"/>
        <c:axId val="172975616"/>
      </c:barChart>
      <c:catAx>
        <c:axId val="17297408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172975616"/>
        <c:crosses val="autoZero"/>
        <c:auto val="1"/>
        <c:lblAlgn val="ctr"/>
        <c:lblOffset val="100"/>
        <c:noMultiLvlLbl val="0"/>
      </c:catAx>
      <c:valAx>
        <c:axId val="172975616"/>
        <c:scaling>
          <c:orientation val="minMax"/>
        </c:scaling>
        <c:delete val="1"/>
        <c:axPos val="l"/>
        <c:numFmt formatCode="General" sourceLinked="1"/>
        <c:majorTickMark val="none"/>
        <c:minorTickMark val="none"/>
        <c:tickLblPos val="nextTo"/>
        <c:crossAx val="1729740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sr-Latn-RS"/>
    </a:p>
  </c:txPr>
  <c:externalData r:id="rId1">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c:date1904 val="0"/>
  <c:lang val="bs-Latn-B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'Organizacija-Ukupno+PZZ+Stom'!$B$5</c:f>
              <c:strCache>
                <c:ptCount val="1"/>
                <c:pt idx="0">
                  <c:v>2010.</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'Organizacija-Ukupno+PZZ+Stom'!$C$4:$F$4</c:f>
              <c:strCache>
                <c:ptCount val="4"/>
                <c:pt idx="0">
                  <c:v>Ukupno zaposleni</c:v>
                </c:pt>
                <c:pt idx="1">
                  <c:v>Zdravstveni radnici</c:v>
                </c:pt>
                <c:pt idx="2">
                  <c:v>Zdravstveni saradnici</c:v>
                </c:pt>
                <c:pt idx="3">
                  <c:v>Administrativni i tehnički radnici</c:v>
                </c:pt>
              </c:strCache>
            </c:strRef>
          </c:cat>
          <c:val>
            <c:numRef>
              <c:f>'Organizacija-Ukupno+PZZ+Stom'!$C$5:$F$5</c:f>
              <c:numCache>
                <c:formatCode>General</c:formatCode>
                <c:ptCount val="4"/>
                <c:pt idx="0">
                  <c:v>1095</c:v>
                </c:pt>
                <c:pt idx="1">
                  <c:v>769</c:v>
                </c:pt>
                <c:pt idx="2">
                  <c:v>16</c:v>
                </c:pt>
                <c:pt idx="3">
                  <c:v>311</c:v>
                </c:pt>
              </c:numCache>
            </c:numRef>
          </c:val>
        </c:ser>
        <c:ser>
          <c:idx val="1"/>
          <c:order val="1"/>
          <c:tx>
            <c:strRef>
              <c:f>'Organizacija-Ukupno+PZZ+Stom'!$B$6</c:f>
              <c:strCache>
                <c:ptCount val="1"/>
                <c:pt idx="0">
                  <c:v>2015.</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'Organizacija-Ukupno+PZZ+Stom'!$C$4:$F$4</c:f>
              <c:strCache>
                <c:ptCount val="4"/>
                <c:pt idx="0">
                  <c:v>Ukupno zaposleni</c:v>
                </c:pt>
                <c:pt idx="1">
                  <c:v>Zdravstveni radnici</c:v>
                </c:pt>
                <c:pt idx="2">
                  <c:v>Zdravstveni saradnici</c:v>
                </c:pt>
                <c:pt idx="3">
                  <c:v>Administrativni i tehnički radnici</c:v>
                </c:pt>
              </c:strCache>
            </c:strRef>
          </c:cat>
          <c:val>
            <c:numRef>
              <c:f>'Organizacija-Ukupno+PZZ+Stom'!$C$6:$F$6</c:f>
              <c:numCache>
                <c:formatCode>General</c:formatCode>
                <c:ptCount val="4"/>
                <c:pt idx="0">
                  <c:v>1132</c:v>
                </c:pt>
                <c:pt idx="1">
                  <c:v>809</c:v>
                </c:pt>
                <c:pt idx="2">
                  <c:v>17</c:v>
                </c:pt>
                <c:pt idx="3">
                  <c:v>306</c:v>
                </c:pt>
              </c:numCache>
            </c:numRef>
          </c:val>
        </c:ser>
        <c:dLbls>
          <c:showLegendKey val="0"/>
          <c:showVal val="0"/>
          <c:showCatName val="0"/>
          <c:showSerName val="0"/>
          <c:showPercent val="0"/>
          <c:showBubbleSize val="0"/>
        </c:dLbls>
        <c:gapWidth val="150"/>
        <c:axId val="173009152"/>
        <c:axId val="177799168"/>
      </c:barChart>
      <c:catAx>
        <c:axId val="173009152"/>
        <c:scaling>
          <c:orientation val="minMax"/>
        </c:scaling>
        <c:delete val="0"/>
        <c:axPos val="b"/>
        <c:numFmt formatCode="General" sourceLinked="0"/>
        <c:majorTickMark val="out"/>
        <c:minorTickMark val="none"/>
        <c:tickLblPos val="nextTo"/>
        <c:crossAx val="177799168"/>
        <c:crosses val="autoZero"/>
        <c:auto val="1"/>
        <c:lblAlgn val="ctr"/>
        <c:lblOffset val="100"/>
        <c:noMultiLvlLbl val="0"/>
      </c:catAx>
      <c:valAx>
        <c:axId val="177799168"/>
        <c:scaling>
          <c:orientation val="minMax"/>
        </c:scaling>
        <c:delete val="1"/>
        <c:axPos val="l"/>
        <c:numFmt formatCode="General" sourceLinked="1"/>
        <c:majorTickMark val="out"/>
        <c:minorTickMark val="none"/>
        <c:tickLblPos val="none"/>
        <c:crossAx val="173009152"/>
        <c:crosses val="autoZero"/>
        <c:crossBetween val="between"/>
      </c:valAx>
    </c:plotArea>
    <c:legend>
      <c:legendPos val="b"/>
      <c:overlay val="0"/>
    </c:legend>
    <c:plotVisOnly val="1"/>
    <c:dispBlanksAs val="gap"/>
    <c:showDLblsOverMax val="0"/>
  </c:chart>
  <c:spPr>
    <a:ln>
      <a:solidFill>
        <a:schemeClr val="tx1"/>
      </a:solidFill>
    </a:ln>
  </c:spPr>
  <c:externalData r:id="rId1">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c:date1904 val="0"/>
  <c:lang val="bs-Latn-B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'Organizacija-Ukupno+PZZ+Stom'!$C$19</c:f>
              <c:strCache>
                <c:ptCount val="1"/>
                <c:pt idx="0">
                  <c:v>Zdravstveni radnici</c:v>
                </c:pt>
              </c:strCache>
            </c:strRef>
          </c:tx>
          <c:invertIfNegative val="0"/>
          <c:cat>
            <c:strRef>
              <c:f>'Organizacija-Ukupno+PZZ+Stom'!$B$20:$B$25</c:f>
              <c:strCache>
                <c:ptCount val="6"/>
                <c:pt idx="0">
                  <c:v>2010.</c:v>
                </c:pt>
                <c:pt idx="1">
                  <c:v>2011.</c:v>
                </c:pt>
                <c:pt idx="2">
                  <c:v>2012.</c:v>
                </c:pt>
                <c:pt idx="3">
                  <c:v>2013.</c:v>
                </c:pt>
                <c:pt idx="4">
                  <c:v>2014.</c:v>
                </c:pt>
                <c:pt idx="5">
                  <c:v>2015.</c:v>
                </c:pt>
              </c:strCache>
            </c:strRef>
          </c:cat>
          <c:val>
            <c:numRef>
              <c:f>'Organizacija-Ukupno+PZZ+Stom'!$C$20:$C$25</c:f>
              <c:numCache>
                <c:formatCode>0.0</c:formatCode>
                <c:ptCount val="6"/>
                <c:pt idx="0">
                  <c:v>70.194485667421702</c:v>
                </c:pt>
                <c:pt idx="1">
                  <c:v>70.428438373176036</c:v>
                </c:pt>
                <c:pt idx="2">
                  <c:v>70.779121383744069</c:v>
                </c:pt>
                <c:pt idx="3">
                  <c:v>71.493419797825666</c:v>
                </c:pt>
                <c:pt idx="4">
                  <c:v>72</c:v>
                </c:pt>
                <c:pt idx="5" formatCode="General">
                  <c:v>71.400000000000006</c:v>
                </c:pt>
              </c:numCache>
            </c:numRef>
          </c:val>
        </c:ser>
        <c:ser>
          <c:idx val="1"/>
          <c:order val="1"/>
          <c:tx>
            <c:strRef>
              <c:f>'Organizacija-Ukupno+PZZ+Stom'!$D$19</c:f>
              <c:strCache>
                <c:ptCount val="1"/>
                <c:pt idx="0">
                  <c:v> Zdravstveni saradnici</c:v>
                </c:pt>
              </c:strCache>
            </c:strRef>
          </c:tx>
          <c:invertIfNegative val="0"/>
          <c:cat>
            <c:strRef>
              <c:f>'Organizacija-Ukupno+PZZ+Stom'!$B$20:$B$25</c:f>
              <c:strCache>
                <c:ptCount val="6"/>
                <c:pt idx="0">
                  <c:v>2010.</c:v>
                </c:pt>
                <c:pt idx="1">
                  <c:v>2011.</c:v>
                </c:pt>
                <c:pt idx="2">
                  <c:v>2012.</c:v>
                </c:pt>
                <c:pt idx="3">
                  <c:v>2013.</c:v>
                </c:pt>
                <c:pt idx="4">
                  <c:v>2014.</c:v>
                </c:pt>
                <c:pt idx="5">
                  <c:v>2015.</c:v>
                </c:pt>
              </c:strCache>
            </c:strRef>
          </c:cat>
          <c:val>
            <c:numRef>
              <c:f>'Organizacija-Ukupno+PZZ+Stom'!$D$20:$D$25</c:f>
              <c:numCache>
                <c:formatCode>0.0</c:formatCode>
                <c:ptCount val="6"/>
                <c:pt idx="0">
                  <c:v>1.4</c:v>
                </c:pt>
                <c:pt idx="1">
                  <c:v>1.2340887923005277</c:v>
                </c:pt>
                <c:pt idx="2">
                  <c:v>1.3546609520893924</c:v>
                </c:pt>
                <c:pt idx="3">
                  <c:v>1.3503719244707229</c:v>
                </c:pt>
                <c:pt idx="4">
                  <c:v>1.4</c:v>
                </c:pt>
                <c:pt idx="5" formatCode="General">
                  <c:v>1.5</c:v>
                </c:pt>
              </c:numCache>
            </c:numRef>
          </c:val>
        </c:ser>
        <c:ser>
          <c:idx val="2"/>
          <c:order val="2"/>
          <c:tx>
            <c:strRef>
              <c:f>'Organizacija-Ukupno+PZZ+Stom'!$E$19</c:f>
              <c:strCache>
                <c:ptCount val="1"/>
                <c:pt idx="0">
                  <c:v>Administrativno  i tehničko osoblje</c:v>
                </c:pt>
              </c:strCache>
            </c:strRef>
          </c:tx>
          <c:invertIfNegative val="0"/>
          <c:cat>
            <c:strRef>
              <c:f>'Organizacija-Ukupno+PZZ+Stom'!$B$20:$B$25</c:f>
              <c:strCache>
                <c:ptCount val="6"/>
                <c:pt idx="0">
                  <c:v>2010.</c:v>
                </c:pt>
                <c:pt idx="1">
                  <c:v>2011.</c:v>
                </c:pt>
                <c:pt idx="2">
                  <c:v>2012.</c:v>
                </c:pt>
                <c:pt idx="3">
                  <c:v>2013.</c:v>
                </c:pt>
                <c:pt idx="4">
                  <c:v>2014.</c:v>
                </c:pt>
                <c:pt idx="5">
                  <c:v>2015.</c:v>
                </c:pt>
              </c:strCache>
            </c:strRef>
          </c:cat>
          <c:val>
            <c:numRef>
              <c:f>'Organizacija-Ukupno+PZZ+Stom'!$E$20:$E$25</c:f>
              <c:numCache>
                <c:formatCode>0.0</c:formatCode>
                <c:ptCount val="6"/>
                <c:pt idx="0">
                  <c:v>28.372256502382253</c:v>
                </c:pt>
                <c:pt idx="1">
                  <c:v>28.135672151505744</c:v>
                </c:pt>
                <c:pt idx="2">
                  <c:v>27.866217664166538</c:v>
                </c:pt>
                <c:pt idx="3">
                  <c:v>27.156208277703605</c:v>
                </c:pt>
                <c:pt idx="4">
                  <c:v>26.9</c:v>
                </c:pt>
                <c:pt idx="5">
                  <c:v>27</c:v>
                </c:pt>
              </c:numCache>
            </c:numRef>
          </c:val>
        </c:ser>
        <c:dLbls>
          <c:showLegendKey val="0"/>
          <c:showVal val="0"/>
          <c:showCatName val="0"/>
          <c:showSerName val="0"/>
          <c:showPercent val="0"/>
          <c:showBubbleSize val="0"/>
        </c:dLbls>
        <c:gapWidth val="150"/>
        <c:axId val="177816704"/>
        <c:axId val="177818240"/>
      </c:barChart>
      <c:catAx>
        <c:axId val="177816704"/>
        <c:scaling>
          <c:orientation val="minMax"/>
        </c:scaling>
        <c:delete val="0"/>
        <c:axPos val="b"/>
        <c:numFmt formatCode="General" sourceLinked="0"/>
        <c:majorTickMark val="out"/>
        <c:minorTickMark val="none"/>
        <c:tickLblPos val="nextTo"/>
        <c:crossAx val="177818240"/>
        <c:crosses val="autoZero"/>
        <c:auto val="1"/>
        <c:lblAlgn val="ctr"/>
        <c:lblOffset val="100"/>
        <c:noMultiLvlLbl val="0"/>
      </c:catAx>
      <c:valAx>
        <c:axId val="177818240"/>
        <c:scaling>
          <c:orientation val="minMax"/>
        </c:scaling>
        <c:delete val="0"/>
        <c:axPos val="l"/>
        <c:majorGridlines/>
        <c:numFmt formatCode="0.0" sourceLinked="1"/>
        <c:majorTickMark val="out"/>
        <c:minorTickMark val="none"/>
        <c:tickLblPos val="nextTo"/>
        <c:crossAx val="177816704"/>
        <c:crosses val="autoZero"/>
        <c:crossBetween val="between"/>
      </c:valAx>
    </c:plotArea>
    <c:legend>
      <c:legendPos val="b"/>
      <c:overlay val="0"/>
    </c:legend>
    <c:plotVisOnly val="1"/>
    <c:dispBlanksAs val="gap"/>
    <c:showDLblsOverMax val="0"/>
  </c:chart>
  <c:spPr>
    <a:ln>
      <a:solidFill>
        <a:schemeClr val="tx1"/>
      </a:solidFill>
    </a:ln>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bs-Latn-B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'[mort. svvi uzroci ER.fbiht.xlsx]Sheet1'!$B$8</c:f>
              <c:strCache>
                <c:ptCount val="1"/>
                <c:pt idx="0">
                  <c:v>FBIH</c:v>
                </c:pt>
              </c:strCache>
            </c:strRef>
          </c:tx>
          <c:cat>
            <c:strRef>
              <c:f>'[mort. svvi uzroci ER.fbiht.xlsx]Sheet1'!$C$7:$H$7</c:f>
              <c:strCache>
                <c:ptCount val="6"/>
                <c:pt idx="0">
                  <c:v>2010.</c:v>
                </c:pt>
                <c:pt idx="1">
                  <c:v>2011.</c:v>
                </c:pt>
                <c:pt idx="2">
                  <c:v>2012.</c:v>
                </c:pt>
                <c:pt idx="3">
                  <c:v>2013.</c:v>
                </c:pt>
                <c:pt idx="4">
                  <c:v>2014.</c:v>
                </c:pt>
                <c:pt idx="5">
                  <c:v>2015.</c:v>
                </c:pt>
              </c:strCache>
            </c:strRef>
          </c:cat>
          <c:val>
            <c:numRef>
              <c:f>'[mort. svvi uzroci ER.fbiht.xlsx]Sheet1'!$C$8:$H$8</c:f>
              <c:numCache>
                <c:formatCode>General</c:formatCode>
                <c:ptCount val="6"/>
                <c:pt idx="0">
                  <c:v>795</c:v>
                </c:pt>
                <c:pt idx="1">
                  <c:v>723.5</c:v>
                </c:pt>
                <c:pt idx="2">
                  <c:v>736.1</c:v>
                </c:pt>
                <c:pt idx="3">
                  <c:v>730.7</c:v>
                </c:pt>
                <c:pt idx="4">
                  <c:v>712.2</c:v>
                </c:pt>
                <c:pt idx="5">
                  <c:v>762.2</c:v>
                </c:pt>
              </c:numCache>
            </c:numRef>
          </c:val>
          <c:smooth val="0"/>
        </c:ser>
        <c:ser>
          <c:idx val="1"/>
          <c:order val="1"/>
          <c:tx>
            <c:strRef>
              <c:f>'[mort. svvi uzroci ER.fbiht.xlsx]Sheet1'!$B$9</c:f>
              <c:strCache>
                <c:ptCount val="1"/>
                <c:pt idx="0">
                  <c:v>Zemlje članice EU od 2004.</c:v>
                </c:pt>
              </c:strCache>
            </c:strRef>
          </c:tx>
          <c:cat>
            <c:strRef>
              <c:f>'[mort. svvi uzroci ER.fbiht.xlsx]Sheet1'!$C$7:$H$7</c:f>
              <c:strCache>
                <c:ptCount val="6"/>
                <c:pt idx="0">
                  <c:v>2010.</c:v>
                </c:pt>
                <c:pt idx="1">
                  <c:v>2011.</c:v>
                </c:pt>
                <c:pt idx="2">
                  <c:v>2012.</c:v>
                </c:pt>
                <c:pt idx="3">
                  <c:v>2013.</c:v>
                </c:pt>
                <c:pt idx="4">
                  <c:v>2014.</c:v>
                </c:pt>
                <c:pt idx="5">
                  <c:v>2015.</c:v>
                </c:pt>
              </c:strCache>
            </c:strRef>
          </c:cat>
          <c:val>
            <c:numRef>
              <c:f>'[mort. svvi uzroci ER.fbiht.xlsx]Sheet1'!$C$9:$H$9</c:f>
              <c:numCache>
                <c:formatCode>General</c:formatCode>
                <c:ptCount val="6"/>
                <c:pt idx="0">
                  <c:v>835.25</c:v>
                </c:pt>
                <c:pt idx="1">
                  <c:v>807.55</c:v>
                </c:pt>
                <c:pt idx="2">
                  <c:v>804.56</c:v>
                </c:pt>
              </c:numCache>
            </c:numRef>
          </c:val>
          <c:smooth val="0"/>
        </c:ser>
        <c:ser>
          <c:idx val="2"/>
          <c:order val="2"/>
          <c:tx>
            <c:strRef>
              <c:f>'[mort. svvi uzroci ER.fbiht.xlsx]Sheet1'!$B$10</c:f>
              <c:strCache>
                <c:ptCount val="1"/>
                <c:pt idx="0">
                  <c:v>Zemlje ER</c:v>
                </c:pt>
              </c:strCache>
            </c:strRef>
          </c:tx>
          <c:cat>
            <c:strRef>
              <c:f>'[mort. svvi uzroci ER.fbiht.xlsx]Sheet1'!$C$7:$H$7</c:f>
              <c:strCache>
                <c:ptCount val="6"/>
                <c:pt idx="0">
                  <c:v>2010.</c:v>
                </c:pt>
                <c:pt idx="1">
                  <c:v>2011.</c:v>
                </c:pt>
                <c:pt idx="2">
                  <c:v>2012.</c:v>
                </c:pt>
                <c:pt idx="3">
                  <c:v>2013.</c:v>
                </c:pt>
                <c:pt idx="4">
                  <c:v>2014.</c:v>
                </c:pt>
                <c:pt idx="5">
                  <c:v>2015.</c:v>
                </c:pt>
              </c:strCache>
            </c:strRef>
          </c:cat>
          <c:val>
            <c:numRef>
              <c:f>'[mort. svvi uzroci ER.fbiht.xlsx]Sheet1'!$C$10:$H$10</c:f>
              <c:numCache>
                <c:formatCode>General</c:formatCode>
                <c:ptCount val="6"/>
                <c:pt idx="0">
                  <c:v>794.37</c:v>
                </c:pt>
                <c:pt idx="1">
                  <c:v>765.21</c:v>
                </c:pt>
                <c:pt idx="2">
                  <c:v>752.26</c:v>
                </c:pt>
                <c:pt idx="3">
                  <c:v>789.1</c:v>
                </c:pt>
                <c:pt idx="4">
                  <c:v>788.1</c:v>
                </c:pt>
              </c:numCache>
            </c:numRef>
          </c:val>
          <c:smooth val="0"/>
        </c:ser>
        <c:dLbls>
          <c:showLegendKey val="0"/>
          <c:showVal val="0"/>
          <c:showCatName val="0"/>
          <c:showSerName val="0"/>
          <c:showPercent val="0"/>
          <c:showBubbleSize val="0"/>
        </c:dLbls>
        <c:marker val="1"/>
        <c:smooth val="0"/>
        <c:axId val="37063680"/>
        <c:axId val="37065472"/>
      </c:lineChart>
      <c:catAx>
        <c:axId val="37063680"/>
        <c:scaling>
          <c:orientation val="minMax"/>
        </c:scaling>
        <c:delete val="0"/>
        <c:axPos val="b"/>
        <c:numFmt formatCode="General" sourceLinked="0"/>
        <c:majorTickMark val="out"/>
        <c:minorTickMark val="none"/>
        <c:tickLblPos val="nextTo"/>
        <c:crossAx val="37065472"/>
        <c:crosses val="autoZero"/>
        <c:auto val="1"/>
        <c:lblAlgn val="ctr"/>
        <c:lblOffset val="100"/>
        <c:noMultiLvlLbl val="0"/>
      </c:catAx>
      <c:valAx>
        <c:axId val="37065472"/>
        <c:scaling>
          <c:orientation val="minMax"/>
        </c:scaling>
        <c:delete val="0"/>
        <c:axPos val="l"/>
        <c:majorGridlines/>
        <c:numFmt formatCode="General" sourceLinked="1"/>
        <c:majorTickMark val="out"/>
        <c:minorTickMark val="none"/>
        <c:tickLblPos val="nextTo"/>
        <c:crossAx val="37063680"/>
        <c:crosses val="autoZero"/>
        <c:crossBetween val="between"/>
      </c:valAx>
    </c:plotArea>
    <c:legend>
      <c:legendPos val="b"/>
      <c:overlay val="0"/>
    </c:legend>
    <c:plotVisOnly val="1"/>
    <c:dispBlanksAs val="gap"/>
    <c:showDLblsOverMax val="0"/>
  </c:chart>
  <c:externalData r:id="rId1">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c:date1904 val="0"/>
  <c:lang val="bs-Latn-B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tx>
            <c:strRef>
              <c:f>'REDOM organiz graf.'!$C$45</c:f>
              <c:strCache>
                <c:ptCount val="1"/>
                <c:pt idx="0">
                  <c:v>Doktori medicine</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'REDOM organiz graf.'!$B$46:$B$51</c:f>
              <c:strCache>
                <c:ptCount val="6"/>
                <c:pt idx="0">
                  <c:v>2010.</c:v>
                </c:pt>
                <c:pt idx="1">
                  <c:v>2011.</c:v>
                </c:pt>
                <c:pt idx="2">
                  <c:v>2012.</c:v>
                </c:pt>
                <c:pt idx="3">
                  <c:v>2013.</c:v>
                </c:pt>
                <c:pt idx="4">
                  <c:v>2014.</c:v>
                </c:pt>
                <c:pt idx="5">
                  <c:v>2015.</c:v>
                </c:pt>
              </c:strCache>
            </c:strRef>
          </c:cat>
          <c:val>
            <c:numRef>
              <c:f>'REDOM organiz graf.'!$C$46:$C$51</c:f>
              <c:numCache>
                <c:formatCode>General</c:formatCode>
                <c:ptCount val="6"/>
                <c:pt idx="0">
                  <c:v>186</c:v>
                </c:pt>
                <c:pt idx="1">
                  <c:v>190</c:v>
                </c:pt>
                <c:pt idx="2">
                  <c:v>193</c:v>
                </c:pt>
                <c:pt idx="3">
                  <c:v>198</c:v>
                </c:pt>
                <c:pt idx="4">
                  <c:v>205</c:v>
                </c:pt>
                <c:pt idx="5">
                  <c:v>204</c:v>
                </c:pt>
              </c:numCache>
            </c:numRef>
          </c:val>
        </c:ser>
        <c:ser>
          <c:idx val="1"/>
          <c:order val="1"/>
          <c:tx>
            <c:strRef>
              <c:f>'REDOM organiz graf.'!$D$45</c:f>
              <c:strCache>
                <c:ptCount val="1"/>
                <c:pt idx="0">
                  <c:v>Doktori stomatologije</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'REDOM organiz graf.'!$B$46:$B$51</c:f>
              <c:strCache>
                <c:ptCount val="6"/>
                <c:pt idx="0">
                  <c:v>2010.</c:v>
                </c:pt>
                <c:pt idx="1">
                  <c:v>2011.</c:v>
                </c:pt>
                <c:pt idx="2">
                  <c:v>2012.</c:v>
                </c:pt>
                <c:pt idx="3">
                  <c:v>2013.</c:v>
                </c:pt>
                <c:pt idx="4">
                  <c:v>2014.</c:v>
                </c:pt>
                <c:pt idx="5">
                  <c:v>2015.</c:v>
                </c:pt>
              </c:strCache>
            </c:strRef>
          </c:cat>
          <c:val>
            <c:numRef>
              <c:f>'REDOM organiz graf.'!$D$46:$D$51</c:f>
              <c:numCache>
                <c:formatCode>General</c:formatCode>
                <c:ptCount val="6"/>
                <c:pt idx="0">
                  <c:v>25</c:v>
                </c:pt>
                <c:pt idx="1">
                  <c:v>25</c:v>
                </c:pt>
                <c:pt idx="2">
                  <c:v>25</c:v>
                </c:pt>
                <c:pt idx="3">
                  <c:v>25</c:v>
                </c:pt>
                <c:pt idx="4">
                  <c:v>25</c:v>
                </c:pt>
                <c:pt idx="5">
                  <c:v>25</c:v>
                </c:pt>
              </c:numCache>
            </c:numRef>
          </c:val>
        </c:ser>
        <c:ser>
          <c:idx val="2"/>
          <c:order val="2"/>
          <c:tx>
            <c:strRef>
              <c:f>'REDOM organiz graf.'!$E$45</c:f>
              <c:strCache>
                <c:ptCount val="1"/>
                <c:pt idx="0">
                  <c:v>Magistri farmacije</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'REDOM organiz graf.'!$B$46:$B$51</c:f>
              <c:strCache>
                <c:ptCount val="6"/>
                <c:pt idx="0">
                  <c:v>2010.</c:v>
                </c:pt>
                <c:pt idx="1">
                  <c:v>2011.</c:v>
                </c:pt>
                <c:pt idx="2">
                  <c:v>2012.</c:v>
                </c:pt>
                <c:pt idx="3">
                  <c:v>2013.</c:v>
                </c:pt>
                <c:pt idx="4">
                  <c:v>2014.</c:v>
                </c:pt>
                <c:pt idx="5">
                  <c:v>2015.</c:v>
                </c:pt>
              </c:strCache>
            </c:strRef>
          </c:cat>
          <c:val>
            <c:numRef>
              <c:f>'REDOM organiz graf.'!$E$46:$E$51</c:f>
              <c:numCache>
                <c:formatCode>General</c:formatCode>
                <c:ptCount val="6"/>
                <c:pt idx="0">
                  <c:v>10</c:v>
                </c:pt>
                <c:pt idx="1">
                  <c:v>11</c:v>
                </c:pt>
                <c:pt idx="2" formatCode="0">
                  <c:v>10.990998927843023</c:v>
                </c:pt>
                <c:pt idx="3">
                  <c:v>14</c:v>
                </c:pt>
                <c:pt idx="4">
                  <c:v>14</c:v>
                </c:pt>
                <c:pt idx="5">
                  <c:v>14</c:v>
                </c:pt>
              </c:numCache>
            </c:numRef>
          </c:val>
        </c:ser>
        <c:ser>
          <c:idx val="3"/>
          <c:order val="3"/>
          <c:tx>
            <c:strRef>
              <c:f>'REDOM organiz graf.'!$F$45</c:f>
              <c:strCache>
                <c:ptCount val="1"/>
                <c:pt idx="0">
                  <c:v>Medicinske sestre/tehničari</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'REDOM organiz graf.'!$B$46:$B$51</c:f>
              <c:strCache>
                <c:ptCount val="6"/>
                <c:pt idx="0">
                  <c:v>2010.</c:v>
                </c:pt>
                <c:pt idx="1">
                  <c:v>2011.</c:v>
                </c:pt>
                <c:pt idx="2">
                  <c:v>2012.</c:v>
                </c:pt>
                <c:pt idx="3">
                  <c:v>2013.</c:v>
                </c:pt>
                <c:pt idx="4">
                  <c:v>2014.</c:v>
                </c:pt>
                <c:pt idx="5">
                  <c:v>2015.</c:v>
                </c:pt>
              </c:strCache>
            </c:strRef>
          </c:cat>
          <c:val>
            <c:numRef>
              <c:f>'REDOM organiz graf.'!$F$46:$F$51</c:f>
              <c:numCache>
                <c:formatCode>General</c:formatCode>
                <c:ptCount val="6"/>
                <c:pt idx="0">
                  <c:v>545</c:v>
                </c:pt>
                <c:pt idx="1">
                  <c:v>548</c:v>
                </c:pt>
                <c:pt idx="2">
                  <c:v>559</c:v>
                </c:pt>
                <c:pt idx="3">
                  <c:v>566</c:v>
                </c:pt>
                <c:pt idx="4">
                  <c:v>571</c:v>
                </c:pt>
                <c:pt idx="5">
                  <c:v>566</c:v>
                </c:pt>
              </c:numCache>
            </c:numRef>
          </c:val>
        </c:ser>
        <c:dLbls>
          <c:showLegendKey val="0"/>
          <c:showVal val="0"/>
          <c:showCatName val="0"/>
          <c:showSerName val="0"/>
          <c:showPercent val="0"/>
          <c:showBubbleSize val="0"/>
        </c:dLbls>
        <c:gapWidth val="150"/>
        <c:axId val="177879296"/>
        <c:axId val="177889280"/>
      </c:barChart>
      <c:catAx>
        <c:axId val="177879296"/>
        <c:scaling>
          <c:orientation val="minMax"/>
        </c:scaling>
        <c:delete val="0"/>
        <c:axPos val="l"/>
        <c:numFmt formatCode="General" sourceLinked="0"/>
        <c:majorTickMark val="out"/>
        <c:minorTickMark val="none"/>
        <c:tickLblPos val="nextTo"/>
        <c:crossAx val="177889280"/>
        <c:crosses val="autoZero"/>
        <c:auto val="1"/>
        <c:lblAlgn val="ctr"/>
        <c:lblOffset val="100"/>
        <c:noMultiLvlLbl val="0"/>
      </c:catAx>
      <c:valAx>
        <c:axId val="177889280"/>
        <c:scaling>
          <c:orientation val="minMax"/>
        </c:scaling>
        <c:delete val="1"/>
        <c:axPos val="b"/>
        <c:numFmt formatCode="General" sourceLinked="1"/>
        <c:majorTickMark val="out"/>
        <c:minorTickMark val="none"/>
        <c:tickLblPos val="none"/>
        <c:crossAx val="177879296"/>
        <c:crosses val="autoZero"/>
        <c:crossBetween val="between"/>
      </c:valAx>
    </c:plotArea>
    <c:legend>
      <c:legendPos val="b"/>
      <c:overlay val="0"/>
    </c:legend>
    <c:plotVisOnly val="1"/>
    <c:dispBlanksAs val="gap"/>
    <c:showDLblsOverMax val="0"/>
  </c:chart>
  <c:spPr>
    <a:ln>
      <a:solidFill>
        <a:schemeClr val="tx1"/>
      </a:solidFill>
    </a:ln>
  </c:spPr>
  <c:externalData r:id="rId1">
    <c:autoUpdate val="0"/>
  </c:externalData>
</c:chartSpace>
</file>

<file path=word/charts/chart71.xml><?xml version="1.0" encoding="utf-8"?>
<c:chartSpace xmlns:c="http://schemas.openxmlformats.org/drawingml/2006/chart" xmlns:a="http://schemas.openxmlformats.org/drawingml/2006/main" xmlns:r="http://schemas.openxmlformats.org/officeDocument/2006/relationships">
  <c:date1904 val="0"/>
  <c:lang val="bs-Latn-B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'1. starost-dr med+stom+mag.'!$C$5</c:f>
              <c:strCache>
                <c:ptCount val="1"/>
                <c:pt idx="0">
                  <c:v>Dr medicine</c:v>
                </c:pt>
              </c:strCache>
            </c:strRef>
          </c:tx>
          <c:invertIfNegative val="0"/>
          <c:cat>
            <c:strRef>
              <c:f>'1. starost-dr med+stom+mag.'!$D$4:$G$4</c:f>
              <c:strCache>
                <c:ptCount val="4"/>
                <c:pt idx="0">
                  <c:v>do 34 </c:v>
                </c:pt>
                <c:pt idx="1">
                  <c:v>35-44 </c:v>
                </c:pt>
                <c:pt idx="2">
                  <c:v>45-54 </c:v>
                </c:pt>
                <c:pt idx="3">
                  <c:v>55+</c:v>
                </c:pt>
              </c:strCache>
            </c:strRef>
          </c:cat>
          <c:val>
            <c:numRef>
              <c:f>'1. starost-dr med+stom+mag.'!$D$5:$G$5</c:f>
              <c:numCache>
                <c:formatCode>0.0</c:formatCode>
                <c:ptCount val="4"/>
                <c:pt idx="0">
                  <c:v>23.110831234256928</c:v>
                </c:pt>
                <c:pt idx="1">
                  <c:v>25.125944584382871</c:v>
                </c:pt>
                <c:pt idx="2">
                  <c:v>26.238455079764904</c:v>
                </c:pt>
                <c:pt idx="3">
                  <c:v>25.524769101595297</c:v>
                </c:pt>
              </c:numCache>
            </c:numRef>
          </c:val>
        </c:ser>
        <c:ser>
          <c:idx val="1"/>
          <c:order val="1"/>
          <c:tx>
            <c:strRef>
              <c:f>'1. starost-dr med+stom+mag.'!$C$6</c:f>
              <c:strCache>
                <c:ptCount val="1"/>
                <c:pt idx="0">
                  <c:v>Dr stomatologije</c:v>
                </c:pt>
              </c:strCache>
            </c:strRef>
          </c:tx>
          <c:invertIfNegative val="0"/>
          <c:cat>
            <c:strRef>
              <c:f>'1. starost-dr med+stom+mag.'!$D$4:$G$4</c:f>
              <c:strCache>
                <c:ptCount val="4"/>
                <c:pt idx="0">
                  <c:v>do 34 </c:v>
                </c:pt>
                <c:pt idx="1">
                  <c:v>35-44 </c:v>
                </c:pt>
                <c:pt idx="2">
                  <c:v>45-54 </c:v>
                </c:pt>
                <c:pt idx="3">
                  <c:v>55+</c:v>
                </c:pt>
              </c:strCache>
            </c:strRef>
          </c:cat>
          <c:val>
            <c:numRef>
              <c:f>'1. starost-dr med+stom+mag.'!$D$6:$G$6</c:f>
              <c:numCache>
                <c:formatCode>0.0</c:formatCode>
                <c:ptCount val="4"/>
                <c:pt idx="0">
                  <c:v>20.309810671256454</c:v>
                </c:pt>
                <c:pt idx="1">
                  <c:v>40.79173838209983</c:v>
                </c:pt>
                <c:pt idx="2">
                  <c:v>21.170395869191051</c:v>
                </c:pt>
                <c:pt idx="3">
                  <c:v>18.588640275387263</c:v>
                </c:pt>
              </c:numCache>
            </c:numRef>
          </c:val>
        </c:ser>
        <c:ser>
          <c:idx val="2"/>
          <c:order val="2"/>
          <c:tx>
            <c:strRef>
              <c:f>'1. starost-dr med+stom+mag.'!$C$7</c:f>
              <c:strCache>
                <c:ptCount val="1"/>
                <c:pt idx="0">
                  <c:v>Magistri farmacije</c:v>
                </c:pt>
              </c:strCache>
            </c:strRef>
          </c:tx>
          <c:invertIfNegative val="0"/>
          <c:cat>
            <c:strRef>
              <c:f>'1. starost-dr med+stom+mag.'!$D$4:$G$4</c:f>
              <c:strCache>
                <c:ptCount val="4"/>
                <c:pt idx="0">
                  <c:v>do 34 </c:v>
                </c:pt>
                <c:pt idx="1">
                  <c:v>35-44 </c:v>
                </c:pt>
                <c:pt idx="2">
                  <c:v>45-54 </c:v>
                </c:pt>
                <c:pt idx="3">
                  <c:v>55+</c:v>
                </c:pt>
              </c:strCache>
            </c:strRef>
          </c:cat>
          <c:val>
            <c:numRef>
              <c:f>'1. starost-dr med+stom+mag.'!$D$7:$G$7</c:f>
              <c:numCache>
                <c:formatCode>0.0</c:formatCode>
                <c:ptCount val="4"/>
                <c:pt idx="0">
                  <c:v>21.18380062305296</c:v>
                </c:pt>
                <c:pt idx="1">
                  <c:v>24.922118380062305</c:v>
                </c:pt>
                <c:pt idx="2">
                  <c:v>33.333333333333336</c:v>
                </c:pt>
                <c:pt idx="3">
                  <c:v>20.560747663551403</c:v>
                </c:pt>
              </c:numCache>
            </c:numRef>
          </c:val>
        </c:ser>
        <c:ser>
          <c:idx val="3"/>
          <c:order val="3"/>
          <c:tx>
            <c:strRef>
              <c:f>'1. starost-dr med+stom+mag.'!$C$8</c:f>
              <c:strCache>
                <c:ptCount val="1"/>
                <c:pt idx="0">
                  <c:v>Ostali zdravstveni radnici sa visokom, višom i SSS</c:v>
                </c:pt>
              </c:strCache>
            </c:strRef>
          </c:tx>
          <c:invertIfNegative val="0"/>
          <c:cat>
            <c:strRef>
              <c:f>'1. starost-dr med+stom+mag.'!$D$4:$G$4</c:f>
              <c:strCache>
                <c:ptCount val="4"/>
                <c:pt idx="0">
                  <c:v>do 34 </c:v>
                </c:pt>
                <c:pt idx="1">
                  <c:v>35-44 </c:v>
                </c:pt>
                <c:pt idx="2">
                  <c:v>45-54 </c:v>
                </c:pt>
                <c:pt idx="3">
                  <c:v>55+</c:v>
                </c:pt>
              </c:strCache>
            </c:strRef>
          </c:cat>
          <c:val>
            <c:numRef>
              <c:f>'1. starost-dr med+stom+mag.'!$D$8:$G$8</c:f>
              <c:numCache>
                <c:formatCode>0.0</c:formatCode>
                <c:ptCount val="4"/>
                <c:pt idx="0">
                  <c:v>26.059322033898304</c:v>
                </c:pt>
                <c:pt idx="1">
                  <c:v>29.782082324455207</c:v>
                </c:pt>
                <c:pt idx="2">
                  <c:v>31.439164648910413</c:v>
                </c:pt>
                <c:pt idx="3">
                  <c:v>12.726997578692494</c:v>
                </c:pt>
              </c:numCache>
            </c:numRef>
          </c:val>
        </c:ser>
        <c:dLbls>
          <c:showLegendKey val="0"/>
          <c:showVal val="0"/>
          <c:showCatName val="0"/>
          <c:showSerName val="0"/>
          <c:showPercent val="0"/>
          <c:showBubbleSize val="0"/>
        </c:dLbls>
        <c:gapWidth val="150"/>
        <c:axId val="177903488"/>
        <c:axId val="177905024"/>
      </c:barChart>
      <c:catAx>
        <c:axId val="177903488"/>
        <c:scaling>
          <c:orientation val="minMax"/>
        </c:scaling>
        <c:delete val="0"/>
        <c:axPos val="b"/>
        <c:numFmt formatCode="General" sourceLinked="0"/>
        <c:majorTickMark val="out"/>
        <c:minorTickMark val="none"/>
        <c:tickLblPos val="nextTo"/>
        <c:crossAx val="177905024"/>
        <c:crosses val="autoZero"/>
        <c:auto val="1"/>
        <c:lblAlgn val="ctr"/>
        <c:lblOffset val="100"/>
        <c:noMultiLvlLbl val="0"/>
      </c:catAx>
      <c:valAx>
        <c:axId val="177905024"/>
        <c:scaling>
          <c:orientation val="minMax"/>
        </c:scaling>
        <c:delete val="0"/>
        <c:axPos val="l"/>
        <c:majorGridlines/>
        <c:numFmt formatCode="0.0" sourceLinked="1"/>
        <c:majorTickMark val="out"/>
        <c:minorTickMark val="none"/>
        <c:tickLblPos val="nextTo"/>
        <c:crossAx val="177903488"/>
        <c:crosses val="autoZero"/>
        <c:crossBetween val="between"/>
      </c:valAx>
    </c:plotArea>
    <c:legend>
      <c:legendPos val="b"/>
      <c:layout>
        <c:manualLayout>
          <c:xMode val="edge"/>
          <c:yMode val="edge"/>
          <c:x val="2.2148394241417499E-2"/>
          <c:y val="0.60914573332350219"/>
          <c:w val="0.96397090988626388"/>
          <c:h val="0.15876992987816821"/>
        </c:manualLayout>
      </c:layout>
      <c:overlay val="0"/>
    </c:legend>
    <c:plotVisOnly val="1"/>
    <c:dispBlanksAs val="gap"/>
    <c:showDLblsOverMax val="0"/>
  </c:chart>
  <c:spPr>
    <a:ln>
      <a:solidFill>
        <a:schemeClr val="tx1"/>
      </a:solidFill>
    </a:ln>
  </c:spPr>
  <c:externalData r:id="rId1">
    <c:autoUpdate val="0"/>
  </c:externalData>
</c:chartSpace>
</file>

<file path=word/charts/chart72.xml><?xml version="1.0" encoding="utf-8"?>
<c:chartSpace xmlns:c="http://schemas.openxmlformats.org/drawingml/2006/chart" xmlns:a="http://schemas.openxmlformats.org/drawingml/2006/main" xmlns:r="http://schemas.openxmlformats.org/officeDocument/2006/relationships">
  <c:date1904 val="0"/>
  <c:lang val="bs-Latn-B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tx>
            <c:strRef>
              <c:f>'REDOM organiz graf.'!$L$72</c:f>
              <c:strCache>
                <c:ptCount val="1"/>
                <c:pt idx="0">
                  <c:v>2010.</c:v>
                </c:pt>
              </c:strCache>
            </c:strRef>
          </c:tx>
          <c:invertIfNegative val="0"/>
          <c:dLbls>
            <c:dLbl>
              <c:idx val="0"/>
              <c:layout>
                <c:manualLayout>
                  <c:x val="-7.9365079365079413E-3"/>
                  <c:y val="2.3148148148148147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7.9365079365078424E-3"/>
                  <c:y val="-9.2592592592593281E-3"/>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2.6455026455026614E-3"/>
                  <c:y val="1.8518518518518583E-2"/>
                </c:manualLayout>
              </c:layout>
              <c:showLegendKey val="0"/>
              <c:showVal val="1"/>
              <c:showCatName val="0"/>
              <c:showSerName val="0"/>
              <c:showPercent val="0"/>
              <c:showBubbleSize val="0"/>
              <c:extLst>
                <c:ext xmlns:c15="http://schemas.microsoft.com/office/drawing/2012/chart" uri="{CE6537A1-D6FC-4f65-9D91-7224C49458BB}"/>
              </c:extLst>
            </c:dLbl>
            <c:dLbl>
              <c:idx val="6"/>
              <c:layout>
                <c:manualLayout>
                  <c:x val="-1.058201058201058E-2"/>
                  <c:y val="9.2592592592592952E-3"/>
                </c:manualLayout>
              </c:layout>
              <c:showLegendKey val="0"/>
              <c:showVal val="1"/>
              <c:showCatName val="0"/>
              <c:showSerName val="0"/>
              <c:showPercent val="0"/>
              <c:showBubbleSize val="0"/>
              <c:extLst>
                <c:ext xmlns:c15="http://schemas.microsoft.com/office/drawing/2012/chart" uri="{CE6537A1-D6FC-4f65-9D91-7224C49458BB}"/>
              </c:extLst>
            </c:dLbl>
            <c:dLbl>
              <c:idx val="8"/>
              <c:layout>
                <c:manualLayout>
                  <c:x val="-5.2910052910052924E-3"/>
                  <c:y val="0"/>
                </c:manualLayout>
              </c:layout>
              <c:showLegendKey val="0"/>
              <c:showVal val="1"/>
              <c:showCatName val="0"/>
              <c:showSerName val="0"/>
              <c:showPercent val="0"/>
              <c:showBubbleSize val="0"/>
              <c:extLst>
                <c:ext xmlns:c15="http://schemas.microsoft.com/office/drawing/2012/chart" uri="{CE6537A1-D6FC-4f65-9D91-7224C49458BB}"/>
              </c:extLst>
            </c:dLbl>
            <c:dLbl>
              <c:idx val="9"/>
              <c:layout>
                <c:manualLayout>
                  <c:x val="-7.9365079365079413E-3"/>
                  <c:y val="2.3148148148148147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'REDOM organiz graf.'!$J$73:$K$83</c:f>
              <c:strCache>
                <c:ptCount val="11"/>
                <c:pt idx="0">
                  <c:v>Ukupno FBiH</c:v>
                </c:pt>
                <c:pt idx="1">
                  <c:v>Unsko sanski</c:v>
                </c:pt>
                <c:pt idx="2">
                  <c:v>Posavski</c:v>
                </c:pt>
                <c:pt idx="3">
                  <c:v>Tuzlanski</c:v>
                </c:pt>
                <c:pt idx="4">
                  <c:v>Zeničko dobojski</c:v>
                </c:pt>
                <c:pt idx="5">
                  <c:v>Bosansko podrinjski</c:v>
                </c:pt>
                <c:pt idx="6">
                  <c:v>Srednjebosanski</c:v>
                </c:pt>
                <c:pt idx="7">
                  <c:v>Hercegovačo neretvanski</c:v>
                </c:pt>
                <c:pt idx="8">
                  <c:v>Zapadno hercegovački</c:v>
                </c:pt>
                <c:pt idx="9">
                  <c:v>Kanton Sarajevo</c:v>
                </c:pt>
                <c:pt idx="10">
                  <c:v>Kanton 10</c:v>
                </c:pt>
              </c:strCache>
            </c:strRef>
          </c:cat>
          <c:val>
            <c:numRef>
              <c:f>'REDOM organiz graf.'!$L$73:$L$83</c:f>
              <c:numCache>
                <c:formatCode>0.0</c:formatCode>
                <c:ptCount val="11"/>
                <c:pt idx="0">
                  <c:v>70.884041331802479</c:v>
                </c:pt>
                <c:pt idx="1">
                  <c:v>68.813559322033882</c:v>
                </c:pt>
                <c:pt idx="2">
                  <c:v>57.894736842105416</c:v>
                </c:pt>
                <c:pt idx="3">
                  <c:v>72.956609485368858</c:v>
                </c:pt>
                <c:pt idx="4">
                  <c:v>61.809045226130657</c:v>
                </c:pt>
                <c:pt idx="5">
                  <c:v>70.731707317073159</c:v>
                </c:pt>
                <c:pt idx="6">
                  <c:v>62.091503267973863</c:v>
                </c:pt>
                <c:pt idx="7">
                  <c:v>63.45454545454529</c:v>
                </c:pt>
                <c:pt idx="8">
                  <c:v>61.53846153846154</c:v>
                </c:pt>
                <c:pt idx="9">
                  <c:v>80.258435032303979</c:v>
                </c:pt>
                <c:pt idx="10">
                  <c:v>55.696202531645554</c:v>
                </c:pt>
              </c:numCache>
            </c:numRef>
          </c:val>
        </c:ser>
        <c:ser>
          <c:idx val="1"/>
          <c:order val="1"/>
          <c:tx>
            <c:strRef>
              <c:f>'REDOM organiz graf.'!$M$72</c:f>
              <c:strCache>
                <c:ptCount val="1"/>
                <c:pt idx="0">
                  <c:v>2015.</c:v>
                </c:pt>
              </c:strCache>
            </c:strRef>
          </c:tx>
          <c:invertIfNegative val="0"/>
          <c:dLbls>
            <c:dLbl>
              <c:idx val="2"/>
              <c:layout>
                <c:manualLayout>
                  <c:x val="-1.8518518518518583E-2"/>
                  <c:y val="-1.3888888888888963E-2"/>
                </c:manualLayout>
              </c:layout>
              <c:showLegendKey val="0"/>
              <c:showVal val="1"/>
              <c:showCatName val="0"/>
              <c:showSerName val="0"/>
              <c:showPercent val="0"/>
              <c:showBubbleSize val="0"/>
              <c:extLst>
                <c:ext xmlns:c15="http://schemas.microsoft.com/office/drawing/2012/chart" uri="{CE6537A1-D6FC-4f65-9D91-7224C49458BB}"/>
              </c:extLst>
            </c:dLbl>
            <c:dLbl>
              <c:idx val="9"/>
              <c:layout>
                <c:manualLayout>
                  <c:x val="-7.9365079365079413E-3"/>
                  <c:y val="-1.3888888888888963E-2"/>
                </c:manualLayout>
              </c:layout>
              <c:showLegendKey val="0"/>
              <c:showVal val="1"/>
              <c:showCatName val="0"/>
              <c:showSerName val="0"/>
              <c:showPercent val="0"/>
              <c:showBubbleSize val="0"/>
              <c:extLst>
                <c:ext xmlns:c15="http://schemas.microsoft.com/office/drawing/2012/chart" uri="{CE6537A1-D6FC-4f65-9D91-7224C49458BB}"/>
              </c:extLst>
            </c:dLbl>
            <c:dLbl>
              <c:idx val="10"/>
              <c:layout>
                <c:manualLayout>
                  <c:x val="-7.9365079365079413E-3"/>
                  <c:y val="-9.2592592592593281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'REDOM organiz graf.'!$J$73:$K$83</c:f>
              <c:strCache>
                <c:ptCount val="11"/>
                <c:pt idx="0">
                  <c:v>Ukupno FBiH</c:v>
                </c:pt>
                <c:pt idx="1">
                  <c:v>Unsko sanski</c:v>
                </c:pt>
                <c:pt idx="2">
                  <c:v>Posavski</c:v>
                </c:pt>
                <c:pt idx="3">
                  <c:v>Tuzlanski</c:v>
                </c:pt>
                <c:pt idx="4">
                  <c:v>Zeničko dobojski</c:v>
                </c:pt>
                <c:pt idx="5">
                  <c:v>Bosansko podrinjski</c:v>
                </c:pt>
                <c:pt idx="6">
                  <c:v>Srednjebosanski</c:v>
                </c:pt>
                <c:pt idx="7">
                  <c:v>Hercegovačo neretvanski</c:v>
                </c:pt>
                <c:pt idx="8">
                  <c:v>Zapadno hercegovački</c:v>
                </c:pt>
                <c:pt idx="9">
                  <c:v>Kanton Sarajevo</c:v>
                </c:pt>
                <c:pt idx="10">
                  <c:v>Kanton 10</c:v>
                </c:pt>
              </c:strCache>
            </c:strRef>
          </c:cat>
          <c:val>
            <c:numRef>
              <c:f>'REDOM organiz graf.'!$M$73:$M$83</c:f>
              <c:numCache>
                <c:formatCode>General</c:formatCode>
                <c:ptCount val="11"/>
                <c:pt idx="0">
                  <c:v>70.400000000000006</c:v>
                </c:pt>
                <c:pt idx="1">
                  <c:v>56.9</c:v>
                </c:pt>
                <c:pt idx="2">
                  <c:v>56.8</c:v>
                </c:pt>
                <c:pt idx="3">
                  <c:v>81.3</c:v>
                </c:pt>
                <c:pt idx="4">
                  <c:v>65.7</c:v>
                </c:pt>
                <c:pt idx="5">
                  <c:v>54.2</c:v>
                </c:pt>
                <c:pt idx="6">
                  <c:v>62.7</c:v>
                </c:pt>
                <c:pt idx="7">
                  <c:v>59.7</c:v>
                </c:pt>
                <c:pt idx="8">
                  <c:v>51.3</c:v>
                </c:pt>
                <c:pt idx="9">
                  <c:v>78.7</c:v>
                </c:pt>
                <c:pt idx="10">
                  <c:v>47.6</c:v>
                </c:pt>
              </c:numCache>
            </c:numRef>
          </c:val>
        </c:ser>
        <c:dLbls>
          <c:showLegendKey val="0"/>
          <c:showVal val="0"/>
          <c:showCatName val="0"/>
          <c:showSerName val="0"/>
          <c:showPercent val="0"/>
          <c:showBubbleSize val="0"/>
        </c:dLbls>
        <c:gapWidth val="150"/>
        <c:axId val="185942784"/>
        <c:axId val="185944320"/>
      </c:barChart>
      <c:catAx>
        <c:axId val="185942784"/>
        <c:scaling>
          <c:orientation val="minMax"/>
        </c:scaling>
        <c:delete val="0"/>
        <c:axPos val="l"/>
        <c:numFmt formatCode="General" sourceLinked="0"/>
        <c:majorTickMark val="out"/>
        <c:minorTickMark val="none"/>
        <c:tickLblPos val="nextTo"/>
        <c:txPr>
          <a:bodyPr rot="0" vert="horz"/>
          <a:lstStyle/>
          <a:p>
            <a:pPr>
              <a:defRPr/>
            </a:pPr>
            <a:endParaRPr lang="sr-Latn-RS"/>
          </a:p>
        </c:txPr>
        <c:crossAx val="185944320"/>
        <c:crosses val="autoZero"/>
        <c:auto val="1"/>
        <c:lblAlgn val="ctr"/>
        <c:lblOffset val="100"/>
        <c:noMultiLvlLbl val="0"/>
      </c:catAx>
      <c:valAx>
        <c:axId val="185944320"/>
        <c:scaling>
          <c:orientation val="minMax"/>
        </c:scaling>
        <c:delete val="1"/>
        <c:axPos val="b"/>
        <c:numFmt formatCode="0.0" sourceLinked="1"/>
        <c:majorTickMark val="out"/>
        <c:minorTickMark val="none"/>
        <c:tickLblPos val="none"/>
        <c:crossAx val="185942784"/>
        <c:crosses val="autoZero"/>
        <c:crossBetween val="between"/>
      </c:valAx>
    </c:plotArea>
    <c:legend>
      <c:legendPos val="b"/>
      <c:overlay val="0"/>
    </c:legend>
    <c:plotVisOnly val="1"/>
    <c:dispBlanksAs val="gap"/>
    <c:showDLblsOverMax val="0"/>
  </c:chart>
  <c:spPr>
    <a:ln>
      <a:solidFill>
        <a:schemeClr val="tx1"/>
      </a:solidFill>
    </a:ln>
  </c:spPr>
  <c:externalData r:id="rId1">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c:date1904 val="0"/>
  <c:lang val="bs-Latn-B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'Komp. br djece-pedij 2010-2015.'!$B$114</c:f>
              <c:strCache>
                <c:ptCount val="1"/>
                <c:pt idx="0">
                  <c:v>2010.</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'Komp. br djece-pedij 2010-2015.'!$C$113:$F$113</c:f>
              <c:strCache>
                <c:ptCount val="4"/>
                <c:pt idx="0">
                  <c:v>do 34 </c:v>
                </c:pt>
                <c:pt idx="1">
                  <c:v>35-44 </c:v>
                </c:pt>
                <c:pt idx="2">
                  <c:v>45-54 </c:v>
                </c:pt>
                <c:pt idx="3">
                  <c:v>55+</c:v>
                </c:pt>
              </c:strCache>
            </c:strRef>
          </c:cat>
          <c:val>
            <c:numRef>
              <c:f>'Komp. br djece-pedij 2010-2015.'!$C$114:$F$114</c:f>
              <c:numCache>
                <c:formatCode>0.0</c:formatCode>
                <c:ptCount val="4"/>
                <c:pt idx="0">
                  <c:v>1.9543973941368082</c:v>
                </c:pt>
                <c:pt idx="1">
                  <c:v>26.058631921824102</c:v>
                </c:pt>
                <c:pt idx="2">
                  <c:v>65.798045602605868</c:v>
                </c:pt>
                <c:pt idx="3">
                  <c:v>6.1889250814332257</c:v>
                </c:pt>
              </c:numCache>
            </c:numRef>
          </c:val>
        </c:ser>
        <c:ser>
          <c:idx val="1"/>
          <c:order val="1"/>
          <c:tx>
            <c:strRef>
              <c:f>'Komp. br djece-pedij 2010-2015.'!$B$115</c:f>
              <c:strCache>
                <c:ptCount val="1"/>
                <c:pt idx="0">
                  <c:v>2015.</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'Komp. br djece-pedij 2010-2015.'!$C$113:$F$113</c:f>
              <c:strCache>
                <c:ptCount val="4"/>
                <c:pt idx="0">
                  <c:v>do 34 </c:v>
                </c:pt>
                <c:pt idx="1">
                  <c:v>35-44 </c:v>
                </c:pt>
                <c:pt idx="2">
                  <c:v>45-54 </c:v>
                </c:pt>
                <c:pt idx="3">
                  <c:v>55+</c:v>
                </c:pt>
              </c:strCache>
            </c:strRef>
          </c:cat>
          <c:val>
            <c:numRef>
              <c:f>'Komp. br djece-pedij 2010-2015.'!$C$115:$F$115</c:f>
              <c:numCache>
                <c:formatCode>0.0</c:formatCode>
                <c:ptCount val="4"/>
                <c:pt idx="0">
                  <c:v>3.1662269129287597</c:v>
                </c:pt>
                <c:pt idx="1">
                  <c:v>19.261213720316626</c:v>
                </c:pt>
                <c:pt idx="2">
                  <c:v>53.298153034300803</c:v>
                </c:pt>
                <c:pt idx="3">
                  <c:v>24.274406332453822</c:v>
                </c:pt>
              </c:numCache>
            </c:numRef>
          </c:val>
        </c:ser>
        <c:dLbls>
          <c:showLegendKey val="0"/>
          <c:showVal val="0"/>
          <c:showCatName val="0"/>
          <c:showSerName val="0"/>
          <c:showPercent val="0"/>
          <c:showBubbleSize val="0"/>
        </c:dLbls>
        <c:gapWidth val="150"/>
        <c:axId val="185982976"/>
        <c:axId val="185984512"/>
      </c:barChart>
      <c:catAx>
        <c:axId val="185982976"/>
        <c:scaling>
          <c:orientation val="minMax"/>
        </c:scaling>
        <c:delete val="0"/>
        <c:axPos val="b"/>
        <c:numFmt formatCode="General" sourceLinked="0"/>
        <c:majorTickMark val="out"/>
        <c:minorTickMark val="none"/>
        <c:tickLblPos val="nextTo"/>
        <c:crossAx val="185984512"/>
        <c:crosses val="autoZero"/>
        <c:auto val="1"/>
        <c:lblAlgn val="ctr"/>
        <c:lblOffset val="100"/>
        <c:noMultiLvlLbl val="0"/>
      </c:catAx>
      <c:valAx>
        <c:axId val="185984512"/>
        <c:scaling>
          <c:orientation val="minMax"/>
        </c:scaling>
        <c:delete val="1"/>
        <c:axPos val="l"/>
        <c:numFmt formatCode="0.0" sourceLinked="1"/>
        <c:majorTickMark val="out"/>
        <c:minorTickMark val="none"/>
        <c:tickLblPos val="none"/>
        <c:crossAx val="185982976"/>
        <c:crosses val="autoZero"/>
        <c:crossBetween val="between"/>
      </c:valAx>
    </c:plotArea>
    <c:legend>
      <c:legendPos val="b"/>
      <c:overlay val="0"/>
    </c:legend>
    <c:plotVisOnly val="1"/>
    <c:dispBlanksAs val="gap"/>
    <c:showDLblsOverMax val="0"/>
  </c:chart>
  <c:spPr>
    <a:ln>
      <a:solidFill>
        <a:schemeClr val="tx1"/>
      </a:solidFill>
    </a:ln>
  </c:spPr>
  <c:externalData r:id="rId1">
    <c:autoUpdate val="0"/>
  </c:externalData>
</c:chartSpace>
</file>

<file path=word/charts/chart74.xml><?xml version="1.0" encoding="utf-8"?>
<c:chartSpace xmlns:c="http://schemas.openxmlformats.org/drawingml/2006/chart" xmlns:a="http://schemas.openxmlformats.org/drawingml/2006/main" xmlns:r="http://schemas.openxmlformats.org/officeDocument/2006/relationships">
  <c:date1904 val="0"/>
  <c:lang val="bs-Latn-B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'Komp. br djece-pedij 2010-2015.'!$C$68</c:f>
              <c:strCache>
                <c:ptCount val="1"/>
                <c:pt idx="0">
                  <c:v>2010.</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'Komp. br djece-pedij 2010-2015.'!$D$67:$G$67</c:f>
              <c:strCache>
                <c:ptCount val="4"/>
                <c:pt idx="0">
                  <c:v>do 34 </c:v>
                </c:pt>
                <c:pt idx="1">
                  <c:v>35-44 </c:v>
                </c:pt>
                <c:pt idx="2">
                  <c:v>45-54 </c:v>
                </c:pt>
                <c:pt idx="3">
                  <c:v>55+</c:v>
                </c:pt>
              </c:strCache>
            </c:strRef>
          </c:cat>
          <c:val>
            <c:numRef>
              <c:f>'Komp. br djece-pedij 2010-2015.'!$D$68:$G$68</c:f>
              <c:numCache>
                <c:formatCode>0.0</c:formatCode>
                <c:ptCount val="4"/>
                <c:pt idx="0">
                  <c:v>3.2520325203252027</c:v>
                </c:pt>
                <c:pt idx="1">
                  <c:v>15.040650406504065</c:v>
                </c:pt>
                <c:pt idx="2">
                  <c:v>49.593495934959364</c:v>
                </c:pt>
                <c:pt idx="3">
                  <c:v>32.113821138211378</c:v>
                </c:pt>
              </c:numCache>
            </c:numRef>
          </c:val>
        </c:ser>
        <c:ser>
          <c:idx val="1"/>
          <c:order val="1"/>
          <c:tx>
            <c:strRef>
              <c:f>'Komp. br djece-pedij 2010-2015.'!$C$69</c:f>
              <c:strCache>
                <c:ptCount val="1"/>
                <c:pt idx="0">
                  <c:v>2015.</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'Komp. br djece-pedij 2010-2015.'!$D$67:$G$67</c:f>
              <c:strCache>
                <c:ptCount val="4"/>
                <c:pt idx="0">
                  <c:v>do 34 </c:v>
                </c:pt>
                <c:pt idx="1">
                  <c:v>35-44 </c:v>
                </c:pt>
                <c:pt idx="2">
                  <c:v>45-54 </c:v>
                </c:pt>
                <c:pt idx="3">
                  <c:v>55+</c:v>
                </c:pt>
              </c:strCache>
            </c:strRef>
          </c:cat>
          <c:val>
            <c:numRef>
              <c:f>'Komp. br djece-pedij 2010-2015.'!$D$69:$G$69</c:f>
              <c:numCache>
                <c:formatCode>0.0</c:formatCode>
                <c:ptCount val="4"/>
                <c:pt idx="0">
                  <c:v>1.2096774193548385</c:v>
                </c:pt>
                <c:pt idx="1">
                  <c:v>33.064516129032256</c:v>
                </c:pt>
                <c:pt idx="2">
                  <c:v>25.806451612903224</c:v>
                </c:pt>
                <c:pt idx="3">
                  <c:v>39.91935483870968</c:v>
                </c:pt>
              </c:numCache>
            </c:numRef>
          </c:val>
        </c:ser>
        <c:dLbls>
          <c:showLegendKey val="0"/>
          <c:showVal val="0"/>
          <c:showCatName val="0"/>
          <c:showSerName val="0"/>
          <c:showPercent val="0"/>
          <c:showBubbleSize val="0"/>
        </c:dLbls>
        <c:gapWidth val="150"/>
        <c:axId val="186030720"/>
        <c:axId val="186032512"/>
      </c:barChart>
      <c:catAx>
        <c:axId val="186030720"/>
        <c:scaling>
          <c:orientation val="minMax"/>
        </c:scaling>
        <c:delete val="0"/>
        <c:axPos val="b"/>
        <c:numFmt formatCode="General" sourceLinked="0"/>
        <c:majorTickMark val="out"/>
        <c:minorTickMark val="none"/>
        <c:tickLblPos val="nextTo"/>
        <c:crossAx val="186032512"/>
        <c:crosses val="autoZero"/>
        <c:auto val="1"/>
        <c:lblAlgn val="ctr"/>
        <c:lblOffset val="100"/>
        <c:noMultiLvlLbl val="0"/>
      </c:catAx>
      <c:valAx>
        <c:axId val="186032512"/>
        <c:scaling>
          <c:orientation val="minMax"/>
        </c:scaling>
        <c:delete val="1"/>
        <c:axPos val="l"/>
        <c:numFmt formatCode="0.0" sourceLinked="1"/>
        <c:majorTickMark val="out"/>
        <c:minorTickMark val="none"/>
        <c:tickLblPos val="none"/>
        <c:crossAx val="186030720"/>
        <c:crosses val="autoZero"/>
        <c:crossBetween val="between"/>
      </c:valAx>
    </c:plotArea>
    <c:legend>
      <c:legendPos val="b"/>
      <c:overlay val="0"/>
    </c:legend>
    <c:plotVisOnly val="1"/>
    <c:dispBlanksAs val="gap"/>
    <c:showDLblsOverMax val="0"/>
  </c:chart>
  <c:spPr>
    <a:ln>
      <a:solidFill>
        <a:schemeClr val="tx1"/>
      </a:solidFill>
    </a:ln>
  </c:spPr>
  <c:externalData r:id="rId1">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c:date1904 val="0"/>
  <c:lang val="bs-Latn-B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'REDOM organiz graf.'!$B$58:$B$63</c:f>
              <c:strCache>
                <c:ptCount val="6"/>
                <c:pt idx="0">
                  <c:v>2010.</c:v>
                </c:pt>
                <c:pt idx="1">
                  <c:v>2011.</c:v>
                </c:pt>
                <c:pt idx="2">
                  <c:v>2012.</c:v>
                </c:pt>
                <c:pt idx="3">
                  <c:v>2013.</c:v>
                </c:pt>
                <c:pt idx="4">
                  <c:v>2014.</c:v>
                </c:pt>
                <c:pt idx="5">
                  <c:v>2015.</c:v>
                </c:pt>
              </c:strCache>
            </c:strRef>
          </c:cat>
          <c:val>
            <c:numRef>
              <c:f>'REDOM organiz graf.'!$C$58:$C$63</c:f>
              <c:numCache>
                <c:formatCode>0.0</c:formatCode>
                <c:ptCount val="6"/>
                <c:pt idx="0">
                  <c:v>1.1000000000000001</c:v>
                </c:pt>
                <c:pt idx="1">
                  <c:v>1.4</c:v>
                </c:pt>
                <c:pt idx="2">
                  <c:v>1.4732894535435479</c:v>
                </c:pt>
                <c:pt idx="3" formatCode="General">
                  <c:v>1.7</c:v>
                </c:pt>
                <c:pt idx="4">
                  <c:v>2</c:v>
                </c:pt>
                <c:pt idx="5" formatCode="General">
                  <c:v>2.4</c:v>
                </c:pt>
              </c:numCache>
            </c:numRef>
          </c:val>
        </c:ser>
        <c:dLbls>
          <c:showLegendKey val="0"/>
          <c:showVal val="0"/>
          <c:showCatName val="0"/>
          <c:showSerName val="0"/>
          <c:showPercent val="0"/>
          <c:showBubbleSize val="0"/>
        </c:dLbls>
        <c:gapWidth val="150"/>
        <c:axId val="186045568"/>
        <c:axId val="186047104"/>
      </c:barChart>
      <c:catAx>
        <c:axId val="186045568"/>
        <c:scaling>
          <c:orientation val="minMax"/>
        </c:scaling>
        <c:delete val="0"/>
        <c:axPos val="b"/>
        <c:numFmt formatCode="General" sourceLinked="0"/>
        <c:majorTickMark val="out"/>
        <c:minorTickMark val="none"/>
        <c:tickLblPos val="nextTo"/>
        <c:crossAx val="186047104"/>
        <c:crosses val="autoZero"/>
        <c:auto val="1"/>
        <c:lblAlgn val="ctr"/>
        <c:lblOffset val="100"/>
        <c:noMultiLvlLbl val="0"/>
      </c:catAx>
      <c:valAx>
        <c:axId val="186047104"/>
        <c:scaling>
          <c:orientation val="minMax"/>
        </c:scaling>
        <c:delete val="1"/>
        <c:axPos val="l"/>
        <c:numFmt formatCode="0.0" sourceLinked="1"/>
        <c:majorTickMark val="out"/>
        <c:minorTickMark val="none"/>
        <c:tickLblPos val="none"/>
        <c:crossAx val="186045568"/>
        <c:crosses val="autoZero"/>
        <c:crossBetween val="between"/>
      </c:valAx>
    </c:plotArea>
    <c:plotVisOnly val="1"/>
    <c:dispBlanksAs val="gap"/>
    <c:showDLblsOverMax val="0"/>
  </c:chart>
  <c:spPr>
    <a:ln>
      <a:solidFill>
        <a:schemeClr val="tx1"/>
      </a:solidFill>
    </a:ln>
  </c:spPr>
  <c:externalData r:id="rId1">
    <c:autoUpdate val="0"/>
  </c:externalData>
</c:chartSpace>
</file>

<file path=word/charts/chart76.xml><?xml version="1.0" encoding="utf-8"?>
<c:chartSpace xmlns:c="http://schemas.openxmlformats.org/drawingml/2006/chart" xmlns:a="http://schemas.openxmlformats.org/drawingml/2006/main" xmlns:r="http://schemas.openxmlformats.org/officeDocument/2006/relationships">
  <c:date1904 val="0"/>
  <c:lang val="bs-Latn-B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dLbls>
            <c:spPr>
              <a:noFill/>
              <a:ln>
                <a:noFill/>
              </a:ln>
              <a:effectLst/>
            </c:spPr>
            <c:txPr>
              <a:bodyPr/>
              <a:lstStyle/>
              <a:p>
                <a:pPr>
                  <a:defRPr lang="hr-BA"/>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'REDOM organiz graf.'!$B$119:$B$121</c:f>
              <c:strCache>
                <c:ptCount val="3"/>
                <c:pt idx="0">
                  <c:v>&lt;1500m</c:v>
                </c:pt>
                <c:pt idx="1">
                  <c:v>1500-5000m</c:v>
                </c:pt>
                <c:pt idx="2">
                  <c:v>&gt;5000m</c:v>
                </c:pt>
              </c:strCache>
            </c:strRef>
          </c:cat>
          <c:val>
            <c:numRef>
              <c:f>'REDOM organiz graf.'!$C$119:$C$121</c:f>
              <c:numCache>
                <c:formatCode>General</c:formatCode>
                <c:ptCount val="3"/>
                <c:pt idx="0">
                  <c:v>48.4</c:v>
                </c:pt>
                <c:pt idx="1">
                  <c:v>38.4</c:v>
                </c:pt>
                <c:pt idx="2">
                  <c:v>13.2</c:v>
                </c:pt>
              </c:numCache>
            </c:numRef>
          </c:val>
        </c:ser>
        <c:dLbls>
          <c:showLegendKey val="0"/>
          <c:showVal val="0"/>
          <c:showCatName val="0"/>
          <c:showSerName val="0"/>
          <c:showPercent val="0"/>
          <c:showBubbleSize val="0"/>
        </c:dLbls>
        <c:gapWidth val="150"/>
        <c:axId val="186333440"/>
        <c:axId val="186339328"/>
      </c:barChart>
      <c:catAx>
        <c:axId val="186333440"/>
        <c:scaling>
          <c:orientation val="minMax"/>
        </c:scaling>
        <c:delete val="0"/>
        <c:axPos val="b"/>
        <c:numFmt formatCode="General" sourceLinked="0"/>
        <c:majorTickMark val="out"/>
        <c:minorTickMark val="none"/>
        <c:tickLblPos val="nextTo"/>
        <c:txPr>
          <a:bodyPr/>
          <a:lstStyle/>
          <a:p>
            <a:pPr>
              <a:defRPr lang="hr-BA"/>
            </a:pPr>
            <a:endParaRPr lang="sr-Latn-RS"/>
          </a:p>
        </c:txPr>
        <c:crossAx val="186339328"/>
        <c:crosses val="autoZero"/>
        <c:auto val="1"/>
        <c:lblAlgn val="ctr"/>
        <c:lblOffset val="100"/>
        <c:noMultiLvlLbl val="0"/>
      </c:catAx>
      <c:valAx>
        <c:axId val="186339328"/>
        <c:scaling>
          <c:orientation val="minMax"/>
        </c:scaling>
        <c:delete val="0"/>
        <c:axPos val="l"/>
        <c:majorGridlines/>
        <c:numFmt formatCode="General" sourceLinked="1"/>
        <c:majorTickMark val="out"/>
        <c:minorTickMark val="none"/>
        <c:tickLblPos val="nextTo"/>
        <c:txPr>
          <a:bodyPr/>
          <a:lstStyle/>
          <a:p>
            <a:pPr>
              <a:defRPr lang="hr-BA"/>
            </a:pPr>
            <a:endParaRPr lang="sr-Latn-RS"/>
          </a:p>
        </c:txPr>
        <c:crossAx val="186333440"/>
        <c:crosses val="autoZero"/>
        <c:crossBetween val="between"/>
      </c:valAx>
    </c:plotArea>
    <c:plotVisOnly val="1"/>
    <c:dispBlanksAs val="gap"/>
    <c:showDLblsOverMax val="0"/>
  </c:chart>
  <c:spPr>
    <a:ln>
      <a:solidFill>
        <a:schemeClr val="tx1"/>
      </a:solidFill>
    </a:ln>
  </c:spPr>
  <c:externalData r:id="rId1">
    <c:autoUpdate val="0"/>
  </c:externalData>
</c:chartSpace>
</file>

<file path=word/charts/chart77.xml><?xml version="1.0" encoding="utf-8"?>
<c:chartSpace xmlns:c="http://schemas.openxmlformats.org/drawingml/2006/chart" xmlns:a="http://schemas.openxmlformats.org/drawingml/2006/main" xmlns:r="http://schemas.openxmlformats.org/officeDocument/2006/relationships">
  <c:date1904 val="0"/>
  <c:lang val="bs-Latn-B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'Organizacija-Ukupno+PZZ+Stom'!$C$105</c:f>
              <c:strCache>
                <c:ptCount val="1"/>
                <c:pt idx="0">
                  <c:v>Doktori medicine</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'Organizacija-Ukupno+PZZ+Stom'!$B$106:$B$111</c:f>
              <c:strCache>
                <c:ptCount val="6"/>
                <c:pt idx="0">
                  <c:v>2010.</c:v>
                </c:pt>
                <c:pt idx="1">
                  <c:v>2011.</c:v>
                </c:pt>
                <c:pt idx="2">
                  <c:v>2012.</c:v>
                </c:pt>
                <c:pt idx="3">
                  <c:v>2013.</c:v>
                </c:pt>
                <c:pt idx="4">
                  <c:v>2014.</c:v>
                </c:pt>
                <c:pt idx="5">
                  <c:v>2015.</c:v>
                </c:pt>
              </c:strCache>
            </c:strRef>
          </c:cat>
          <c:val>
            <c:numRef>
              <c:f>'Organizacija-Ukupno+PZZ+Stom'!$C$106:$C$111</c:f>
              <c:numCache>
                <c:formatCode>General</c:formatCode>
                <c:ptCount val="6"/>
                <c:pt idx="0">
                  <c:v>63</c:v>
                </c:pt>
                <c:pt idx="1">
                  <c:v>61</c:v>
                </c:pt>
                <c:pt idx="2">
                  <c:v>64</c:v>
                </c:pt>
                <c:pt idx="3">
                  <c:v>66</c:v>
                </c:pt>
                <c:pt idx="4">
                  <c:v>66</c:v>
                </c:pt>
                <c:pt idx="5">
                  <c:v>67</c:v>
                </c:pt>
              </c:numCache>
            </c:numRef>
          </c:val>
        </c:ser>
        <c:ser>
          <c:idx val="1"/>
          <c:order val="1"/>
          <c:tx>
            <c:strRef>
              <c:f>'Organizacija-Ukupno+PZZ+Stom'!$D$105</c:f>
              <c:strCache>
                <c:ptCount val="1"/>
                <c:pt idx="0">
                  <c:v>Medicinske sestre/tehničari</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'Organizacija-Ukupno+PZZ+Stom'!$B$106:$B$111</c:f>
              <c:strCache>
                <c:ptCount val="6"/>
                <c:pt idx="0">
                  <c:v>2010.</c:v>
                </c:pt>
                <c:pt idx="1">
                  <c:v>2011.</c:v>
                </c:pt>
                <c:pt idx="2">
                  <c:v>2012.</c:v>
                </c:pt>
                <c:pt idx="3">
                  <c:v>2013.</c:v>
                </c:pt>
                <c:pt idx="4">
                  <c:v>2014.</c:v>
                </c:pt>
                <c:pt idx="5">
                  <c:v>2015.</c:v>
                </c:pt>
              </c:strCache>
            </c:strRef>
          </c:cat>
          <c:val>
            <c:numRef>
              <c:f>'Organizacija-Ukupno+PZZ+Stom'!$D$106:$D$111</c:f>
              <c:numCache>
                <c:formatCode>General</c:formatCode>
                <c:ptCount val="6"/>
                <c:pt idx="0" formatCode="0">
                  <c:v>132</c:v>
                </c:pt>
                <c:pt idx="1">
                  <c:v>127</c:v>
                </c:pt>
                <c:pt idx="2" formatCode="0">
                  <c:v>127.70086692038625</c:v>
                </c:pt>
                <c:pt idx="3">
                  <c:v>126</c:v>
                </c:pt>
                <c:pt idx="4">
                  <c:v>127</c:v>
                </c:pt>
                <c:pt idx="5">
                  <c:v>127</c:v>
                </c:pt>
              </c:numCache>
            </c:numRef>
          </c:val>
        </c:ser>
        <c:dLbls>
          <c:showLegendKey val="0"/>
          <c:showVal val="0"/>
          <c:showCatName val="0"/>
          <c:showSerName val="0"/>
          <c:showPercent val="0"/>
          <c:showBubbleSize val="0"/>
        </c:dLbls>
        <c:gapWidth val="150"/>
        <c:axId val="186385152"/>
        <c:axId val="186386688"/>
      </c:barChart>
      <c:catAx>
        <c:axId val="186385152"/>
        <c:scaling>
          <c:orientation val="minMax"/>
        </c:scaling>
        <c:delete val="0"/>
        <c:axPos val="b"/>
        <c:numFmt formatCode="General" sourceLinked="0"/>
        <c:majorTickMark val="out"/>
        <c:minorTickMark val="none"/>
        <c:tickLblPos val="nextTo"/>
        <c:crossAx val="186386688"/>
        <c:crosses val="autoZero"/>
        <c:auto val="1"/>
        <c:lblAlgn val="ctr"/>
        <c:lblOffset val="100"/>
        <c:noMultiLvlLbl val="0"/>
      </c:catAx>
      <c:valAx>
        <c:axId val="186386688"/>
        <c:scaling>
          <c:orientation val="minMax"/>
        </c:scaling>
        <c:delete val="1"/>
        <c:axPos val="l"/>
        <c:numFmt formatCode="General" sourceLinked="1"/>
        <c:majorTickMark val="out"/>
        <c:minorTickMark val="none"/>
        <c:tickLblPos val="none"/>
        <c:crossAx val="186385152"/>
        <c:crosses val="autoZero"/>
        <c:crossBetween val="between"/>
      </c:valAx>
    </c:plotArea>
    <c:legend>
      <c:legendPos val="b"/>
      <c:overlay val="0"/>
    </c:legend>
    <c:plotVisOnly val="1"/>
    <c:dispBlanksAs val="gap"/>
    <c:showDLblsOverMax val="0"/>
  </c:chart>
  <c:externalData r:id="rId1">
    <c:autoUpdate val="0"/>
  </c:externalData>
</c:chartSpace>
</file>

<file path=word/charts/chart78.xml><?xml version="1.0" encoding="utf-8"?>
<c:chartSpace xmlns:c="http://schemas.openxmlformats.org/drawingml/2006/chart" xmlns:a="http://schemas.openxmlformats.org/drawingml/2006/main" xmlns:r="http://schemas.openxmlformats.org/officeDocument/2006/relationships">
  <c:date1904 val="0"/>
  <c:lang val="bs-Latn-B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tx>
            <c:strRef>
              <c:f>'REDOM organiz graf.'!$D$140</c:f>
              <c:strCache>
                <c:ptCount val="1"/>
                <c:pt idx="0">
                  <c:v>2010.</c:v>
                </c:pt>
              </c:strCache>
            </c:strRef>
          </c:tx>
          <c:invertIfNegative val="0"/>
          <c:cat>
            <c:strRef>
              <c:f>'REDOM organiz graf.'!$B$141:$C$151</c:f>
              <c:strCache>
                <c:ptCount val="11"/>
                <c:pt idx="0">
                  <c:v> FBiH</c:v>
                </c:pt>
                <c:pt idx="1">
                  <c:v>Unsko sanski</c:v>
                </c:pt>
                <c:pt idx="2">
                  <c:v>Posavski</c:v>
                </c:pt>
                <c:pt idx="3">
                  <c:v>Tuzlanski</c:v>
                </c:pt>
                <c:pt idx="4">
                  <c:v>Zeničko dobojski</c:v>
                </c:pt>
                <c:pt idx="5">
                  <c:v>Bosansko podrinjski</c:v>
                </c:pt>
                <c:pt idx="6">
                  <c:v>Srednjebosanski</c:v>
                </c:pt>
                <c:pt idx="7">
                  <c:v>Hercegovačo neretvanski</c:v>
                </c:pt>
                <c:pt idx="8">
                  <c:v>Zapadno hercegovački</c:v>
                </c:pt>
                <c:pt idx="9">
                  <c:v>Kanton Sarajevo</c:v>
                </c:pt>
                <c:pt idx="10">
                  <c:v>Kanton 10</c:v>
                </c:pt>
              </c:strCache>
            </c:strRef>
          </c:cat>
          <c:val>
            <c:numRef>
              <c:f>'REDOM organiz graf.'!$D$141:$D$151</c:f>
              <c:numCache>
                <c:formatCode>0</c:formatCode>
                <c:ptCount val="11"/>
                <c:pt idx="0">
                  <c:v>1587</c:v>
                </c:pt>
                <c:pt idx="1">
                  <c:v>2907.8</c:v>
                </c:pt>
                <c:pt idx="2">
                  <c:v>2822.9</c:v>
                </c:pt>
                <c:pt idx="3">
                  <c:v>1429.9</c:v>
                </c:pt>
                <c:pt idx="4">
                  <c:v>1887.4</c:v>
                </c:pt>
                <c:pt idx="5">
                  <c:v>1937.7</c:v>
                </c:pt>
                <c:pt idx="6">
                  <c:v>1398.7</c:v>
                </c:pt>
                <c:pt idx="7">
                  <c:v>1564.4</c:v>
                </c:pt>
                <c:pt idx="8">
                  <c:v>1508</c:v>
                </c:pt>
                <c:pt idx="9">
                  <c:v>1173.5999999999999</c:v>
                </c:pt>
                <c:pt idx="10">
                  <c:v>2677.4</c:v>
                </c:pt>
              </c:numCache>
            </c:numRef>
          </c:val>
        </c:ser>
        <c:ser>
          <c:idx val="1"/>
          <c:order val="1"/>
          <c:tx>
            <c:strRef>
              <c:f>'REDOM organiz graf.'!$F$140</c:f>
              <c:strCache>
                <c:ptCount val="1"/>
                <c:pt idx="0">
                  <c:v>2015.</c:v>
                </c:pt>
              </c:strCache>
            </c:strRef>
          </c:tx>
          <c:invertIfNegative val="0"/>
          <c:cat>
            <c:strRef>
              <c:f>'REDOM organiz graf.'!$B$141:$C$151</c:f>
              <c:strCache>
                <c:ptCount val="11"/>
                <c:pt idx="0">
                  <c:v> FBiH</c:v>
                </c:pt>
                <c:pt idx="1">
                  <c:v>Unsko sanski</c:v>
                </c:pt>
                <c:pt idx="2">
                  <c:v>Posavski</c:v>
                </c:pt>
                <c:pt idx="3">
                  <c:v>Tuzlanski</c:v>
                </c:pt>
                <c:pt idx="4">
                  <c:v>Zeničko dobojski</c:v>
                </c:pt>
                <c:pt idx="5">
                  <c:v>Bosansko podrinjski</c:v>
                </c:pt>
                <c:pt idx="6">
                  <c:v>Srednjebosanski</c:v>
                </c:pt>
                <c:pt idx="7">
                  <c:v>Hercegovačo neretvanski</c:v>
                </c:pt>
                <c:pt idx="8">
                  <c:v>Zapadno hercegovački</c:v>
                </c:pt>
                <c:pt idx="9">
                  <c:v>Kanton Sarajevo</c:v>
                </c:pt>
                <c:pt idx="10">
                  <c:v>Kanton 10</c:v>
                </c:pt>
              </c:strCache>
            </c:strRef>
          </c:cat>
          <c:val>
            <c:numRef>
              <c:f>'REDOM organiz graf.'!$F$141:$F$152</c:f>
              <c:numCache>
                <c:formatCode>0</c:formatCode>
                <c:ptCount val="12"/>
                <c:pt idx="0">
                  <c:v>1484.010171646536</c:v>
                </c:pt>
                <c:pt idx="1">
                  <c:v>2296.2399999999998</c:v>
                </c:pt>
                <c:pt idx="2">
                  <c:v>1918.75</c:v>
                </c:pt>
                <c:pt idx="3">
                  <c:v>1285.4793814433003</c:v>
                </c:pt>
                <c:pt idx="4">
                  <c:v>1568.1106719367601</c:v>
                </c:pt>
                <c:pt idx="5">
                  <c:v>1796.7222222222222</c:v>
                </c:pt>
                <c:pt idx="6">
                  <c:v>1724.0684931506851</c:v>
                </c:pt>
                <c:pt idx="7">
                  <c:v>1314.535294117647</c:v>
                </c:pt>
                <c:pt idx="8">
                  <c:v>1729.9787234042587</c:v>
                </c:pt>
                <c:pt idx="9">
                  <c:v>1214.2744565217392</c:v>
                </c:pt>
                <c:pt idx="10">
                  <c:v>2046.2368421052631</c:v>
                </c:pt>
              </c:numCache>
            </c:numRef>
          </c:val>
        </c:ser>
        <c:dLbls>
          <c:showLegendKey val="0"/>
          <c:showVal val="0"/>
          <c:showCatName val="0"/>
          <c:showSerName val="0"/>
          <c:showPercent val="0"/>
          <c:showBubbleSize val="0"/>
        </c:dLbls>
        <c:gapWidth val="150"/>
        <c:axId val="186403456"/>
        <c:axId val="186405248"/>
      </c:barChart>
      <c:catAx>
        <c:axId val="186403456"/>
        <c:scaling>
          <c:orientation val="minMax"/>
        </c:scaling>
        <c:delete val="0"/>
        <c:axPos val="l"/>
        <c:numFmt formatCode="General" sourceLinked="0"/>
        <c:majorTickMark val="out"/>
        <c:minorTickMark val="none"/>
        <c:tickLblPos val="nextTo"/>
        <c:crossAx val="186405248"/>
        <c:crosses val="autoZero"/>
        <c:auto val="1"/>
        <c:lblAlgn val="ctr"/>
        <c:lblOffset val="100"/>
        <c:noMultiLvlLbl val="0"/>
      </c:catAx>
      <c:valAx>
        <c:axId val="186405248"/>
        <c:scaling>
          <c:orientation val="minMax"/>
        </c:scaling>
        <c:delete val="0"/>
        <c:axPos val="b"/>
        <c:majorGridlines/>
        <c:numFmt formatCode="0" sourceLinked="1"/>
        <c:majorTickMark val="out"/>
        <c:minorTickMark val="none"/>
        <c:tickLblPos val="nextTo"/>
        <c:crossAx val="186403456"/>
        <c:crosses val="autoZero"/>
        <c:crossBetween val="between"/>
      </c:valAx>
    </c:plotArea>
    <c:legend>
      <c:legendPos val="b"/>
      <c:overlay val="0"/>
    </c:legend>
    <c:plotVisOnly val="1"/>
    <c:dispBlanksAs val="gap"/>
    <c:showDLblsOverMax val="0"/>
  </c:chart>
  <c:spPr>
    <a:ln>
      <a:solidFill>
        <a:schemeClr val="tx1"/>
      </a:solidFill>
    </a:ln>
  </c:spPr>
  <c:externalData r:id="rId1">
    <c:autoUpdate val="0"/>
  </c:externalData>
</c:chartSpace>
</file>

<file path=word/charts/chart79.xml><?xml version="1.0" encoding="utf-8"?>
<c:chartSpace xmlns:c="http://schemas.openxmlformats.org/drawingml/2006/chart" xmlns:a="http://schemas.openxmlformats.org/drawingml/2006/main" xmlns:r="http://schemas.openxmlformats.org/officeDocument/2006/relationships">
  <c:date1904 val="0"/>
  <c:lang val="bs-Latn-B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0555555555555555E-2"/>
          <c:y val="5.5555555555555552E-2"/>
          <c:w val="0.93888888888888888"/>
          <c:h val="0.46625619714202393"/>
        </c:manualLayout>
      </c:layout>
      <c:barChart>
        <c:barDir val="col"/>
        <c:grouping val="clustered"/>
        <c:varyColors val="0"/>
        <c:ser>
          <c:idx val="0"/>
          <c:order val="0"/>
          <c:spPr>
            <a:solidFill>
              <a:schemeClr val="accent1"/>
            </a:solidFill>
            <a:ln>
              <a:noFill/>
            </a:ln>
            <a:effectLst/>
          </c:spPr>
          <c:invertIfNegative val="0"/>
          <c:dPt>
            <c:idx val="0"/>
            <c:invertIfNegative val="0"/>
            <c:bubble3D val="0"/>
            <c:spPr>
              <a:solidFill>
                <a:schemeClr val="tx2"/>
              </a:solidFill>
              <a:ln>
                <a:noFill/>
              </a:ln>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'Organizacija zdravstvene zastit'!$A$191:$A$201</c:f>
              <c:strCache>
                <c:ptCount val="11"/>
                <c:pt idx="0">
                  <c:v>FBiH</c:v>
                </c:pt>
                <c:pt idx="1">
                  <c:v>Unsko sanski</c:v>
                </c:pt>
                <c:pt idx="2">
                  <c:v>Posavski</c:v>
                </c:pt>
                <c:pt idx="3">
                  <c:v>Tuzlanski</c:v>
                </c:pt>
                <c:pt idx="4">
                  <c:v>Zeničko dobojski</c:v>
                </c:pt>
                <c:pt idx="5">
                  <c:v>Bosansko podrinjski</c:v>
                </c:pt>
                <c:pt idx="6">
                  <c:v>Srednjebosanski</c:v>
                </c:pt>
                <c:pt idx="7">
                  <c:v>Hercegovačo neretvanski</c:v>
                </c:pt>
                <c:pt idx="8">
                  <c:v>Zapadno hercegovački</c:v>
                </c:pt>
                <c:pt idx="9">
                  <c:v>Kanton Sarajevo</c:v>
                </c:pt>
                <c:pt idx="10">
                  <c:v>Kanton 10</c:v>
                </c:pt>
              </c:strCache>
            </c:strRef>
          </c:cat>
          <c:val>
            <c:numRef>
              <c:f>'Organizacija zdravstvene zastit'!$B$191:$B$201</c:f>
              <c:numCache>
                <c:formatCode>0</c:formatCode>
                <c:ptCount val="11"/>
                <c:pt idx="0">
                  <c:v>1515</c:v>
                </c:pt>
                <c:pt idx="1">
                  <c:v>2218</c:v>
                </c:pt>
                <c:pt idx="2">
                  <c:v>3262</c:v>
                </c:pt>
                <c:pt idx="3">
                  <c:v>1630.5769230769231</c:v>
                </c:pt>
                <c:pt idx="4">
                  <c:v>1532.8181818181818</c:v>
                </c:pt>
                <c:pt idx="5">
                  <c:v>1374.5</c:v>
                </c:pt>
                <c:pt idx="6">
                  <c:v>1426.4</c:v>
                </c:pt>
                <c:pt idx="7">
                  <c:v>1356.7857142857142</c:v>
                </c:pt>
                <c:pt idx="8">
                  <c:v>1382.2</c:v>
                </c:pt>
                <c:pt idx="9">
                  <c:v>1151</c:v>
                </c:pt>
                <c:pt idx="10">
                  <c:v>3304.5</c:v>
                </c:pt>
              </c:numCache>
            </c:numRef>
          </c:val>
        </c:ser>
        <c:dLbls>
          <c:showLegendKey val="0"/>
          <c:showVal val="0"/>
          <c:showCatName val="0"/>
          <c:showSerName val="0"/>
          <c:showPercent val="0"/>
          <c:showBubbleSize val="0"/>
        </c:dLbls>
        <c:gapWidth val="219"/>
        <c:overlap val="-27"/>
        <c:axId val="186434304"/>
        <c:axId val="186435840"/>
      </c:barChart>
      <c:catAx>
        <c:axId val="1864343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186435840"/>
        <c:crosses val="autoZero"/>
        <c:auto val="1"/>
        <c:lblAlgn val="ctr"/>
        <c:lblOffset val="100"/>
        <c:noMultiLvlLbl val="0"/>
      </c:catAx>
      <c:valAx>
        <c:axId val="186435840"/>
        <c:scaling>
          <c:orientation val="minMax"/>
        </c:scaling>
        <c:delete val="1"/>
        <c:axPos val="l"/>
        <c:numFmt formatCode="0" sourceLinked="1"/>
        <c:majorTickMark val="none"/>
        <c:minorTickMark val="none"/>
        <c:tickLblPos val="nextTo"/>
        <c:crossAx val="1864343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bs-Latn-BA"/>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bar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trendline>
            <c:trendlineType val="linear"/>
            <c:dispRSqr val="0"/>
            <c:dispEq val="0"/>
          </c:trendline>
          <c:cat>
            <c:strRef>
              <c:f>Sheet1!$B$16:$B$21</c:f>
              <c:strCache>
                <c:ptCount val="6"/>
                <c:pt idx="0">
                  <c:v>2010.</c:v>
                </c:pt>
                <c:pt idx="1">
                  <c:v>2011.</c:v>
                </c:pt>
                <c:pt idx="2">
                  <c:v>2012.</c:v>
                </c:pt>
                <c:pt idx="3">
                  <c:v>2013.</c:v>
                </c:pt>
                <c:pt idx="4">
                  <c:v>2014.</c:v>
                </c:pt>
                <c:pt idx="5">
                  <c:v>2015.</c:v>
                </c:pt>
              </c:strCache>
            </c:strRef>
          </c:cat>
          <c:val>
            <c:numRef>
              <c:f>Sheet1!$E$16:$E$21</c:f>
              <c:numCache>
                <c:formatCode>0.0</c:formatCode>
                <c:ptCount val="6"/>
                <c:pt idx="0">
                  <c:v>26.008202323991796</c:v>
                </c:pt>
                <c:pt idx="1">
                  <c:v>25.692794932699922</c:v>
                </c:pt>
                <c:pt idx="2">
                  <c:v>24.679994247087592</c:v>
                </c:pt>
                <c:pt idx="3">
                  <c:v>25.042755924749571</c:v>
                </c:pt>
                <c:pt idx="4">
                  <c:v>24.552580979145091</c:v>
                </c:pt>
                <c:pt idx="5">
                  <c:v>23.015251347739941</c:v>
                </c:pt>
              </c:numCache>
            </c:numRef>
          </c:val>
        </c:ser>
        <c:dLbls>
          <c:showLegendKey val="0"/>
          <c:showVal val="0"/>
          <c:showCatName val="0"/>
          <c:showSerName val="0"/>
          <c:showPercent val="0"/>
          <c:showBubbleSize val="0"/>
        </c:dLbls>
        <c:gapWidth val="150"/>
        <c:axId val="37271040"/>
        <c:axId val="37272576"/>
      </c:barChart>
      <c:catAx>
        <c:axId val="37271040"/>
        <c:scaling>
          <c:orientation val="minMax"/>
        </c:scaling>
        <c:delete val="0"/>
        <c:axPos val="b"/>
        <c:numFmt formatCode="General" sourceLinked="0"/>
        <c:majorTickMark val="out"/>
        <c:minorTickMark val="none"/>
        <c:tickLblPos val="nextTo"/>
        <c:crossAx val="37272576"/>
        <c:crosses val="autoZero"/>
        <c:auto val="1"/>
        <c:lblAlgn val="ctr"/>
        <c:lblOffset val="100"/>
        <c:noMultiLvlLbl val="0"/>
      </c:catAx>
      <c:valAx>
        <c:axId val="37272576"/>
        <c:scaling>
          <c:orientation val="minMax"/>
        </c:scaling>
        <c:delete val="0"/>
        <c:axPos val="l"/>
        <c:numFmt formatCode="0.0" sourceLinked="1"/>
        <c:majorTickMark val="out"/>
        <c:minorTickMark val="none"/>
        <c:tickLblPos val="nextTo"/>
        <c:crossAx val="37271040"/>
        <c:crosses val="autoZero"/>
        <c:crossBetween val="between"/>
      </c:valAx>
    </c:plotArea>
    <c:plotVisOnly val="1"/>
    <c:dispBlanksAs val="gap"/>
    <c:showDLblsOverMax val="0"/>
  </c:chart>
  <c:externalData r:id="rId1">
    <c:autoUpdate val="0"/>
  </c:externalData>
</c:chartSpace>
</file>

<file path=word/charts/chart80.xml><?xml version="1.0" encoding="utf-8"?>
<c:chartSpace xmlns:c="http://schemas.openxmlformats.org/drawingml/2006/chart" xmlns:a="http://schemas.openxmlformats.org/drawingml/2006/main" xmlns:r="http://schemas.openxmlformats.org/officeDocument/2006/relationships">
  <c:date1904 val="0"/>
  <c:lang val="bs-Latn-B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'REDOM organiz graf.'!$K$162</c:f>
              <c:strCache>
                <c:ptCount val="1"/>
                <c:pt idx="0">
                  <c:v>2010.</c:v>
                </c:pt>
              </c:strCache>
            </c:strRef>
          </c:tx>
          <c:invertIfNegative val="0"/>
          <c:dLbls>
            <c:dLbl>
              <c:idx val="3"/>
              <c:layout>
                <c:manualLayout>
                  <c:x val="-2.7777777777778002E-2"/>
                  <c:y val="4.6296296296296528E-3"/>
                </c:manualLayout>
              </c:layout>
              <c:showLegendKey val="0"/>
              <c:showVal val="1"/>
              <c:showCatName val="0"/>
              <c:showSerName val="0"/>
              <c:showPercent val="0"/>
              <c:showBubbleSize val="0"/>
              <c:extLst>
                <c:ext xmlns:c15="http://schemas.microsoft.com/office/drawing/2012/chart" uri="{CE6537A1-D6FC-4f65-9D91-7224C49458BB}"/>
              </c:extLst>
            </c:dLbl>
            <c:dLbl>
              <c:idx val="6"/>
              <c:layout>
                <c:manualLayout>
                  <c:x val="-1.6666666666666701E-2"/>
                  <c:y val="0"/>
                </c:manualLayout>
              </c:layout>
              <c:showLegendKey val="0"/>
              <c:showVal val="1"/>
              <c:showCatName val="0"/>
              <c:showSerName val="0"/>
              <c:showPercent val="0"/>
              <c:showBubbleSize val="0"/>
              <c:extLst>
                <c:ext xmlns:c15="http://schemas.microsoft.com/office/drawing/2012/chart" uri="{CE6537A1-D6FC-4f65-9D91-7224C49458BB}"/>
              </c:extLst>
            </c:dLbl>
            <c:dLbl>
              <c:idx val="9"/>
              <c:layout>
                <c:manualLayout>
                  <c:x val="-1.9444444444444445E-2"/>
                  <c:y val="4.6296296296296528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'REDOM organiz graf.'!$I$163:$J$173</c:f>
              <c:strCache>
                <c:ptCount val="11"/>
                <c:pt idx="0">
                  <c:v>FBiH</c:v>
                </c:pt>
                <c:pt idx="1">
                  <c:v>Unsko sanski</c:v>
                </c:pt>
                <c:pt idx="2">
                  <c:v>Posavski</c:v>
                </c:pt>
                <c:pt idx="3">
                  <c:v>Tuzlanski</c:v>
                </c:pt>
                <c:pt idx="4">
                  <c:v>Zeničko dobojski</c:v>
                </c:pt>
                <c:pt idx="5">
                  <c:v>Bosansko podrinjski</c:v>
                </c:pt>
                <c:pt idx="6">
                  <c:v>Srednjebosanski</c:v>
                </c:pt>
                <c:pt idx="7">
                  <c:v>Hercegovačo neretvanski</c:v>
                </c:pt>
                <c:pt idx="8">
                  <c:v>Zapadno hercegovački</c:v>
                </c:pt>
                <c:pt idx="9">
                  <c:v>Kanton Sarajevo</c:v>
                </c:pt>
                <c:pt idx="10">
                  <c:v>Kanton 10</c:v>
                </c:pt>
              </c:strCache>
            </c:strRef>
          </c:cat>
          <c:val>
            <c:numRef>
              <c:f>'REDOM organiz graf.'!$K$163:$K$173</c:f>
              <c:numCache>
                <c:formatCode>0.0</c:formatCode>
                <c:ptCount val="11"/>
                <c:pt idx="0">
                  <c:v>4.2870224925780533</c:v>
                </c:pt>
                <c:pt idx="1">
                  <c:v>2.5059593078796247</c:v>
                </c:pt>
                <c:pt idx="2">
                  <c:v>1.9974696356275299</c:v>
                </c:pt>
                <c:pt idx="3">
                  <c:v>5.2941125785747438</c:v>
                </c:pt>
                <c:pt idx="4">
                  <c:v>4.3887925303529389</c:v>
                </c:pt>
                <c:pt idx="5">
                  <c:v>4.248458898909842</c:v>
                </c:pt>
                <c:pt idx="6">
                  <c:v>3.9844091259054397</c:v>
                </c:pt>
                <c:pt idx="7">
                  <c:v>3.6196841095939027</c:v>
                </c:pt>
                <c:pt idx="8">
                  <c:v>3.6423562929033686</c:v>
                </c:pt>
                <c:pt idx="9">
                  <c:v>5.4980117827070911</c:v>
                </c:pt>
                <c:pt idx="10">
                  <c:v>1.9755733173974714</c:v>
                </c:pt>
              </c:numCache>
            </c:numRef>
          </c:val>
        </c:ser>
        <c:ser>
          <c:idx val="1"/>
          <c:order val="1"/>
          <c:tx>
            <c:strRef>
              <c:f>'REDOM organiz graf.'!$L$162</c:f>
              <c:strCache>
                <c:ptCount val="1"/>
                <c:pt idx="0">
                  <c:v>2015.</c:v>
                </c:pt>
              </c:strCache>
            </c:strRef>
          </c:tx>
          <c:invertIfNegative val="0"/>
          <c:dLbls>
            <c:dLbl>
              <c:idx val="0"/>
              <c:layout>
                <c:manualLayout>
                  <c:x val="3.333333333333334E-2"/>
                  <c:y val="-9.2592592592593281E-3"/>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9444444444444445E-2"/>
                  <c:y val="-1.8518518518518583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'REDOM organiz graf.'!$I$163:$J$173</c:f>
              <c:strCache>
                <c:ptCount val="11"/>
                <c:pt idx="0">
                  <c:v>FBiH</c:v>
                </c:pt>
                <c:pt idx="1">
                  <c:v>Unsko sanski</c:v>
                </c:pt>
                <c:pt idx="2">
                  <c:v>Posavski</c:v>
                </c:pt>
                <c:pt idx="3">
                  <c:v>Tuzlanski</c:v>
                </c:pt>
                <c:pt idx="4">
                  <c:v>Zeničko dobojski</c:v>
                </c:pt>
                <c:pt idx="5">
                  <c:v>Bosansko podrinjski</c:v>
                </c:pt>
                <c:pt idx="6">
                  <c:v>Srednjebosanski</c:v>
                </c:pt>
                <c:pt idx="7">
                  <c:v>Hercegovačo neretvanski</c:v>
                </c:pt>
                <c:pt idx="8">
                  <c:v>Zapadno hercegovački</c:v>
                </c:pt>
                <c:pt idx="9">
                  <c:v>Kanton Sarajevo</c:v>
                </c:pt>
                <c:pt idx="10">
                  <c:v>Kanton 10</c:v>
                </c:pt>
              </c:strCache>
            </c:strRef>
          </c:cat>
          <c:val>
            <c:numRef>
              <c:f>'REDOM organiz graf.'!$L$163:$L$173</c:f>
              <c:numCache>
                <c:formatCode>0.0</c:formatCode>
                <c:ptCount val="11"/>
                <c:pt idx="0">
                  <c:v>4.5506008530004856</c:v>
                </c:pt>
                <c:pt idx="1">
                  <c:v>2.6705117931923597</c:v>
                </c:pt>
                <c:pt idx="2">
                  <c:v>3.2074788273615642</c:v>
                </c:pt>
                <c:pt idx="3">
                  <c:v>5.4588083389806039</c:v>
                </c:pt>
                <c:pt idx="4">
                  <c:v>4.897129548410498</c:v>
                </c:pt>
                <c:pt idx="5">
                  <c:v>5.2350885872421999</c:v>
                </c:pt>
                <c:pt idx="6">
                  <c:v>3.8487092493862081</c:v>
                </c:pt>
                <c:pt idx="7">
                  <c:v>4.2577828890549556</c:v>
                </c:pt>
                <c:pt idx="8">
                  <c:v>4.270019309055578</c:v>
                </c:pt>
                <c:pt idx="9">
                  <c:v>5.4126412936692834</c:v>
                </c:pt>
                <c:pt idx="10">
                  <c:v>2.7283331404246645</c:v>
                </c:pt>
              </c:numCache>
            </c:numRef>
          </c:val>
        </c:ser>
        <c:dLbls>
          <c:showLegendKey val="0"/>
          <c:showVal val="0"/>
          <c:showCatName val="0"/>
          <c:showSerName val="0"/>
          <c:showPercent val="0"/>
          <c:showBubbleSize val="0"/>
        </c:dLbls>
        <c:gapWidth val="150"/>
        <c:shape val="box"/>
        <c:axId val="186133888"/>
        <c:axId val="186147968"/>
        <c:axId val="0"/>
      </c:bar3DChart>
      <c:catAx>
        <c:axId val="186133888"/>
        <c:scaling>
          <c:orientation val="minMax"/>
        </c:scaling>
        <c:delete val="0"/>
        <c:axPos val="b"/>
        <c:numFmt formatCode="General" sourceLinked="0"/>
        <c:majorTickMark val="out"/>
        <c:minorTickMark val="none"/>
        <c:tickLblPos val="nextTo"/>
        <c:txPr>
          <a:bodyPr rot="-5400000" vert="horz"/>
          <a:lstStyle/>
          <a:p>
            <a:pPr>
              <a:defRPr/>
            </a:pPr>
            <a:endParaRPr lang="sr-Latn-RS"/>
          </a:p>
        </c:txPr>
        <c:crossAx val="186147968"/>
        <c:crosses val="autoZero"/>
        <c:auto val="1"/>
        <c:lblAlgn val="ctr"/>
        <c:lblOffset val="100"/>
        <c:noMultiLvlLbl val="0"/>
      </c:catAx>
      <c:valAx>
        <c:axId val="186147968"/>
        <c:scaling>
          <c:orientation val="minMax"/>
        </c:scaling>
        <c:delete val="1"/>
        <c:axPos val="l"/>
        <c:numFmt formatCode="0.0" sourceLinked="1"/>
        <c:majorTickMark val="out"/>
        <c:minorTickMark val="none"/>
        <c:tickLblPos val="none"/>
        <c:crossAx val="186133888"/>
        <c:crosses val="autoZero"/>
        <c:crossBetween val="between"/>
      </c:valAx>
    </c:plotArea>
    <c:legend>
      <c:legendPos val="b"/>
      <c:overlay val="0"/>
    </c:legend>
    <c:plotVisOnly val="1"/>
    <c:dispBlanksAs val="gap"/>
    <c:showDLblsOverMax val="0"/>
  </c:chart>
  <c:externalData r:id="rId1">
    <c:autoUpdate val="0"/>
  </c:externalData>
</c:chartSpace>
</file>

<file path=word/charts/chart81.xml><?xml version="1.0" encoding="utf-8"?>
<c:chartSpace xmlns:c="http://schemas.openxmlformats.org/drawingml/2006/chart" xmlns:a="http://schemas.openxmlformats.org/drawingml/2006/main" xmlns:r="http://schemas.openxmlformats.org/officeDocument/2006/relationships">
  <c:date1904 val="0"/>
  <c:lang val="bs-Latn-B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'REDOM organiz graf.'!$B$184:$G$184</c:f>
              <c:strCache>
                <c:ptCount val="6"/>
                <c:pt idx="0">
                  <c:v>2010.</c:v>
                </c:pt>
                <c:pt idx="1">
                  <c:v>2011.</c:v>
                </c:pt>
                <c:pt idx="2">
                  <c:v>2012.</c:v>
                </c:pt>
                <c:pt idx="3">
                  <c:v>2013.</c:v>
                </c:pt>
                <c:pt idx="4">
                  <c:v>2014.</c:v>
                </c:pt>
                <c:pt idx="5">
                  <c:v>2015.</c:v>
                </c:pt>
              </c:strCache>
            </c:strRef>
          </c:cat>
          <c:val>
            <c:numRef>
              <c:f>'REDOM organiz graf.'!$B$185:$G$185</c:f>
              <c:numCache>
                <c:formatCode>0.0</c:formatCode>
                <c:ptCount val="6"/>
                <c:pt idx="0">
                  <c:v>77.7</c:v>
                </c:pt>
                <c:pt idx="1">
                  <c:v>77.400000000000006</c:v>
                </c:pt>
                <c:pt idx="2">
                  <c:v>88.726609982211997</c:v>
                </c:pt>
                <c:pt idx="3">
                  <c:v>79.8</c:v>
                </c:pt>
                <c:pt idx="4">
                  <c:v>97.1</c:v>
                </c:pt>
                <c:pt idx="5" formatCode="General">
                  <c:v>80.8</c:v>
                </c:pt>
              </c:numCache>
            </c:numRef>
          </c:val>
        </c:ser>
        <c:dLbls>
          <c:showLegendKey val="0"/>
          <c:showVal val="0"/>
          <c:showCatName val="0"/>
          <c:showSerName val="0"/>
          <c:showPercent val="0"/>
          <c:showBubbleSize val="0"/>
        </c:dLbls>
        <c:gapWidth val="150"/>
        <c:axId val="186160256"/>
        <c:axId val="186161792"/>
      </c:barChart>
      <c:catAx>
        <c:axId val="186160256"/>
        <c:scaling>
          <c:orientation val="minMax"/>
        </c:scaling>
        <c:delete val="0"/>
        <c:axPos val="b"/>
        <c:numFmt formatCode="General" sourceLinked="0"/>
        <c:majorTickMark val="out"/>
        <c:minorTickMark val="none"/>
        <c:tickLblPos val="nextTo"/>
        <c:crossAx val="186161792"/>
        <c:crosses val="autoZero"/>
        <c:auto val="1"/>
        <c:lblAlgn val="ctr"/>
        <c:lblOffset val="100"/>
        <c:noMultiLvlLbl val="0"/>
      </c:catAx>
      <c:valAx>
        <c:axId val="186161792"/>
        <c:scaling>
          <c:orientation val="minMax"/>
        </c:scaling>
        <c:delete val="1"/>
        <c:axPos val="l"/>
        <c:numFmt formatCode="0.0" sourceLinked="1"/>
        <c:majorTickMark val="out"/>
        <c:minorTickMark val="none"/>
        <c:tickLblPos val="none"/>
        <c:crossAx val="186160256"/>
        <c:crosses val="autoZero"/>
        <c:crossBetween val="between"/>
      </c:valAx>
    </c:plotArea>
    <c:plotVisOnly val="1"/>
    <c:dispBlanksAs val="gap"/>
    <c:showDLblsOverMax val="0"/>
  </c:chart>
  <c:externalData r:id="rId1">
    <c:autoUpdate val="0"/>
  </c:externalData>
</c:chartSpace>
</file>

<file path=word/charts/chart82.xml><?xml version="1.0" encoding="utf-8"?>
<c:chartSpace xmlns:c="http://schemas.openxmlformats.org/drawingml/2006/chart" xmlns:a="http://schemas.openxmlformats.org/drawingml/2006/main" xmlns:r="http://schemas.openxmlformats.org/officeDocument/2006/relationships">
  <c:date1904 val="0"/>
  <c:lang val="bs-Latn-B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'REDOM organiz graf.'!$B$193:$G$193</c:f>
              <c:strCache>
                <c:ptCount val="6"/>
                <c:pt idx="0">
                  <c:v>2010.</c:v>
                </c:pt>
                <c:pt idx="1">
                  <c:v>2011.</c:v>
                </c:pt>
                <c:pt idx="2">
                  <c:v>2012.</c:v>
                </c:pt>
                <c:pt idx="3">
                  <c:v>2013.</c:v>
                </c:pt>
                <c:pt idx="4">
                  <c:v>2014.</c:v>
                </c:pt>
                <c:pt idx="5">
                  <c:v>2015.</c:v>
                </c:pt>
              </c:strCache>
            </c:strRef>
          </c:cat>
          <c:val>
            <c:numRef>
              <c:f>'REDOM organiz graf.'!$B$194:$G$194</c:f>
              <c:numCache>
                <c:formatCode>0.0</c:formatCode>
                <c:ptCount val="6"/>
                <c:pt idx="0">
                  <c:v>32.200000000000003</c:v>
                </c:pt>
                <c:pt idx="1">
                  <c:v>32.6</c:v>
                </c:pt>
                <c:pt idx="2">
                  <c:v>33.1</c:v>
                </c:pt>
                <c:pt idx="3">
                  <c:v>30.3</c:v>
                </c:pt>
                <c:pt idx="4" formatCode="General">
                  <c:v>31.7</c:v>
                </c:pt>
                <c:pt idx="5" formatCode="General">
                  <c:v>27.3</c:v>
                </c:pt>
              </c:numCache>
            </c:numRef>
          </c:val>
        </c:ser>
        <c:dLbls>
          <c:showLegendKey val="0"/>
          <c:showVal val="0"/>
          <c:showCatName val="0"/>
          <c:showSerName val="0"/>
          <c:showPercent val="0"/>
          <c:showBubbleSize val="0"/>
        </c:dLbls>
        <c:gapWidth val="150"/>
        <c:axId val="186181888"/>
        <c:axId val="186212352"/>
      </c:barChart>
      <c:catAx>
        <c:axId val="186181888"/>
        <c:scaling>
          <c:orientation val="minMax"/>
        </c:scaling>
        <c:delete val="0"/>
        <c:axPos val="b"/>
        <c:numFmt formatCode="General" sourceLinked="0"/>
        <c:majorTickMark val="out"/>
        <c:minorTickMark val="none"/>
        <c:tickLblPos val="nextTo"/>
        <c:crossAx val="186212352"/>
        <c:crosses val="autoZero"/>
        <c:auto val="1"/>
        <c:lblAlgn val="ctr"/>
        <c:lblOffset val="100"/>
        <c:noMultiLvlLbl val="0"/>
      </c:catAx>
      <c:valAx>
        <c:axId val="186212352"/>
        <c:scaling>
          <c:orientation val="minMax"/>
        </c:scaling>
        <c:delete val="1"/>
        <c:axPos val="l"/>
        <c:numFmt formatCode="0.0" sourceLinked="1"/>
        <c:majorTickMark val="out"/>
        <c:minorTickMark val="none"/>
        <c:tickLblPos val="none"/>
        <c:crossAx val="186181888"/>
        <c:crosses val="autoZero"/>
        <c:crossBetween val="between"/>
      </c:valAx>
    </c:plotArea>
    <c:plotVisOnly val="1"/>
    <c:dispBlanksAs val="gap"/>
    <c:showDLblsOverMax val="0"/>
  </c:chart>
  <c:externalData r:id="rId1">
    <c:autoUpdate val="0"/>
  </c:externalData>
</c:chartSpace>
</file>

<file path=word/charts/chart83.xml><?xml version="1.0" encoding="utf-8"?>
<c:chartSpace xmlns:c="http://schemas.openxmlformats.org/drawingml/2006/chart" xmlns:a="http://schemas.openxmlformats.org/drawingml/2006/main" xmlns:r="http://schemas.openxmlformats.org/officeDocument/2006/relationships">
  <c:date1904 val="0"/>
  <c:lang val="bs-Latn-B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dLbls>
            <c:dLbl>
              <c:idx val="0"/>
              <c:tx>
                <c:rich>
                  <a:bodyPr/>
                  <a:lstStyle/>
                  <a:p>
                    <a:r>
                      <a:rPr lang="en-US"/>
                      <a:t>22,0</a:t>
                    </a:r>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20,0</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'REDOM organiz graf.'!$B$350:$B$357</c:f>
              <c:strCache>
                <c:ptCount val="8"/>
                <c:pt idx="0">
                  <c:v>Manje jedu masno</c:v>
                </c:pt>
                <c:pt idx="1">
                  <c:v>Manje koriste so</c:v>
                </c:pt>
                <c:pt idx="2">
                  <c:v>Manje koriste šećer</c:v>
                </c:pt>
                <c:pt idx="3">
                  <c:v>Jedu više voća i povrća</c:v>
                </c:pt>
                <c:pt idx="4">
                  <c:v>Smanje tjelesnu težinu</c:v>
                </c:pt>
                <c:pt idx="5">
                  <c:v>Povećaju fizičku aktivnost</c:v>
                </c:pt>
                <c:pt idx="6">
                  <c:v>Prestanu pušiti</c:v>
                </c:pt>
                <c:pt idx="7">
                  <c:v>Piju manje alkohola</c:v>
                </c:pt>
              </c:strCache>
            </c:strRef>
          </c:cat>
          <c:val>
            <c:numRef>
              <c:f>'REDOM organiz graf.'!$C$350:$C$357</c:f>
              <c:numCache>
                <c:formatCode>General</c:formatCode>
                <c:ptCount val="8"/>
                <c:pt idx="0">
                  <c:v>22</c:v>
                </c:pt>
                <c:pt idx="1">
                  <c:v>20</c:v>
                </c:pt>
                <c:pt idx="2">
                  <c:v>17.7</c:v>
                </c:pt>
                <c:pt idx="3">
                  <c:v>17.399999999999999</c:v>
                </c:pt>
                <c:pt idx="4">
                  <c:v>10.9</c:v>
                </c:pt>
                <c:pt idx="5">
                  <c:v>10.3</c:v>
                </c:pt>
                <c:pt idx="6">
                  <c:v>7.7</c:v>
                </c:pt>
                <c:pt idx="7">
                  <c:v>2.1</c:v>
                </c:pt>
              </c:numCache>
            </c:numRef>
          </c:val>
        </c:ser>
        <c:dLbls>
          <c:showLegendKey val="0"/>
          <c:showVal val="0"/>
          <c:showCatName val="0"/>
          <c:showSerName val="0"/>
          <c:showPercent val="0"/>
          <c:showBubbleSize val="0"/>
        </c:dLbls>
        <c:gapWidth val="150"/>
        <c:axId val="186228736"/>
        <c:axId val="186230272"/>
      </c:barChart>
      <c:catAx>
        <c:axId val="186228736"/>
        <c:scaling>
          <c:orientation val="minMax"/>
        </c:scaling>
        <c:delete val="0"/>
        <c:axPos val="b"/>
        <c:numFmt formatCode="General" sourceLinked="0"/>
        <c:majorTickMark val="out"/>
        <c:minorTickMark val="none"/>
        <c:tickLblPos val="nextTo"/>
        <c:txPr>
          <a:bodyPr/>
          <a:lstStyle/>
          <a:p>
            <a:pPr>
              <a:defRPr lang="hr-BA" sz="900"/>
            </a:pPr>
            <a:endParaRPr lang="sr-Latn-RS"/>
          </a:p>
        </c:txPr>
        <c:crossAx val="186230272"/>
        <c:crosses val="autoZero"/>
        <c:auto val="1"/>
        <c:lblAlgn val="ctr"/>
        <c:lblOffset val="100"/>
        <c:noMultiLvlLbl val="0"/>
      </c:catAx>
      <c:valAx>
        <c:axId val="186230272"/>
        <c:scaling>
          <c:orientation val="minMax"/>
        </c:scaling>
        <c:delete val="1"/>
        <c:axPos val="l"/>
        <c:numFmt formatCode="General" sourceLinked="1"/>
        <c:majorTickMark val="out"/>
        <c:minorTickMark val="none"/>
        <c:tickLblPos val="none"/>
        <c:crossAx val="186228736"/>
        <c:crosses val="autoZero"/>
        <c:crossBetween val="between"/>
      </c:valAx>
    </c:plotArea>
    <c:plotVisOnly val="1"/>
    <c:dispBlanksAs val="gap"/>
    <c:showDLblsOverMax val="0"/>
  </c:chart>
  <c:externalData r:id="rId1">
    <c:autoUpdate val="0"/>
  </c:externalData>
</c:chartSpace>
</file>

<file path=word/charts/chart84.xml><?xml version="1.0" encoding="utf-8"?>
<c:chartSpace xmlns:c="http://schemas.openxmlformats.org/drawingml/2006/chart" xmlns:a="http://schemas.openxmlformats.org/drawingml/2006/main" xmlns:r="http://schemas.openxmlformats.org/officeDocument/2006/relationships">
  <c:date1904 val="0"/>
  <c:lang val="bs-Latn-B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4.5590006643360444E-2"/>
          <c:y val="5.6501372442948464E-2"/>
          <c:w val="0.92356759346990336"/>
          <c:h val="0.65315942377432012"/>
        </c:manualLayout>
      </c:layout>
      <c:barChart>
        <c:barDir val="col"/>
        <c:grouping val="clustered"/>
        <c:varyColors val="0"/>
        <c:ser>
          <c:idx val="0"/>
          <c:order val="0"/>
          <c:tx>
            <c:strRef>
              <c:f>'REDOM organiz graf.'!$A$221</c:f>
              <c:strCache>
                <c:ptCount val="1"/>
                <c:pt idx="0">
                  <c:v>Doktori medicine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'REDOM organiz graf.'!$B$220:$G$220</c:f>
              <c:strCache>
                <c:ptCount val="6"/>
                <c:pt idx="0">
                  <c:v>2010.</c:v>
                </c:pt>
                <c:pt idx="1">
                  <c:v>2011.</c:v>
                </c:pt>
                <c:pt idx="2">
                  <c:v>2012.</c:v>
                </c:pt>
                <c:pt idx="3">
                  <c:v>2013.</c:v>
                </c:pt>
                <c:pt idx="4">
                  <c:v>2014.</c:v>
                </c:pt>
                <c:pt idx="5">
                  <c:v>2015.</c:v>
                </c:pt>
              </c:strCache>
            </c:strRef>
          </c:cat>
          <c:val>
            <c:numRef>
              <c:f>'REDOM organiz graf.'!$B$221:$G$221</c:f>
              <c:numCache>
                <c:formatCode>0.0</c:formatCode>
                <c:ptCount val="6"/>
                <c:pt idx="0">
                  <c:v>2.8</c:v>
                </c:pt>
                <c:pt idx="1">
                  <c:v>3</c:v>
                </c:pt>
                <c:pt idx="2">
                  <c:v>3.4258109391002129</c:v>
                </c:pt>
                <c:pt idx="3">
                  <c:v>3.3909461291773577</c:v>
                </c:pt>
                <c:pt idx="4">
                  <c:v>3.2</c:v>
                </c:pt>
                <c:pt idx="5">
                  <c:v>3</c:v>
                </c:pt>
              </c:numCache>
            </c:numRef>
          </c:val>
        </c:ser>
        <c:ser>
          <c:idx val="1"/>
          <c:order val="1"/>
          <c:tx>
            <c:strRef>
              <c:f>'REDOM organiz graf.'!$A$222</c:f>
              <c:strCache>
                <c:ptCount val="1"/>
                <c:pt idx="0">
                  <c:v>Medicinske sestre/tehničari</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'REDOM organiz graf.'!$B$220:$G$220</c:f>
              <c:strCache>
                <c:ptCount val="6"/>
                <c:pt idx="0">
                  <c:v>2010.</c:v>
                </c:pt>
                <c:pt idx="1">
                  <c:v>2011.</c:v>
                </c:pt>
                <c:pt idx="2">
                  <c:v>2012.</c:v>
                </c:pt>
                <c:pt idx="3">
                  <c:v>2013.</c:v>
                </c:pt>
                <c:pt idx="4">
                  <c:v>2014.</c:v>
                </c:pt>
                <c:pt idx="5">
                  <c:v>2015.</c:v>
                </c:pt>
              </c:strCache>
            </c:strRef>
          </c:cat>
          <c:val>
            <c:numRef>
              <c:f>'REDOM organiz graf.'!$B$222:$G$222</c:f>
              <c:numCache>
                <c:formatCode>0.0</c:formatCode>
                <c:ptCount val="6"/>
                <c:pt idx="0">
                  <c:v>19.7</c:v>
                </c:pt>
                <c:pt idx="1">
                  <c:v>18.399999999999999</c:v>
                </c:pt>
                <c:pt idx="2">
                  <c:v>16.994083227507726</c:v>
                </c:pt>
                <c:pt idx="3">
                  <c:v>17</c:v>
                </c:pt>
                <c:pt idx="4" formatCode="General">
                  <c:v>17.399999999999999</c:v>
                </c:pt>
                <c:pt idx="5" formatCode="General">
                  <c:v>23.1</c:v>
                </c:pt>
              </c:numCache>
            </c:numRef>
          </c:val>
        </c:ser>
        <c:dLbls>
          <c:showLegendKey val="0"/>
          <c:showVal val="0"/>
          <c:showCatName val="0"/>
          <c:showSerName val="0"/>
          <c:showPercent val="0"/>
          <c:showBubbleSize val="0"/>
        </c:dLbls>
        <c:gapWidth val="150"/>
        <c:axId val="187410688"/>
        <c:axId val="187412480"/>
      </c:barChart>
      <c:catAx>
        <c:axId val="187410688"/>
        <c:scaling>
          <c:orientation val="minMax"/>
        </c:scaling>
        <c:delete val="0"/>
        <c:axPos val="b"/>
        <c:numFmt formatCode="General" sourceLinked="0"/>
        <c:majorTickMark val="out"/>
        <c:minorTickMark val="none"/>
        <c:tickLblPos val="nextTo"/>
        <c:crossAx val="187412480"/>
        <c:crosses val="autoZero"/>
        <c:auto val="1"/>
        <c:lblAlgn val="ctr"/>
        <c:lblOffset val="100"/>
        <c:noMultiLvlLbl val="0"/>
      </c:catAx>
      <c:valAx>
        <c:axId val="187412480"/>
        <c:scaling>
          <c:orientation val="minMax"/>
        </c:scaling>
        <c:delete val="1"/>
        <c:axPos val="l"/>
        <c:numFmt formatCode="0.0" sourceLinked="1"/>
        <c:majorTickMark val="out"/>
        <c:minorTickMark val="none"/>
        <c:tickLblPos val="none"/>
        <c:crossAx val="187410688"/>
        <c:crosses val="autoZero"/>
        <c:crossBetween val="between"/>
      </c:valAx>
    </c:plotArea>
    <c:legend>
      <c:legendPos val="b"/>
      <c:overlay val="0"/>
    </c:legend>
    <c:plotVisOnly val="1"/>
    <c:dispBlanksAs val="gap"/>
    <c:showDLblsOverMax val="0"/>
  </c:chart>
  <c:externalData r:id="rId1">
    <c:autoUpdate val="0"/>
  </c:externalData>
</c:chartSpace>
</file>

<file path=word/charts/chart85.xml><?xml version="1.0" encoding="utf-8"?>
<c:chartSpace xmlns:c="http://schemas.openxmlformats.org/drawingml/2006/chart" xmlns:a="http://schemas.openxmlformats.org/drawingml/2006/main" xmlns:r="http://schemas.openxmlformats.org/officeDocument/2006/relationships">
  <c:date1904 val="0"/>
  <c:lang val="bs-Latn-B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'REDOM organiz graf.'!$L$228</c:f>
              <c:strCache>
                <c:ptCount val="1"/>
                <c:pt idx="0">
                  <c:v>2010.</c:v>
                </c:pt>
              </c:strCache>
            </c:strRef>
          </c:tx>
          <c:invertIfNegative val="0"/>
          <c:dLbls>
            <c:dLbl>
              <c:idx val="0"/>
              <c:layout>
                <c:manualLayout>
                  <c:x val="-1.6666666666666701E-2"/>
                  <c:y val="0"/>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6666666666666701E-2"/>
                  <c:y val="0"/>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8.3333333333333367E-3"/>
                  <c:y val="0"/>
                </c:manualLayout>
              </c:layout>
              <c:showLegendKey val="0"/>
              <c:showVal val="1"/>
              <c:showCatName val="0"/>
              <c:showSerName val="0"/>
              <c:showPercent val="0"/>
              <c:showBubbleSize val="0"/>
              <c:extLst>
                <c:ext xmlns:c15="http://schemas.microsoft.com/office/drawing/2012/chart" uri="{CE6537A1-D6FC-4f65-9D91-7224C49458BB}"/>
              </c:extLst>
            </c:dLbl>
            <c:dLbl>
              <c:idx val="10"/>
              <c:layout>
                <c:manualLayout>
                  <c:x val="-1.3888888888888947E-2"/>
                  <c:y val="0"/>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'REDOM organiz graf.'!$J$229:$K$239</c:f>
              <c:strCache>
                <c:ptCount val="11"/>
                <c:pt idx="0">
                  <c:v>FBiH</c:v>
                </c:pt>
                <c:pt idx="1">
                  <c:v>Unsko sanski</c:v>
                </c:pt>
                <c:pt idx="2">
                  <c:v>Posavski</c:v>
                </c:pt>
                <c:pt idx="3">
                  <c:v>Tuzlanski</c:v>
                </c:pt>
                <c:pt idx="4">
                  <c:v>Zeničko dobojski</c:v>
                </c:pt>
                <c:pt idx="5">
                  <c:v>Bosansko podrinjski</c:v>
                </c:pt>
                <c:pt idx="6">
                  <c:v>Srednjebosanski</c:v>
                </c:pt>
                <c:pt idx="7">
                  <c:v>Hercegovačo neretvanski</c:v>
                </c:pt>
                <c:pt idx="8">
                  <c:v>Zapadno hercegovački</c:v>
                </c:pt>
                <c:pt idx="9">
                  <c:v>Kanton Sarajevo</c:v>
                </c:pt>
                <c:pt idx="10">
                  <c:v>Kanton 10</c:v>
                </c:pt>
              </c:strCache>
            </c:strRef>
          </c:cat>
          <c:val>
            <c:numRef>
              <c:f>'REDOM organiz graf.'!$L$229:$L$239</c:f>
              <c:numCache>
                <c:formatCode>0</c:formatCode>
                <c:ptCount val="11"/>
                <c:pt idx="0" formatCode="General">
                  <c:v>24</c:v>
                </c:pt>
                <c:pt idx="1">
                  <c:v>18.063772062986942</c:v>
                </c:pt>
                <c:pt idx="2">
                  <c:v>12.651821862348168</c:v>
                </c:pt>
                <c:pt idx="3">
                  <c:v>10.620242181598101</c:v>
                </c:pt>
                <c:pt idx="4">
                  <c:v>11.74629991552662</c:v>
                </c:pt>
                <c:pt idx="5">
                  <c:v>24.293219155203289</c:v>
                </c:pt>
                <c:pt idx="6">
                  <c:v>13.355750043209815</c:v>
                </c:pt>
                <c:pt idx="7">
                  <c:v>25.303194417316291</c:v>
                </c:pt>
                <c:pt idx="8">
                  <c:v>29.472081342944506</c:v>
                </c:pt>
                <c:pt idx="9">
                  <c:v>57.035265660646949</c:v>
                </c:pt>
                <c:pt idx="10">
                  <c:v>26.144767311570927</c:v>
                </c:pt>
              </c:numCache>
            </c:numRef>
          </c:val>
        </c:ser>
        <c:ser>
          <c:idx val="1"/>
          <c:order val="1"/>
          <c:tx>
            <c:strRef>
              <c:f>'REDOM organiz graf.'!$M$228</c:f>
              <c:strCache>
                <c:ptCount val="1"/>
                <c:pt idx="0">
                  <c:v>2015.</c:v>
                </c:pt>
              </c:strCache>
            </c:strRef>
          </c:tx>
          <c:invertIfNegative val="0"/>
          <c:dLbls>
            <c:dLbl>
              <c:idx val="10"/>
              <c:layout>
                <c:manualLayout>
                  <c:x val="8.3333333333333367E-3"/>
                  <c:y val="-5.8479532163742704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'REDOM organiz graf.'!$J$229:$K$239</c:f>
              <c:strCache>
                <c:ptCount val="11"/>
                <c:pt idx="0">
                  <c:v>FBiH</c:v>
                </c:pt>
                <c:pt idx="1">
                  <c:v>Unsko sanski</c:v>
                </c:pt>
                <c:pt idx="2">
                  <c:v>Posavski</c:v>
                </c:pt>
                <c:pt idx="3">
                  <c:v>Tuzlanski</c:v>
                </c:pt>
                <c:pt idx="4">
                  <c:v>Zeničko dobojski</c:v>
                </c:pt>
                <c:pt idx="5">
                  <c:v>Bosansko podrinjski</c:v>
                </c:pt>
                <c:pt idx="6">
                  <c:v>Srednjebosanski</c:v>
                </c:pt>
                <c:pt idx="7">
                  <c:v>Hercegovačo neretvanski</c:v>
                </c:pt>
                <c:pt idx="8">
                  <c:v>Zapadno hercegovački</c:v>
                </c:pt>
                <c:pt idx="9">
                  <c:v>Kanton Sarajevo</c:v>
                </c:pt>
                <c:pt idx="10">
                  <c:v>Kanton 10</c:v>
                </c:pt>
              </c:strCache>
            </c:strRef>
          </c:cat>
          <c:val>
            <c:numRef>
              <c:f>'REDOM organiz graf.'!$M$229:$M$239</c:f>
              <c:numCache>
                <c:formatCode>0</c:formatCode>
                <c:ptCount val="11"/>
                <c:pt idx="0" formatCode="General">
                  <c:v>24</c:v>
                </c:pt>
                <c:pt idx="1">
                  <c:v>18</c:v>
                </c:pt>
                <c:pt idx="2">
                  <c:v>16</c:v>
                </c:pt>
                <c:pt idx="3">
                  <c:v>14</c:v>
                </c:pt>
                <c:pt idx="4">
                  <c:v>12</c:v>
                </c:pt>
                <c:pt idx="5">
                  <c:v>31</c:v>
                </c:pt>
                <c:pt idx="6">
                  <c:v>21</c:v>
                </c:pt>
                <c:pt idx="7">
                  <c:v>24</c:v>
                </c:pt>
                <c:pt idx="8">
                  <c:v>26</c:v>
                </c:pt>
                <c:pt idx="9">
                  <c:v>50</c:v>
                </c:pt>
                <c:pt idx="10">
                  <c:v>26</c:v>
                </c:pt>
              </c:numCache>
            </c:numRef>
          </c:val>
        </c:ser>
        <c:dLbls>
          <c:showLegendKey val="0"/>
          <c:showVal val="0"/>
          <c:showCatName val="0"/>
          <c:showSerName val="0"/>
          <c:showPercent val="0"/>
          <c:showBubbleSize val="0"/>
        </c:dLbls>
        <c:gapWidth val="150"/>
        <c:axId val="187708544"/>
        <c:axId val="187710080"/>
      </c:barChart>
      <c:catAx>
        <c:axId val="187708544"/>
        <c:scaling>
          <c:orientation val="minMax"/>
        </c:scaling>
        <c:delete val="0"/>
        <c:axPos val="b"/>
        <c:numFmt formatCode="General" sourceLinked="0"/>
        <c:majorTickMark val="out"/>
        <c:minorTickMark val="none"/>
        <c:tickLblPos val="nextTo"/>
        <c:txPr>
          <a:bodyPr rot="-5400000" vert="horz"/>
          <a:lstStyle/>
          <a:p>
            <a:pPr>
              <a:defRPr/>
            </a:pPr>
            <a:endParaRPr lang="sr-Latn-RS"/>
          </a:p>
        </c:txPr>
        <c:crossAx val="187710080"/>
        <c:crosses val="autoZero"/>
        <c:auto val="1"/>
        <c:lblAlgn val="ctr"/>
        <c:lblOffset val="100"/>
        <c:noMultiLvlLbl val="0"/>
      </c:catAx>
      <c:valAx>
        <c:axId val="187710080"/>
        <c:scaling>
          <c:orientation val="minMax"/>
        </c:scaling>
        <c:delete val="1"/>
        <c:axPos val="l"/>
        <c:numFmt formatCode="General" sourceLinked="1"/>
        <c:majorTickMark val="out"/>
        <c:minorTickMark val="none"/>
        <c:tickLblPos val="none"/>
        <c:crossAx val="187708544"/>
        <c:crosses val="autoZero"/>
        <c:crossBetween val="between"/>
      </c:valAx>
    </c:plotArea>
    <c:legend>
      <c:legendPos val="b"/>
      <c:overlay val="0"/>
    </c:legend>
    <c:plotVisOnly val="1"/>
    <c:dispBlanksAs val="gap"/>
    <c:showDLblsOverMax val="0"/>
  </c:chart>
  <c:externalData r:id="rId1">
    <c:autoUpdate val="0"/>
  </c:externalData>
</c:chartSpace>
</file>

<file path=word/charts/chart86.xml><?xml version="1.0" encoding="utf-8"?>
<c:chartSpace xmlns:c="http://schemas.openxmlformats.org/drawingml/2006/chart" xmlns:a="http://schemas.openxmlformats.org/drawingml/2006/main" xmlns:r="http://schemas.openxmlformats.org/officeDocument/2006/relationships">
  <c:date1904 val="0"/>
  <c:lang val="bs-Latn-B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tx>
            <c:strRef>
              <c:f>'REDOM organiz graf.'!$L$248</c:f>
              <c:strCache>
                <c:ptCount val="1"/>
                <c:pt idx="0">
                  <c:v>2010.</c:v>
                </c:pt>
              </c:strCache>
            </c:strRef>
          </c:tx>
          <c:invertIfNegative val="0"/>
          <c:dLbls>
            <c:dLbl>
              <c:idx val="0"/>
              <c:layout>
                <c:manualLayout>
                  <c:x val="-1.1111111111111125E-2"/>
                  <c:y val="2.0387359836901122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0"/>
                  <c:y val="1.2232415902140656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8.3333333333333367E-3"/>
                  <c:y val="1.2232415902140656E-2"/>
                </c:manualLayout>
              </c:layout>
              <c:showLegendKey val="0"/>
              <c:showVal val="1"/>
              <c:showCatName val="0"/>
              <c:showSerName val="0"/>
              <c:showPercent val="0"/>
              <c:showBubbleSize val="0"/>
              <c:extLst>
                <c:ext xmlns:c15="http://schemas.microsoft.com/office/drawing/2012/chart" uri="{CE6537A1-D6FC-4f65-9D91-7224C49458BB}"/>
              </c:extLst>
            </c:dLbl>
            <c:dLbl>
              <c:idx val="7"/>
              <c:layout>
                <c:manualLayout>
                  <c:x val="-2.7777777777777913E-3"/>
                  <c:y val="8.1549439347604526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'REDOM organiz graf.'!$J$249:$K$259</c:f>
              <c:strCache>
                <c:ptCount val="11"/>
                <c:pt idx="0">
                  <c:v>FBiH</c:v>
                </c:pt>
                <c:pt idx="1">
                  <c:v>Unsko sanski</c:v>
                </c:pt>
                <c:pt idx="2">
                  <c:v>Posavski</c:v>
                </c:pt>
                <c:pt idx="3">
                  <c:v>Tuzlanski</c:v>
                </c:pt>
                <c:pt idx="4">
                  <c:v>Zeničko dobojski</c:v>
                </c:pt>
                <c:pt idx="5">
                  <c:v>Bosansko podrinjski</c:v>
                </c:pt>
                <c:pt idx="6">
                  <c:v>Srednjebosanski</c:v>
                </c:pt>
                <c:pt idx="7">
                  <c:v>Hercegovačo neretvanski</c:v>
                </c:pt>
                <c:pt idx="8">
                  <c:v>Zapadno hercegovački</c:v>
                </c:pt>
                <c:pt idx="9">
                  <c:v>Kanton Sarajevo</c:v>
                </c:pt>
                <c:pt idx="10">
                  <c:v>Kanton 10</c:v>
                </c:pt>
              </c:strCache>
            </c:strRef>
          </c:cat>
          <c:val>
            <c:numRef>
              <c:f>'REDOM organiz graf.'!$L$249:$L$259</c:f>
              <c:numCache>
                <c:formatCode>0</c:formatCode>
                <c:ptCount val="11"/>
                <c:pt idx="0">
                  <c:v>4250</c:v>
                </c:pt>
                <c:pt idx="1">
                  <c:v>5536</c:v>
                </c:pt>
                <c:pt idx="2">
                  <c:v>7904</c:v>
                </c:pt>
                <c:pt idx="3">
                  <c:v>9416</c:v>
                </c:pt>
                <c:pt idx="4">
                  <c:v>8513</c:v>
                </c:pt>
                <c:pt idx="5">
                  <c:v>4116</c:v>
                </c:pt>
                <c:pt idx="6">
                  <c:v>7487</c:v>
                </c:pt>
                <c:pt idx="7">
                  <c:v>3952</c:v>
                </c:pt>
                <c:pt idx="8">
                  <c:v>3393</c:v>
                </c:pt>
                <c:pt idx="9">
                  <c:v>1753</c:v>
                </c:pt>
                <c:pt idx="10">
                  <c:v>3825</c:v>
                </c:pt>
              </c:numCache>
            </c:numRef>
          </c:val>
        </c:ser>
        <c:ser>
          <c:idx val="1"/>
          <c:order val="1"/>
          <c:tx>
            <c:strRef>
              <c:f>'REDOM organiz graf.'!$M$248</c:f>
              <c:strCache>
                <c:ptCount val="1"/>
                <c:pt idx="0">
                  <c:v>2015</c:v>
                </c:pt>
              </c:strCache>
            </c:strRef>
          </c:tx>
          <c:invertIfNegative val="0"/>
          <c:dLbls>
            <c:dLbl>
              <c:idx val="9"/>
              <c:layout>
                <c:manualLayout>
                  <c:x val="0"/>
                  <c:y val="-1.2232415902140656E-2"/>
                </c:manualLayout>
              </c:layout>
              <c:showLegendKey val="0"/>
              <c:showVal val="1"/>
              <c:showCatName val="0"/>
              <c:showSerName val="0"/>
              <c:showPercent val="0"/>
              <c:showBubbleSize val="0"/>
              <c:extLst>
                <c:ext xmlns:c15="http://schemas.microsoft.com/office/drawing/2012/chart" uri="{CE6537A1-D6FC-4f65-9D91-7224C49458BB}"/>
              </c:extLst>
            </c:dLbl>
            <c:dLbl>
              <c:idx val="10"/>
              <c:layout>
                <c:manualLayout>
                  <c:x val="2.7777777777777913E-3"/>
                  <c:y val="-2.0387359836901119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'REDOM organiz graf.'!$J$249:$K$259</c:f>
              <c:strCache>
                <c:ptCount val="11"/>
                <c:pt idx="0">
                  <c:v>FBiH</c:v>
                </c:pt>
                <c:pt idx="1">
                  <c:v>Unsko sanski</c:v>
                </c:pt>
                <c:pt idx="2">
                  <c:v>Posavski</c:v>
                </c:pt>
                <c:pt idx="3">
                  <c:v>Tuzlanski</c:v>
                </c:pt>
                <c:pt idx="4">
                  <c:v>Zeničko dobojski</c:v>
                </c:pt>
                <c:pt idx="5">
                  <c:v>Bosansko podrinjski</c:v>
                </c:pt>
                <c:pt idx="6">
                  <c:v>Srednjebosanski</c:v>
                </c:pt>
                <c:pt idx="7">
                  <c:v>Hercegovačo neretvanski</c:v>
                </c:pt>
                <c:pt idx="8">
                  <c:v>Zapadno hercegovački</c:v>
                </c:pt>
                <c:pt idx="9">
                  <c:v>Kanton Sarajevo</c:v>
                </c:pt>
                <c:pt idx="10">
                  <c:v>Kanton 10</c:v>
                </c:pt>
              </c:strCache>
            </c:strRef>
          </c:cat>
          <c:val>
            <c:numRef>
              <c:f>'REDOM organiz graf.'!$M$249:$M$259</c:f>
              <c:numCache>
                <c:formatCode>General</c:formatCode>
                <c:ptCount val="11"/>
                <c:pt idx="0">
                  <c:v>4176</c:v>
                </c:pt>
                <c:pt idx="1">
                  <c:v>5416</c:v>
                </c:pt>
                <c:pt idx="2">
                  <c:v>6396</c:v>
                </c:pt>
                <c:pt idx="3">
                  <c:v>6927</c:v>
                </c:pt>
                <c:pt idx="4">
                  <c:v>8441</c:v>
                </c:pt>
                <c:pt idx="5">
                  <c:v>3234</c:v>
                </c:pt>
                <c:pt idx="6">
                  <c:v>4841</c:v>
                </c:pt>
                <c:pt idx="7">
                  <c:v>4138</c:v>
                </c:pt>
                <c:pt idx="8">
                  <c:v>3872</c:v>
                </c:pt>
                <c:pt idx="9">
                  <c:v>1995</c:v>
                </c:pt>
                <c:pt idx="10">
                  <c:v>3888</c:v>
                </c:pt>
              </c:numCache>
            </c:numRef>
          </c:val>
        </c:ser>
        <c:dLbls>
          <c:showLegendKey val="0"/>
          <c:showVal val="0"/>
          <c:showCatName val="0"/>
          <c:showSerName val="0"/>
          <c:showPercent val="0"/>
          <c:showBubbleSize val="0"/>
        </c:dLbls>
        <c:gapWidth val="150"/>
        <c:axId val="187744256"/>
        <c:axId val="187745792"/>
      </c:barChart>
      <c:catAx>
        <c:axId val="187744256"/>
        <c:scaling>
          <c:orientation val="minMax"/>
        </c:scaling>
        <c:delete val="0"/>
        <c:axPos val="l"/>
        <c:numFmt formatCode="General" sourceLinked="0"/>
        <c:majorTickMark val="out"/>
        <c:minorTickMark val="none"/>
        <c:tickLblPos val="nextTo"/>
        <c:txPr>
          <a:bodyPr rot="0" vert="horz"/>
          <a:lstStyle/>
          <a:p>
            <a:pPr>
              <a:defRPr/>
            </a:pPr>
            <a:endParaRPr lang="sr-Latn-RS"/>
          </a:p>
        </c:txPr>
        <c:crossAx val="187745792"/>
        <c:crosses val="autoZero"/>
        <c:auto val="1"/>
        <c:lblAlgn val="ctr"/>
        <c:lblOffset val="100"/>
        <c:noMultiLvlLbl val="0"/>
      </c:catAx>
      <c:valAx>
        <c:axId val="187745792"/>
        <c:scaling>
          <c:orientation val="minMax"/>
        </c:scaling>
        <c:delete val="1"/>
        <c:axPos val="b"/>
        <c:numFmt formatCode="0" sourceLinked="1"/>
        <c:majorTickMark val="out"/>
        <c:minorTickMark val="none"/>
        <c:tickLblPos val="none"/>
        <c:crossAx val="187744256"/>
        <c:crosses val="autoZero"/>
        <c:crossBetween val="between"/>
      </c:valAx>
    </c:plotArea>
    <c:legend>
      <c:legendPos val="b"/>
      <c:overlay val="0"/>
    </c:legend>
    <c:plotVisOnly val="1"/>
    <c:dispBlanksAs val="gap"/>
    <c:showDLblsOverMax val="0"/>
  </c:chart>
  <c:externalData r:id="rId1">
    <c:autoUpdate val="0"/>
  </c:externalData>
</c:chartSpace>
</file>

<file path=word/charts/chart87.xml><?xml version="1.0" encoding="utf-8"?>
<c:chartSpace xmlns:c="http://schemas.openxmlformats.org/drawingml/2006/chart" xmlns:a="http://schemas.openxmlformats.org/drawingml/2006/main" xmlns:r="http://schemas.openxmlformats.org/officeDocument/2006/relationships">
  <c:date1904 val="0"/>
  <c:lang val="bs-Latn-B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'REDOM organiz graf.'!$L$266</c:f>
              <c:strCache>
                <c:ptCount val="1"/>
                <c:pt idx="0">
                  <c:v>2010.</c:v>
                </c:pt>
              </c:strCache>
            </c:strRef>
          </c:tx>
          <c:invertIfNegative val="0"/>
          <c:dLbls>
            <c:dLbl>
              <c:idx val="0"/>
              <c:layout>
                <c:manualLayout>
                  <c:x val="-3.0555555555555582E-2"/>
                  <c:y val="0"/>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6666666666666701E-2"/>
                  <c:y val="0"/>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1.3888888888888938E-2"/>
                  <c:y val="0"/>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2.5000000000000001E-2"/>
                  <c:y val="0"/>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1.388888888888899E-2"/>
                  <c:y val="0"/>
                </c:manualLayout>
              </c:layout>
              <c:showLegendKey val="0"/>
              <c:showVal val="1"/>
              <c:showCatName val="0"/>
              <c:showSerName val="0"/>
              <c:showPercent val="0"/>
              <c:showBubbleSize val="0"/>
              <c:extLst>
                <c:ext xmlns:c15="http://schemas.microsoft.com/office/drawing/2012/chart" uri="{CE6537A1-D6FC-4f65-9D91-7224C49458BB}"/>
              </c:extLst>
            </c:dLbl>
            <c:dLbl>
              <c:idx val="8"/>
              <c:layout>
                <c:manualLayout>
                  <c:x val="-8.3333333333332586E-3"/>
                  <c:y val="4.6296296296296459E-3"/>
                </c:manualLayout>
              </c:layout>
              <c:showLegendKey val="0"/>
              <c:showVal val="1"/>
              <c:showCatName val="0"/>
              <c:showSerName val="0"/>
              <c:showPercent val="0"/>
              <c:showBubbleSize val="0"/>
              <c:extLst>
                <c:ext xmlns:c15="http://schemas.microsoft.com/office/drawing/2012/chart" uri="{CE6537A1-D6FC-4f65-9D91-7224C49458BB}"/>
              </c:extLst>
            </c:dLbl>
            <c:dLbl>
              <c:idx val="9"/>
              <c:layout>
                <c:manualLayout>
                  <c:x val="-2.4999999999999897E-2"/>
                  <c:y val="0"/>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'REDOM organiz graf.'!$J$267:$K$277</c:f>
              <c:strCache>
                <c:ptCount val="11"/>
                <c:pt idx="0">
                  <c:v>FBiH</c:v>
                </c:pt>
                <c:pt idx="1">
                  <c:v>Unsko sanski</c:v>
                </c:pt>
                <c:pt idx="2">
                  <c:v>Posavski</c:v>
                </c:pt>
                <c:pt idx="3">
                  <c:v>Tuzlanski</c:v>
                </c:pt>
                <c:pt idx="4">
                  <c:v>Zeničko dobojski</c:v>
                </c:pt>
                <c:pt idx="5">
                  <c:v>Bosansko podrinjski</c:v>
                </c:pt>
                <c:pt idx="6">
                  <c:v>Srednjebosanski</c:v>
                </c:pt>
                <c:pt idx="7">
                  <c:v>Hercegovačo neretvanski</c:v>
                </c:pt>
                <c:pt idx="8">
                  <c:v>Zapadno hercegovački</c:v>
                </c:pt>
                <c:pt idx="9">
                  <c:v>Kanton Sarajevo</c:v>
                </c:pt>
                <c:pt idx="10">
                  <c:v>Kanton 10</c:v>
                </c:pt>
              </c:strCache>
            </c:strRef>
          </c:cat>
          <c:val>
            <c:numRef>
              <c:f>'REDOM organiz graf.'!$L$267:$L$277</c:f>
              <c:numCache>
                <c:formatCode>0.0</c:formatCode>
                <c:ptCount val="11"/>
                <c:pt idx="0">
                  <c:v>0.5</c:v>
                </c:pt>
                <c:pt idx="1">
                  <c:v>0.4</c:v>
                </c:pt>
                <c:pt idx="2">
                  <c:v>0.30000000000000032</c:v>
                </c:pt>
                <c:pt idx="3">
                  <c:v>0.4</c:v>
                </c:pt>
                <c:pt idx="4">
                  <c:v>0.30000000000000032</c:v>
                </c:pt>
                <c:pt idx="5">
                  <c:v>0.5</c:v>
                </c:pt>
                <c:pt idx="6">
                  <c:v>0.30000000000000032</c:v>
                </c:pt>
                <c:pt idx="7">
                  <c:v>0.30000000000000032</c:v>
                </c:pt>
                <c:pt idx="8">
                  <c:v>0.4</c:v>
                </c:pt>
                <c:pt idx="9">
                  <c:v>0.9</c:v>
                </c:pt>
                <c:pt idx="10">
                  <c:v>0.2</c:v>
                </c:pt>
              </c:numCache>
            </c:numRef>
          </c:val>
        </c:ser>
        <c:ser>
          <c:idx val="1"/>
          <c:order val="1"/>
          <c:tx>
            <c:strRef>
              <c:f>'REDOM organiz graf.'!$M$266</c:f>
              <c:strCache>
                <c:ptCount val="1"/>
                <c:pt idx="0">
                  <c:v>2015.</c:v>
                </c:pt>
              </c:strCache>
            </c:strRef>
          </c:tx>
          <c:invertIfNegative val="0"/>
          <c:dLbls>
            <c:dLbl>
              <c:idx val="8"/>
              <c:layout>
                <c:manualLayout>
                  <c:x val="8.3331146106736947E-3"/>
                  <c:y val="0"/>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'REDOM organiz graf.'!$J$267:$K$277</c:f>
              <c:strCache>
                <c:ptCount val="11"/>
                <c:pt idx="0">
                  <c:v>FBiH</c:v>
                </c:pt>
                <c:pt idx="1">
                  <c:v>Unsko sanski</c:v>
                </c:pt>
                <c:pt idx="2">
                  <c:v>Posavski</c:v>
                </c:pt>
                <c:pt idx="3">
                  <c:v>Tuzlanski</c:v>
                </c:pt>
                <c:pt idx="4">
                  <c:v>Zeničko dobojski</c:v>
                </c:pt>
                <c:pt idx="5">
                  <c:v>Bosansko podrinjski</c:v>
                </c:pt>
                <c:pt idx="6">
                  <c:v>Srednjebosanski</c:v>
                </c:pt>
                <c:pt idx="7">
                  <c:v>Hercegovačo neretvanski</c:v>
                </c:pt>
                <c:pt idx="8">
                  <c:v>Zapadno hercegovački</c:v>
                </c:pt>
                <c:pt idx="9">
                  <c:v>Kanton Sarajevo</c:v>
                </c:pt>
                <c:pt idx="10">
                  <c:v>Kanton 10</c:v>
                </c:pt>
              </c:strCache>
            </c:strRef>
          </c:cat>
          <c:val>
            <c:numRef>
              <c:f>'REDOM organiz graf.'!$M$267:$M$277</c:f>
              <c:numCache>
                <c:formatCode>0.0</c:formatCode>
                <c:ptCount val="11"/>
                <c:pt idx="0">
                  <c:v>0.5</c:v>
                </c:pt>
                <c:pt idx="1">
                  <c:v>0.4</c:v>
                </c:pt>
                <c:pt idx="2">
                  <c:v>0.30000000000000032</c:v>
                </c:pt>
                <c:pt idx="3">
                  <c:v>0.4</c:v>
                </c:pt>
                <c:pt idx="4">
                  <c:v>0.30000000000000032</c:v>
                </c:pt>
                <c:pt idx="5">
                  <c:v>0.9</c:v>
                </c:pt>
                <c:pt idx="6">
                  <c:v>0.30000000000000032</c:v>
                </c:pt>
                <c:pt idx="7">
                  <c:v>0.30000000000000032</c:v>
                </c:pt>
                <c:pt idx="8">
                  <c:v>0.4</c:v>
                </c:pt>
                <c:pt idx="9">
                  <c:v>0.9</c:v>
                </c:pt>
                <c:pt idx="10">
                  <c:v>0.30000000000000032</c:v>
                </c:pt>
              </c:numCache>
            </c:numRef>
          </c:val>
        </c:ser>
        <c:dLbls>
          <c:showLegendKey val="0"/>
          <c:showVal val="0"/>
          <c:showCatName val="0"/>
          <c:showSerName val="0"/>
          <c:showPercent val="0"/>
          <c:showBubbleSize val="0"/>
        </c:dLbls>
        <c:gapWidth val="150"/>
        <c:axId val="187460224"/>
        <c:axId val="187474304"/>
      </c:barChart>
      <c:catAx>
        <c:axId val="187460224"/>
        <c:scaling>
          <c:orientation val="minMax"/>
        </c:scaling>
        <c:delete val="0"/>
        <c:axPos val="b"/>
        <c:numFmt formatCode="General" sourceLinked="0"/>
        <c:majorTickMark val="out"/>
        <c:minorTickMark val="none"/>
        <c:tickLblPos val="nextTo"/>
        <c:txPr>
          <a:bodyPr rot="-5400000" vert="horz"/>
          <a:lstStyle/>
          <a:p>
            <a:pPr>
              <a:defRPr/>
            </a:pPr>
            <a:endParaRPr lang="sr-Latn-RS"/>
          </a:p>
        </c:txPr>
        <c:crossAx val="187474304"/>
        <c:crosses val="autoZero"/>
        <c:auto val="1"/>
        <c:lblAlgn val="ctr"/>
        <c:lblOffset val="100"/>
        <c:noMultiLvlLbl val="0"/>
      </c:catAx>
      <c:valAx>
        <c:axId val="187474304"/>
        <c:scaling>
          <c:orientation val="minMax"/>
        </c:scaling>
        <c:delete val="1"/>
        <c:axPos val="l"/>
        <c:numFmt formatCode="0.0" sourceLinked="1"/>
        <c:majorTickMark val="out"/>
        <c:minorTickMark val="none"/>
        <c:tickLblPos val="none"/>
        <c:crossAx val="187460224"/>
        <c:crosses val="autoZero"/>
        <c:crossBetween val="between"/>
      </c:valAx>
    </c:plotArea>
    <c:legend>
      <c:legendPos val="b"/>
      <c:overlay val="0"/>
    </c:legend>
    <c:plotVisOnly val="1"/>
    <c:dispBlanksAs val="gap"/>
    <c:showDLblsOverMax val="0"/>
  </c:chart>
  <c:externalData r:id="rId1">
    <c:autoUpdate val="0"/>
  </c:externalData>
</c:chartSpace>
</file>

<file path=word/charts/chart88.xml><?xml version="1.0" encoding="utf-8"?>
<c:chartSpace xmlns:c="http://schemas.openxmlformats.org/drawingml/2006/chart" xmlns:a="http://schemas.openxmlformats.org/drawingml/2006/main" xmlns:r="http://schemas.openxmlformats.org/officeDocument/2006/relationships">
  <c:date1904 val="0"/>
  <c:lang val="bs-Latn-B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'Spec-konsult. zaštita'!$K$113</c:f>
              <c:strCache>
                <c:ptCount val="1"/>
                <c:pt idx="0">
                  <c:v>2010.</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'Spec-konsult. zaštita'!$J$114:$J$116</c:f>
              <c:strCache>
                <c:ptCount val="3"/>
                <c:pt idx="0">
                  <c:v>Dr medicine</c:v>
                </c:pt>
                <c:pt idx="1">
                  <c:v>Med.sestre/tehničari</c:v>
                </c:pt>
                <c:pt idx="2">
                  <c:v>Zdravstveni saradnici</c:v>
                </c:pt>
              </c:strCache>
            </c:strRef>
          </c:cat>
          <c:val>
            <c:numRef>
              <c:f>'Spec-konsult. zaštita'!$K$114:$K$116</c:f>
              <c:numCache>
                <c:formatCode>0.0</c:formatCode>
                <c:ptCount val="3"/>
                <c:pt idx="0">
                  <c:v>28.2</c:v>
                </c:pt>
                <c:pt idx="1">
                  <c:v>55.3</c:v>
                </c:pt>
                <c:pt idx="2">
                  <c:v>4.0999999999999996</c:v>
                </c:pt>
              </c:numCache>
            </c:numRef>
          </c:val>
        </c:ser>
        <c:ser>
          <c:idx val="1"/>
          <c:order val="1"/>
          <c:tx>
            <c:strRef>
              <c:f>'Spec-konsult. zaštita'!$L$113</c:f>
              <c:strCache>
                <c:ptCount val="1"/>
                <c:pt idx="0">
                  <c:v>2015.</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'Spec-konsult. zaštita'!$J$114:$J$116</c:f>
              <c:strCache>
                <c:ptCount val="3"/>
                <c:pt idx="0">
                  <c:v>Dr medicine</c:v>
                </c:pt>
                <c:pt idx="1">
                  <c:v>Med.sestre/tehničari</c:v>
                </c:pt>
                <c:pt idx="2">
                  <c:v>Zdravstveni saradnici</c:v>
                </c:pt>
              </c:strCache>
            </c:strRef>
          </c:cat>
          <c:val>
            <c:numRef>
              <c:f>'Spec-konsult. zaštita'!$L$114:$L$116</c:f>
              <c:numCache>
                <c:formatCode>0.0</c:formatCode>
                <c:ptCount val="3"/>
                <c:pt idx="0">
                  <c:v>27.9</c:v>
                </c:pt>
                <c:pt idx="1">
                  <c:v>59.7</c:v>
                </c:pt>
                <c:pt idx="2">
                  <c:v>5.8</c:v>
                </c:pt>
              </c:numCache>
            </c:numRef>
          </c:val>
        </c:ser>
        <c:dLbls>
          <c:showLegendKey val="0"/>
          <c:showVal val="0"/>
          <c:showCatName val="0"/>
          <c:showSerName val="0"/>
          <c:showPercent val="0"/>
          <c:showBubbleSize val="0"/>
        </c:dLbls>
        <c:gapWidth val="150"/>
        <c:axId val="187495936"/>
        <c:axId val="187497472"/>
      </c:barChart>
      <c:catAx>
        <c:axId val="187495936"/>
        <c:scaling>
          <c:orientation val="minMax"/>
        </c:scaling>
        <c:delete val="0"/>
        <c:axPos val="b"/>
        <c:numFmt formatCode="General" sourceLinked="0"/>
        <c:majorTickMark val="out"/>
        <c:minorTickMark val="none"/>
        <c:tickLblPos val="nextTo"/>
        <c:crossAx val="187497472"/>
        <c:crosses val="autoZero"/>
        <c:auto val="1"/>
        <c:lblAlgn val="ctr"/>
        <c:lblOffset val="100"/>
        <c:noMultiLvlLbl val="0"/>
      </c:catAx>
      <c:valAx>
        <c:axId val="187497472"/>
        <c:scaling>
          <c:orientation val="minMax"/>
        </c:scaling>
        <c:delete val="1"/>
        <c:axPos val="l"/>
        <c:numFmt formatCode="0.0" sourceLinked="1"/>
        <c:majorTickMark val="out"/>
        <c:minorTickMark val="none"/>
        <c:tickLblPos val="none"/>
        <c:crossAx val="187495936"/>
        <c:crosses val="autoZero"/>
        <c:crossBetween val="between"/>
      </c:valAx>
    </c:plotArea>
    <c:legend>
      <c:legendPos val="b"/>
      <c:overlay val="0"/>
    </c:legend>
    <c:plotVisOnly val="1"/>
    <c:dispBlanksAs val="gap"/>
    <c:showDLblsOverMax val="0"/>
  </c:chart>
  <c:externalData r:id="rId1">
    <c:autoUpdate val="0"/>
  </c:externalData>
</c:chartSpace>
</file>

<file path=word/charts/chart89.xml><?xml version="1.0" encoding="utf-8"?>
<c:chartSpace xmlns:c="http://schemas.openxmlformats.org/drawingml/2006/chart" xmlns:a="http://schemas.openxmlformats.org/drawingml/2006/main" xmlns:r="http://schemas.openxmlformats.org/officeDocument/2006/relationships">
  <c:date1904 val="0"/>
  <c:lang val="bs-Latn-B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BOLNICE!$F$2:$K$2</c:f>
              <c:strCache>
                <c:ptCount val="6"/>
                <c:pt idx="0">
                  <c:v>2010.</c:v>
                </c:pt>
                <c:pt idx="1">
                  <c:v>2011.</c:v>
                </c:pt>
                <c:pt idx="2">
                  <c:v>2012.</c:v>
                </c:pt>
                <c:pt idx="3">
                  <c:v>2013.</c:v>
                </c:pt>
                <c:pt idx="4">
                  <c:v>2014.</c:v>
                </c:pt>
                <c:pt idx="5">
                  <c:v>2015.</c:v>
                </c:pt>
              </c:strCache>
            </c:strRef>
          </c:cat>
          <c:val>
            <c:numRef>
              <c:f>BOLNICE!$F$3:$K$3</c:f>
              <c:numCache>
                <c:formatCode>General</c:formatCode>
                <c:ptCount val="6"/>
                <c:pt idx="0">
                  <c:v>3.6</c:v>
                </c:pt>
                <c:pt idx="1">
                  <c:v>3.7</c:v>
                </c:pt>
                <c:pt idx="2">
                  <c:v>3.7</c:v>
                </c:pt>
                <c:pt idx="3">
                  <c:v>3.5</c:v>
                </c:pt>
                <c:pt idx="4">
                  <c:v>3.6</c:v>
                </c:pt>
                <c:pt idx="5">
                  <c:v>3.6</c:v>
                </c:pt>
              </c:numCache>
            </c:numRef>
          </c:val>
        </c:ser>
        <c:dLbls>
          <c:showLegendKey val="0"/>
          <c:showVal val="0"/>
          <c:showCatName val="0"/>
          <c:showSerName val="0"/>
          <c:showPercent val="0"/>
          <c:showBubbleSize val="0"/>
        </c:dLbls>
        <c:gapWidth val="150"/>
        <c:axId val="187513856"/>
        <c:axId val="187523840"/>
      </c:barChart>
      <c:catAx>
        <c:axId val="187513856"/>
        <c:scaling>
          <c:orientation val="minMax"/>
        </c:scaling>
        <c:delete val="0"/>
        <c:axPos val="b"/>
        <c:numFmt formatCode="General" sourceLinked="0"/>
        <c:majorTickMark val="out"/>
        <c:minorTickMark val="none"/>
        <c:tickLblPos val="nextTo"/>
        <c:crossAx val="187523840"/>
        <c:crosses val="autoZero"/>
        <c:auto val="1"/>
        <c:lblAlgn val="ctr"/>
        <c:lblOffset val="100"/>
        <c:noMultiLvlLbl val="0"/>
      </c:catAx>
      <c:valAx>
        <c:axId val="187523840"/>
        <c:scaling>
          <c:orientation val="minMax"/>
        </c:scaling>
        <c:delete val="1"/>
        <c:axPos val="l"/>
        <c:numFmt formatCode="General" sourceLinked="1"/>
        <c:majorTickMark val="out"/>
        <c:minorTickMark val="none"/>
        <c:tickLblPos val="none"/>
        <c:crossAx val="187513856"/>
        <c:crosses val="autoZero"/>
        <c:crossBetween val="between"/>
      </c:valAx>
    </c:plotArea>
    <c:plotVisOnly val="1"/>
    <c:dispBlanksAs val="gap"/>
    <c:showDLblsOverMax val="0"/>
  </c:chart>
  <c:spPr>
    <a:ln>
      <a:solidFill>
        <a:schemeClr val="tx1"/>
      </a:solidFill>
    </a:ln>
  </c:sp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bs-Latn-BA"/>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Sheet1!$B$20</c:f>
              <c:strCache>
                <c:ptCount val="1"/>
                <c:pt idx="0">
                  <c:v>Oboljenja cirkulatornog sistema (I00-I99)</c:v>
                </c:pt>
              </c:strCache>
            </c:strRef>
          </c:tx>
          <c:invertIfNegative val="0"/>
          <c:dLbls>
            <c:dLbl>
              <c:idx val="0"/>
              <c:layout>
                <c:manualLayout>
                  <c:x val="2.1609940572663543E-2"/>
                  <c:y val="-2.0964360587002146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728795245813074E-2"/>
                  <c:y val="-1.6771488469601702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Sheet1!$C$19:$D$19</c:f>
              <c:strCache>
                <c:ptCount val="2"/>
                <c:pt idx="0">
                  <c:v>2010.</c:v>
                </c:pt>
                <c:pt idx="1">
                  <c:v>2015.</c:v>
                </c:pt>
              </c:strCache>
            </c:strRef>
          </c:cat>
          <c:val>
            <c:numRef>
              <c:f>Sheet1!$C$20:$D$20</c:f>
              <c:numCache>
                <c:formatCode>0.0</c:formatCode>
                <c:ptCount val="2"/>
                <c:pt idx="0">
                  <c:v>472.09602765158223</c:v>
                </c:pt>
                <c:pt idx="1">
                  <c:v>500.01113801369695</c:v>
                </c:pt>
              </c:numCache>
            </c:numRef>
          </c:val>
        </c:ser>
        <c:ser>
          <c:idx val="1"/>
          <c:order val="1"/>
          <c:tx>
            <c:strRef>
              <c:f>Sheet1!$B$21</c:f>
              <c:strCache>
                <c:ptCount val="1"/>
                <c:pt idx="0">
                  <c:v>Maligne neoplazme (C00-C97)</c:v>
                </c:pt>
              </c:strCache>
            </c:strRef>
          </c:tx>
          <c:invertIfNegative val="0"/>
          <c:dLbls>
            <c:dLbl>
              <c:idx val="0"/>
              <c:layout>
                <c:manualLayout>
                  <c:x val="2.3770934629929821E-2"/>
                  <c:y val="-2.51572327044026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8092922744462453E-2"/>
                  <c:y val="-2.0964360587002125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Sheet1!$C$19:$D$19</c:f>
              <c:strCache>
                <c:ptCount val="2"/>
                <c:pt idx="0">
                  <c:v>2010.</c:v>
                </c:pt>
                <c:pt idx="1">
                  <c:v>2015.</c:v>
                </c:pt>
              </c:strCache>
            </c:strRef>
          </c:cat>
          <c:val>
            <c:numRef>
              <c:f>Sheet1!$C$21:$D$21</c:f>
              <c:numCache>
                <c:formatCode>0.0</c:formatCode>
                <c:ptCount val="2"/>
                <c:pt idx="0">
                  <c:v>176.37295415073194</c:v>
                </c:pt>
                <c:pt idx="1">
                  <c:v>194.9</c:v>
                </c:pt>
              </c:numCache>
            </c:numRef>
          </c:val>
        </c:ser>
        <c:ser>
          <c:idx val="2"/>
          <c:order val="2"/>
          <c:tx>
            <c:strRef>
              <c:f>Sheet1!$B$22</c:f>
              <c:strCache>
                <c:ptCount val="1"/>
                <c:pt idx="0">
                  <c:v>Endokrina i metabolička ob. sa poremećajem u ishrani (E00-E99)</c:v>
                </c:pt>
              </c:strCache>
            </c:strRef>
          </c:tx>
          <c:invertIfNegative val="0"/>
          <c:dLbls>
            <c:dLbl>
              <c:idx val="0"/>
              <c:layout>
                <c:manualLayout>
                  <c:x val="2.1609940572663525E-2"/>
                  <c:y val="-5.4507337526205527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51269584008644E-2"/>
                  <c:y val="-2.935010482180294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Sheet1!$C$19:$D$19</c:f>
              <c:strCache>
                <c:ptCount val="2"/>
                <c:pt idx="0">
                  <c:v>2010.</c:v>
                </c:pt>
                <c:pt idx="1">
                  <c:v>2015.</c:v>
                </c:pt>
              </c:strCache>
            </c:strRef>
          </c:cat>
          <c:val>
            <c:numRef>
              <c:f>Sheet1!$C$22:$D$22</c:f>
              <c:numCache>
                <c:formatCode>0.0</c:formatCode>
                <c:ptCount val="2"/>
                <c:pt idx="0">
                  <c:v>50.007272229494454</c:v>
                </c:pt>
                <c:pt idx="1">
                  <c:v>51.277701525222348</c:v>
                </c:pt>
              </c:numCache>
            </c:numRef>
          </c:val>
        </c:ser>
        <c:ser>
          <c:idx val="3"/>
          <c:order val="3"/>
          <c:tx>
            <c:strRef>
              <c:f>Sheet1!$B$23</c:f>
              <c:strCache>
                <c:ptCount val="1"/>
                <c:pt idx="0">
                  <c:v>Simptomi,znaci i nenormalni klinički i lab.nalazi (R00-R99)</c:v>
                </c:pt>
              </c:strCache>
            </c:strRef>
          </c:tx>
          <c:invertIfNegative val="0"/>
          <c:dLbls>
            <c:dLbl>
              <c:idx val="0"/>
              <c:layout>
                <c:manualLayout>
                  <c:x val="1.9448946515397084E-2"/>
                  <c:y val="-1.6771488469601716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51269584008644E-2"/>
                  <c:y val="-2.935010482180294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Sheet1!$C$19:$D$19</c:f>
              <c:strCache>
                <c:ptCount val="2"/>
                <c:pt idx="0">
                  <c:v>2010.</c:v>
                </c:pt>
                <c:pt idx="1">
                  <c:v>2015.</c:v>
                </c:pt>
              </c:strCache>
            </c:strRef>
          </c:cat>
          <c:val>
            <c:numRef>
              <c:f>Sheet1!$C$23:$D$23</c:f>
              <c:numCache>
                <c:formatCode>0.0</c:formatCode>
                <c:ptCount val="2"/>
                <c:pt idx="0">
                  <c:v>43.804488248932614</c:v>
                </c:pt>
                <c:pt idx="1">
                  <c:v>22.061834824970386</c:v>
                </c:pt>
              </c:numCache>
            </c:numRef>
          </c:val>
        </c:ser>
        <c:ser>
          <c:idx val="4"/>
          <c:order val="4"/>
          <c:tx>
            <c:strRef>
              <c:f>Sheet1!$B$24</c:f>
              <c:strCache>
                <c:ptCount val="1"/>
                <c:pt idx="0">
                  <c:v>Oboljenja respiratornog sistema (J00-J99)</c:v>
                </c:pt>
              </c:strCache>
            </c:strRef>
          </c:tx>
          <c:invertIfNegative val="0"/>
          <c:dLbls>
            <c:dLbl>
              <c:idx val="0"/>
              <c:layout>
                <c:manualLayout>
                  <c:x val="2.5931928687196182E-2"/>
                  <c:y val="-8.3857442348008737E-3"/>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3.24149108589952E-2"/>
                  <c:y val="0"/>
                </c:manualLayout>
              </c:layout>
              <c:showLegendKey val="0"/>
              <c:showVal val="1"/>
              <c:showCatName val="0"/>
              <c:showSerName val="0"/>
              <c:showPercent val="0"/>
              <c:showBubbleSize val="0"/>
              <c:extLst>
                <c:ext xmlns:c15="http://schemas.microsoft.com/office/drawing/2012/chart" uri="{CE6537A1-D6FC-4f65-9D91-7224C49458BB}"/>
              </c:extLst>
            </c:dLbl>
            <c:numFmt formatCode="#,##0.00" sourceLinked="0"/>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Sheet1!$C$19:$D$19</c:f>
              <c:strCache>
                <c:ptCount val="2"/>
                <c:pt idx="0">
                  <c:v>2010.</c:v>
                </c:pt>
                <c:pt idx="1">
                  <c:v>2015.</c:v>
                </c:pt>
              </c:strCache>
            </c:strRef>
          </c:cat>
          <c:val>
            <c:numRef>
              <c:f>Sheet1!$C$24:$D$24</c:f>
              <c:numCache>
                <c:formatCode>0.0</c:formatCode>
                <c:ptCount val="2"/>
                <c:pt idx="0">
                  <c:v>29.046140157251269</c:v>
                </c:pt>
                <c:pt idx="1">
                  <c:v>45.151793991298533</c:v>
                </c:pt>
              </c:numCache>
            </c:numRef>
          </c:val>
        </c:ser>
        <c:dLbls>
          <c:showLegendKey val="0"/>
          <c:showVal val="0"/>
          <c:showCatName val="0"/>
          <c:showSerName val="0"/>
          <c:showPercent val="0"/>
          <c:showBubbleSize val="0"/>
        </c:dLbls>
        <c:gapWidth val="150"/>
        <c:shape val="box"/>
        <c:axId val="37329920"/>
        <c:axId val="37344000"/>
        <c:axId val="0"/>
      </c:bar3DChart>
      <c:catAx>
        <c:axId val="37329920"/>
        <c:scaling>
          <c:orientation val="minMax"/>
        </c:scaling>
        <c:delete val="0"/>
        <c:axPos val="b"/>
        <c:numFmt formatCode="General" sourceLinked="0"/>
        <c:majorTickMark val="out"/>
        <c:minorTickMark val="none"/>
        <c:tickLblPos val="nextTo"/>
        <c:crossAx val="37344000"/>
        <c:crosses val="autoZero"/>
        <c:auto val="1"/>
        <c:lblAlgn val="ctr"/>
        <c:lblOffset val="100"/>
        <c:noMultiLvlLbl val="0"/>
      </c:catAx>
      <c:valAx>
        <c:axId val="37344000"/>
        <c:scaling>
          <c:orientation val="minMax"/>
        </c:scaling>
        <c:delete val="1"/>
        <c:axPos val="l"/>
        <c:numFmt formatCode="0.0" sourceLinked="1"/>
        <c:majorTickMark val="out"/>
        <c:minorTickMark val="none"/>
        <c:tickLblPos val="nextTo"/>
        <c:crossAx val="37329920"/>
        <c:crosses val="autoZero"/>
        <c:crossBetween val="between"/>
      </c:valAx>
    </c:plotArea>
    <c:legend>
      <c:legendPos val="r"/>
      <c:layout>
        <c:manualLayout>
          <c:xMode val="edge"/>
          <c:yMode val="edge"/>
          <c:x val="0.65223641132524079"/>
          <c:y val="0.11545418928216497"/>
          <c:w val="0.33417201545015845"/>
          <c:h val="0.86011056111918038"/>
        </c:manualLayout>
      </c:layout>
      <c:overlay val="0"/>
    </c:legend>
    <c:plotVisOnly val="1"/>
    <c:dispBlanksAs val="gap"/>
    <c:showDLblsOverMax val="0"/>
  </c:chart>
  <c:spPr>
    <a:ln cap="sq"/>
  </c:spPr>
  <c:externalData r:id="rId1">
    <c:autoUpdate val="0"/>
  </c:externalData>
</c:chartSpace>
</file>

<file path=word/charts/chart90.xml><?xml version="1.0" encoding="utf-8"?>
<c:chartSpace xmlns:c="http://schemas.openxmlformats.org/drawingml/2006/chart" xmlns:a="http://schemas.openxmlformats.org/drawingml/2006/main" xmlns:r="http://schemas.openxmlformats.org/officeDocument/2006/relationships">
  <c:date1904 val="0"/>
  <c:lang val="bs-Latn-B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dPt>
            <c:idx val="8"/>
            <c:invertIfNegative val="0"/>
            <c:bubble3D val="0"/>
            <c:spPr>
              <a:solidFill>
                <a:schemeClr val="tx2"/>
              </a:solidFill>
            </c:spPr>
          </c:dPt>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BOLNICE!$E$75:$E$84</c:f>
              <c:strCache>
                <c:ptCount val="10"/>
                <c:pt idx="0">
                  <c:v>Evropski Region</c:v>
                </c:pt>
                <c:pt idx="1">
                  <c:v>Mađarska</c:v>
                </c:pt>
                <c:pt idx="2">
                  <c:v>Čehoslovačka</c:v>
                </c:pt>
                <c:pt idx="3">
                  <c:v>Bugarska</c:v>
                </c:pt>
                <c:pt idx="4">
                  <c:v>Hrvatska</c:v>
                </c:pt>
                <c:pt idx="5">
                  <c:v>TFYR Makedonija </c:v>
                </c:pt>
                <c:pt idx="6">
                  <c:v>Slovenija</c:v>
                </c:pt>
                <c:pt idx="7">
                  <c:v>Crna Gora</c:v>
                </c:pt>
                <c:pt idx="8">
                  <c:v>FBiH</c:v>
                </c:pt>
                <c:pt idx="9">
                  <c:v>Albanija</c:v>
                </c:pt>
              </c:strCache>
            </c:strRef>
          </c:cat>
          <c:val>
            <c:numRef>
              <c:f>BOLNICE!$H$75:$H$84</c:f>
              <c:numCache>
                <c:formatCode>General</c:formatCode>
                <c:ptCount val="10"/>
                <c:pt idx="0">
                  <c:v>567</c:v>
                </c:pt>
                <c:pt idx="1">
                  <c:v>704</c:v>
                </c:pt>
                <c:pt idx="2">
                  <c:v>646</c:v>
                </c:pt>
                <c:pt idx="3">
                  <c:v>682</c:v>
                </c:pt>
                <c:pt idx="4">
                  <c:v>586</c:v>
                </c:pt>
                <c:pt idx="5">
                  <c:v>443</c:v>
                </c:pt>
                <c:pt idx="6">
                  <c:v>455</c:v>
                </c:pt>
                <c:pt idx="7">
                  <c:v>399</c:v>
                </c:pt>
                <c:pt idx="8">
                  <c:v>357</c:v>
                </c:pt>
                <c:pt idx="9">
                  <c:v>289</c:v>
                </c:pt>
              </c:numCache>
            </c:numRef>
          </c:val>
        </c:ser>
        <c:dLbls>
          <c:showLegendKey val="0"/>
          <c:showVal val="0"/>
          <c:showCatName val="0"/>
          <c:showSerName val="0"/>
          <c:showPercent val="0"/>
          <c:showBubbleSize val="0"/>
        </c:dLbls>
        <c:gapWidth val="150"/>
        <c:axId val="187564800"/>
        <c:axId val="187566336"/>
      </c:barChart>
      <c:catAx>
        <c:axId val="187564800"/>
        <c:scaling>
          <c:orientation val="minMax"/>
        </c:scaling>
        <c:delete val="0"/>
        <c:axPos val="b"/>
        <c:numFmt formatCode="General" sourceLinked="0"/>
        <c:majorTickMark val="out"/>
        <c:minorTickMark val="none"/>
        <c:tickLblPos val="nextTo"/>
        <c:txPr>
          <a:bodyPr rot="-5400000" vert="horz"/>
          <a:lstStyle/>
          <a:p>
            <a:pPr>
              <a:defRPr/>
            </a:pPr>
            <a:endParaRPr lang="sr-Latn-RS"/>
          </a:p>
        </c:txPr>
        <c:crossAx val="187566336"/>
        <c:crosses val="autoZero"/>
        <c:auto val="1"/>
        <c:lblAlgn val="ctr"/>
        <c:lblOffset val="100"/>
        <c:noMultiLvlLbl val="0"/>
      </c:catAx>
      <c:valAx>
        <c:axId val="187566336"/>
        <c:scaling>
          <c:orientation val="minMax"/>
        </c:scaling>
        <c:delete val="1"/>
        <c:axPos val="l"/>
        <c:numFmt formatCode="General" sourceLinked="1"/>
        <c:majorTickMark val="out"/>
        <c:minorTickMark val="none"/>
        <c:tickLblPos val="none"/>
        <c:crossAx val="187564800"/>
        <c:crosses val="autoZero"/>
        <c:crossBetween val="between"/>
      </c:valAx>
    </c:plotArea>
    <c:plotVisOnly val="1"/>
    <c:dispBlanksAs val="gap"/>
    <c:showDLblsOverMax val="0"/>
  </c:chart>
  <c:externalData r:id="rId1">
    <c:autoUpdate val="0"/>
  </c:externalData>
</c:chartSpace>
</file>

<file path=word/charts/chart91.xml><?xml version="1.0" encoding="utf-8"?>
<c:chartSpace xmlns:c="http://schemas.openxmlformats.org/drawingml/2006/chart" xmlns:a="http://schemas.openxmlformats.org/drawingml/2006/main" xmlns:r="http://schemas.openxmlformats.org/officeDocument/2006/relationships">
  <c:date1904 val="0"/>
  <c:lang val="bs-Latn-B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dPt>
            <c:idx val="0"/>
            <c:invertIfNegative val="0"/>
            <c:bubble3D val="0"/>
            <c:spPr>
              <a:solidFill>
                <a:schemeClr val="tx2"/>
              </a:solidFill>
            </c:spPr>
          </c:dPt>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BOLNICE!$E$88:$E$98</c:f>
              <c:strCache>
                <c:ptCount val="11"/>
                <c:pt idx="0">
                  <c:v>FBiH</c:v>
                </c:pt>
                <c:pt idx="1">
                  <c:v>Unsko sanski</c:v>
                </c:pt>
                <c:pt idx="2">
                  <c:v>Posavski</c:v>
                </c:pt>
                <c:pt idx="3">
                  <c:v>Tuzlanski</c:v>
                </c:pt>
                <c:pt idx="4">
                  <c:v>Zeničko dobojski</c:v>
                </c:pt>
                <c:pt idx="5">
                  <c:v>Bosansko podrinjski</c:v>
                </c:pt>
                <c:pt idx="6">
                  <c:v>Srednjebosanski</c:v>
                </c:pt>
                <c:pt idx="7">
                  <c:v>Hercegovačo neretvanski</c:v>
                </c:pt>
                <c:pt idx="8">
                  <c:v>Zapadno hercegovački</c:v>
                </c:pt>
                <c:pt idx="9">
                  <c:v>Kanton Sarajevo</c:v>
                </c:pt>
                <c:pt idx="10">
                  <c:v>Kanton 10</c:v>
                </c:pt>
              </c:strCache>
            </c:strRef>
          </c:cat>
          <c:val>
            <c:numRef>
              <c:f>BOLNICE!$F$88:$F$98</c:f>
              <c:numCache>
                <c:formatCode>0.0</c:formatCode>
                <c:ptCount val="11"/>
                <c:pt idx="0">
                  <c:v>3.6</c:v>
                </c:pt>
                <c:pt idx="1">
                  <c:v>2.2999999999999998</c:v>
                </c:pt>
                <c:pt idx="2">
                  <c:v>2.9</c:v>
                </c:pt>
                <c:pt idx="3">
                  <c:v>3.2</c:v>
                </c:pt>
                <c:pt idx="4">
                  <c:v>2.9</c:v>
                </c:pt>
                <c:pt idx="5">
                  <c:v>2.5</c:v>
                </c:pt>
                <c:pt idx="6">
                  <c:v>5</c:v>
                </c:pt>
                <c:pt idx="7">
                  <c:v>4.7</c:v>
                </c:pt>
                <c:pt idx="8">
                  <c:v>0</c:v>
                </c:pt>
                <c:pt idx="9">
                  <c:v>5</c:v>
                </c:pt>
                <c:pt idx="10">
                  <c:v>2.7</c:v>
                </c:pt>
              </c:numCache>
            </c:numRef>
          </c:val>
        </c:ser>
        <c:dLbls>
          <c:showLegendKey val="0"/>
          <c:showVal val="0"/>
          <c:showCatName val="0"/>
          <c:showSerName val="0"/>
          <c:showPercent val="0"/>
          <c:showBubbleSize val="0"/>
        </c:dLbls>
        <c:gapWidth val="150"/>
        <c:axId val="187578624"/>
        <c:axId val="187592704"/>
      </c:barChart>
      <c:catAx>
        <c:axId val="187578624"/>
        <c:scaling>
          <c:orientation val="minMax"/>
        </c:scaling>
        <c:delete val="0"/>
        <c:axPos val="b"/>
        <c:numFmt formatCode="General" sourceLinked="0"/>
        <c:majorTickMark val="out"/>
        <c:minorTickMark val="none"/>
        <c:tickLblPos val="nextTo"/>
        <c:txPr>
          <a:bodyPr rot="-5400000" vert="horz"/>
          <a:lstStyle/>
          <a:p>
            <a:pPr>
              <a:defRPr/>
            </a:pPr>
            <a:endParaRPr lang="sr-Latn-RS"/>
          </a:p>
        </c:txPr>
        <c:crossAx val="187592704"/>
        <c:crosses val="autoZero"/>
        <c:auto val="1"/>
        <c:lblAlgn val="ctr"/>
        <c:lblOffset val="100"/>
        <c:noMultiLvlLbl val="0"/>
      </c:catAx>
      <c:valAx>
        <c:axId val="187592704"/>
        <c:scaling>
          <c:orientation val="minMax"/>
        </c:scaling>
        <c:delete val="1"/>
        <c:axPos val="l"/>
        <c:numFmt formatCode="0.0" sourceLinked="1"/>
        <c:majorTickMark val="out"/>
        <c:minorTickMark val="none"/>
        <c:tickLblPos val="none"/>
        <c:crossAx val="187578624"/>
        <c:crosses val="autoZero"/>
        <c:crossBetween val="between"/>
      </c:valAx>
    </c:plotArea>
    <c:plotVisOnly val="1"/>
    <c:dispBlanksAs val="gap"/>
    <c:showDLblsOverMax val="0"/>
  </c:chart>
  <c:externalData r:id="rId1">
    <c:autoUpdate val="0"/>
  </c:externalData>
</c:chartSpace>
</file>

<file path=word/charts/chart92.xml><?xml version="1.0" encoding="utf-8"?>
<c:chartSpace xmlns:c="http://schemas.openxmlformats.org/drawingml/2006/chart" xmlns:a="http://schemas.openxmlformats.org/drawingml/2006/main" xmlns:r="http://schemas.openxmlformats.org/officeDocument/2006/relationships">
  <c:date1904 val="0"/>
  <c:lang val="bs-Latn-B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tx>
            <c:strRef>
              <c:f>BOLNICE!$E$15</c:f>
              <c:strCache>
                <c:ptCount val="1"/>
                <c:pt idx="0">
                  <c:v>Dužina ležanja (dani)</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BOLNICE!$F$14:$K$14</c:f>
              <c:strCache>
                <c:ptCount val="6"/>
                <c:pt idx="0">
                  <c:v>2010.</c:v>
                </c:pt>
                <c:pt idx="1">
                  <c:v>2011.</c:v>
                </c:pt>
                <c:pt idx="2">
                  <c:v>2012.</c:v>
                </c:pt>
                <c:pt idx="3">
                  <c:v>2013.</c:v>
                </c:pt>
                <c:pt idx="4">
                  <c:v>2014.</c:v>
                </c:pt>
                <c:pt idx="5">
                  <c:v>2015.</c:v>
                </c:pt>
              </c:strCache>
            </c:strRef>
          </c:cat>
          <c:val>
            <c:numRef>
              <c:f>BOLNICE!$F$15:$K$15</c:f>
              <c:numCache>
                <c:formatCode>0.0</c:formatCode>
                <c:ptCount val="6"/>
                <c:pt idx="0">
                  <c:v>8.4</c:v>
                </c:pt>
                <c:pt idx="1">
                  <c:v>8.3000000000000007</c:v>
                </c:pt>
                <c:pt idx="2">
                  <c:v>8.1</c:v>
                </c:pt>
                <c:pt idx="3">
                  <c:v>7.9</c:v>
                </c:pt>
                <c:pt idx="4">
                  <c:v>7.7</c:v>
                </c:pt>
                <c:pt idx="5">
                  <c:v>7.6</c:v>
                </c:pt>
              </c:numCache>
            </c:numRef>
          </c:val>
        </c:ser>
        <c:ser>
          <c:idx val="1"/>
          <c:order val="1"/>
          <c:tx>
            <c:strRef>
              <c:f>BOLNICE!$E$16</c:f>
              <c:strCache>
                <c:ptCount val="1"/>
                <c:pt idx="0">
                  <c:v>Zauzetost postelja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BOLNICE!$F$14:$K$14</c:f>
              <c:strCache>
                <c:ptCount val="6"/>
                <c:pt idx="0">
                  <c:v>2010.</c:v>
                </c:pt>
                <c:pt idx="1">
                  <c:v>2011.</c:v>
                </c:pt>
                <c:pt idx="2">
                  <c:v>2012.</c:v>
                </c:pt>
                <c:pt idx="3">
                  <c:v>2013.</c:v>
                </c:pt>
                <c:pt idx="4">
                  <c:v>2014.</c:v>
                </c:pt>
                <c:pt idx="5">
                  <c:v>2015.</c:v>
                </c:pt>
              </c:strCache>
            </c:strRef>
          </c:cat>
          <c:val>
            <c:numRef>
              <c:f>BOLNICE!$F$16:$K$16</c:f>
              <c:numCache>
                <c:formatCode>0.0</c:formatCode>
                <c:ptCount val="6"/>
                <c:pt idx="0">
                  <c:v>66</c:v>
                </c:pt>
                <c:pt idx="1">
                  <c:v>63.5</c:v>
                </c:pt>
                <c:pt idx="2">
                  <c:v>62.9</c:v>
                </c:pt>
                <c:pt idx="3">
                  <c:v>63.6</c:v>
                </c:pt>
                <c:pt idx="4">
                  <c:v>62.2</c:v>
                </c:pt>
                <c:pt idx="5">
                  <c:v>59.5</c:v>
                </c:pt>
              </c:numCache>
            </c:numRef>
          </c:val>
        </c:ser>
        <c:dLbls>
          <c:showLegendKey val="0"/>
          <c:showVal val="0"/>
          <c:showCatName val="0"/>
          <c:showSerName val="0"/>
          <c:showPercent val="0"/>
          <c:showBubbleSize val="0"/>
        </c:dLbls>
        <c:gapWidth val="150"/>
        <c:axId val="187634432"/>
        <c:axId val="187635968"/>
      </c:barChart>
      <c:catAx>
        <c:axId val="187634432"/>
        <c:scaling>
          <c:orientation val="minMax"/>
        </c:scaling>
        <c:delete val="0"/>
        <c:axPos val="l"/>
        <c:numFmt formatCode="General" sourceLinked="0"/>
        <c:majorTickMark val="out"/>
        <c:minorTickMark val="none"/>
        <c:tickLblPos val="nextTo"/>
        <c:crossAx val="187635968"/>
        <c:crosses val="autoZero"/>
        <c:auto val="1"/>
        <c:lblAlgn val="ctr"/>
        <c:lblOffset val="100"/>
        <c:noMultiLvlLbl val="0"/>
      </c:catAx>
      <c:valAx>
        <c:axId val="187635968"/>
        <c:scaling>
          <c:orientation val="minMax"/>
        </c:scaling>
        <c:delete val="1"/>
        <c:axPos val="b"/>
        <c:numFmt formatCode="0.0" sourceLinked="1"/>
        <c:majorTickMark val="out"/>
        <c:minorTickMark val="none"/>
        <c:tickLblPos val="none"/>
        <c:crossAx val="187634432"/>
        <c:crosses val="autoZero"/>
        <c:crossBetween val="between"/>
      </c:valAx>
    </c:plotArea>
    <c:legend>
      <c:legendPos val="r"/>
      <c:overlay val="0"/>
    </c:legend>
    <c:plotVisOnly val="1"/>
    <c:dispBlanksAs val="gap"/>
    <c:showDLblsOverMax val="0"/>
  </c:chart>
  <c:externalData r:id="rId1">
    <c:autoUpdate val="0"/>
  </c:externalData>
</c:chartSpace>
</file>

<file path=word/charts/chart93.xml><?xml version="1.0" encoding="utf-8"?>
<c:chartSpace xmlns:c="http://schemas.openxmlformats.org/drawingml/2006/chart" xmlns:a="http://schemas.openxmlformats.org/drawingml/2006/main" xmlns:r="http://schemas.openxmlformats.org/officeDocument/2006/relationships">
  <c:date1904 val="0"/>
  <c:lang val="bs-Latn-B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tx>
            <c:strRef>
              <c:f>BOLNICE!$F$35</c:f>
              <c:strCache>
                <c:ptCount val="1"/>
                <c:pt idx="0">
                  <c:v>2010.</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BOLNICE!$E$36:$E$42</c:f>
              <c:strCache>
                <c:ptCount val="7"/>
                <c:pt idx="0">
                  <c:v>Medicinski centar</c:v>
                </c:pt>
                <c:pt idx="1">
                  <c:v>Lječilišta</c:v>
                </c:pt>
                <c:pt idx="2">
                  <c:v>Specijalne bolnice</c:v>
                </c:pt>
                <c:pt idx="3">
                  <c:v>Klinički centri</c:v>
                </c:pt>
                <c:pt idx="4">
                  <c:v>Klinička bolnica</c:v>
                </c:pt>
                <c:pt idx="5">
                  <c:v>Kantonalne bolnice</c:v>
                </c:pt>
                <c:pt idx="6">
                  <c:v>Opće bolnice</c:v>
                </c:pt>
              </c:strCache>
            </c:strRef>
          </c:cat>
          <c:val>
            <c:numRef>
              <c:f>BOLNICE!$F$36:$F$42</c:f>
              <c:numCache>
                <c:formatCode>0.0</c:formatCode>
                <c:ptCount val="7"/>
                <c:pt idx="0">
                  <c:v>51</c:v>
                </c:pt>
                <c:pt idx="1">
                  <c:v>64.3</c:v>
                </c:pt>
                <c:pt idx="2">
                  <c:v>50.8</c:v>
                </c:pt>
                <c:pt idx="3">
                  <c:v>68</c:v>
                </c:pt>
                <c:pt idx="4">
                  <c:v>66.7</c:v>
                </c:pt>
                <c:pt idx="5">
                  <c:v>66.5</c:v>
                </c:pt>
                <c:pt idx="6">
                  <c:v>60.7</c:v>
                </c:pt>
              </c:numCache>
            </c:numRef>
          </c:val>
        </c:ser>
        <c:ser>
          <c:idx val="1"/>
          <c:order val="1"/>
          <c:tx>
            <c:strRef>
              <c:f>BOLNICE!$H$35</c:f>
              <c:strCache>
                <c:ptCount val="1"/>
                <c:pt idx="0">
                  <c:v>2015.</c:v>
                </c:pt>
              </c:strCache>
            </c:strRef>
          </c:tx>
          <c:invertIfNegative val="0"/>
          <c:dLbls>
            <c:dLbl>
              <c:idx val="2"/>
              <c:layout>
                <c:manualLayout>
                  <c:x val="-8.3333333333333367E-3"/>
                  <c:y val="-2.3148148148148147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BOLNICE!$E$36:$E$42</c:f>
              <c:strCache>
                <c:ptCount val="7"/>
                <c:pt idx="0">
                  <c:v>Medicinski centar</c:v>
                </c:pt>
                <c:pt idx="1">
                  <c:v>Lječilišta</c:v>
                </c:pt>
                <c:pt idx="2">
                  <c:v>Specijalne bolnice</c:v>
                </c:pt>
                <c:pt idx="3">
                  <c:v>Klinički centri</c:v>
                </c:pt>
                <c:pt idx="4">
                  <c:v>Klinička bolnica</c:v>
                </c:pt>
                <c:pt idx="5">
                  <c:v>Kantonalne bolnice</c:v>
                </c:pt>
                <c:pt idx="6">
                  <c:v>Opće bolnice</c:v>
                </c:pt>
              </c:strCache>
            </c:strRef>
          </c:cat>
          <c:val>
            <c:numRef>
              <c:f>BOLNICE!$H$36:$H$42</c:f>
              <c:numCache>
                <c:formatCode>0.0</c:formatCode>
                <c:ptCount val="7"/>
                <c:pt idx="0">
                  <c:v>46.4</c:v>
                </c:pt>
                <c:pt idx="1">
                  <c:v>60.9</c:v>
                </c:pt>
                <c:pt idx="2">
                  <c:v>39.5</c:v>
                </c:pt>
                <c:pt idx="3">
                  <c:v>63.2</c:v>
                </c:pt>
                <c:pt idx="4">
                  <c:v>65.900000000000006</c:v>
                </c:pt>
                <c:pt idx="5">
                  <c:v>58</c:v>
                </c:pt>
                <c:pt idx="6">
                  <c:v>52.3</c:v>
                </c:pt>
              </c:numCache>
            </c:numRef>
          </c:val>
        </c:ser>
        <c:dLbls>
          <c:showLegendKey val="0"/>
          <c:showVal val="0"/>
          <c:showCatName val="0"/>
          <c:showSerName val="0"/>
          <c:showPercent val="0"/>
          <c:showBubbleSize val="0"/>
        </c:dLbls>
        <c:gapWidth val="150"/>
        <c:axId val="187678720"/>
        <c:axId val="187680256"/>
      </c:barChart>
      <c:catAx>
        <c:axId val="187678720"/>
        <c:scaling>
          <c:orientation val="minMax"/>
        </c:scaling>
        <c:delete val="0"/>
        <c:axPos val="l"/>
        <c:numFmt formatCode="General" sourceLinked="0"/>
        <c:majorTickMark val="out"/>
        <c:minorTickMark val="none"/>
        <c:tickLblPos val="nextTo"/>
        <c:crossAx val="187680256"/>
        <c:crosses val="autoZero"/>
        <c:auto val="1"/>
        <c:lblAlgn val="ctr"/>
        <c:lblOffset val="100"/>
        <c:noMultiLvlLbl val="0"/>
      </c:catAx>
      <c:valAx>
        <c:axId val="187680256"/>
        <c:scaling>
          <c:orientation val="minMax"/>
        </c:scaling>
        <c:delete val="1"/>
        <c:axPos val="b"/>
        <c:numFmt formatCode="0.0" sourceLinked="1"/>
        <c:majorTickMark val="out"/>
        <c:minorTickMark val="none"/>
        <c:tickLblPos val="none"/>
        <c:crossAx val="187678720"/>
        <c:crosses val="autoZero"/>
        <c:crossBetween val="between"/>
      </c:valAx>
    </c:plotArea>
    <c:legend>
      <c:legendPos val="b"/>
      <c:overlay val="0"/>
    </c:legend>
    <c:plotVisOnly val="1"/>
    <c:dispBlanksAs val="gap"/>
    <c:showDLblsOverMax val="0"/>
  </c:chart>
  <c:externalData r:id="rId1">
    <c:autoUpdate val="0"/>
  </c:externalData>
</c:chartSpace>
</file>

<file path=word/charts/chart94.xml><?xml version="1.0" encoding="utf-8"?>
<c:chartSpace xmlns:c="http://schemas.openxmlformats.org/drawingml/2006/chart" xmlns:a="http://schemas.openxmlformats.org/drawingml/2006/main" xmlns:r="http://schemas.openxmlformats.org/officeDocument/2006/relationships">
  <c:date1904 val="0"/>
  <c:lang val="bs-Latn-B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tx>
            <c:strRef>
              <c:f>BOLNICE!$F$60</c:f>
              <c:strCache>
                <c:ptCount val="1"/>
                <c:pt idx="0">
                  <c:v>2010.</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BOLNICE!$E$61:$E$67</c:f>
              <c:strCache>
                <c:ptCount val="7"/>
                <c:pt idx="0">
                  <c:v>Medicinski centar</c:v>
                </c:pt>
                <c:pt idx="1">
                  <c:v>Lječilišta</c:v>
                </c:pt>
                <c:pt idx="2">
                  <c:v>Specijalne bolnice</c:v>
                </c:pt>
                <c:pt idx="3">
                  <c:v>Klinički centri</c:v>
                </c:pt>
                <c:pt idx="4">
                  <c:v>Klinička bolnica</c:v>
                </c:pt>
                <c:pt idx="5">
                  <c:v>Kantonalne bolnice</c:v>
                </c:pt>
                <c:pt idx="6">
                  <c:v>Opće bolnice</c:v>
                </c:pt>
              </c:strCache>
            </c:strRef>
          </c:cat>
          <c:val>
            <c:numRef>
              <c:f>BOLNICE!$F$61:$F$67</c:f>
              <c:numCache>
                <c:formatCode>0.0</c:formatCode>
                <c:ptCount val="7"/>
                <c:pt idx="0">
                  <c:v>6.3</c:v>
                </c:pt>
                <c:pt idx="1">
                  <c:v>11.4</c:v>
                </c:pt>
                <c:pt idx="2">
                  <c:v>24.4</c:v>
                </c:pt>
                <c:pt idx="3">
                  <c:v>9</c:v>
                </c:pt>
                <c:pt idx="4">
                  <c:v>8.2000000000000011</c:v>
                </c:pt>
                <c:pt idx="5">
                  <c:v>7.5</c:v>
                </c:pt>
                <c:pt idx="6">
                  <c:v>7.3</c:v>
                </c:pt>
              </c:numCache>
            </c:numRef>
          </c:val>
        </c:ser>
        <c:ser>
          <c:idx val="1"/>
          <c:order val="1"/>
          <c:tx>
            <c:strRef>
              <c:f>BOLNICE!$H$60</c:f>
              <c:strCache>
                <c:ptCount val="1"/>
                <c:pt idx="0">
                  <c:v>2015.</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BOLNICE!$E$61:$E$67</c:f>
              <c:strCache>
                <c:ptCount val="7"/>
                <c:pt idx="0">
                  <c:v>Medicinski centar</c:v>
                </c:pt>
                <c:pt idx="1">
                  <c:v>Lječilišta</c:v>
                </c:pt>
                <c:pt idx="2">
                  <c:v>Specijalne bolnice</c:v>
                </c:pt>
                <c:pt idx="3">
                  <c:v>Klinički centri</c:v>
                </c:pt>
                <c:pt idx="4">
                  <c:v>Klinička bolnica</c:v>
                </c:pt>
                <c:pt idx="5">
                  <c:v>Kantonalne bolnice</c:v>
                </c:pt>
                <c:pt idx="6">
                  <c:v>Opće bolnice</c:v>
                </c:pt>
              </c:strCache>
            </c:strRef>
          </c:cat>
          <c:val>
            <c:numRef>
              <c:f>BOLNICE!$H$61:$H$67</c:f>
              <c:numCache>
                <c:formatCode>0.0</c:formatCode>
                <c:ptCount val="7"/>
                <c:pt idx="0" formatCode="General">
                  <c:v>5.9</c:v>
                </c:pt>
                <c:pt idx="1">
                  <c:v>10.8</c:v>
                </c:pt>
                <c:pt idx="2">
                  <c:v>21.1</c:v>
                </c:pt>
                <c:pt idx="3">
                  <c:v>7.8</c:v>
                </c:pt>
                <c:pt idx="4">
                  <c:v>7.2</c:v>
                </c:pt>
                <c:pt idx="5">
                  <c:v>6.7</c:v>
                </c:pt>
                <c:pt idx="6">
                  <c:v>6.9</c:v>
                </c:pt>
              </c:numCache>
            </c:numRef>
          </c:val>
        </c:ser>
        <c:dLbls>
          <c:showLegendKey val="0"/>
          <c:showVal val="0"/>
          <c:showCatName val="0"/>
          <c:showSerName val="0"/>
          <c:showPercent val="0"/>
          <c:showBubbleSize val="0"/>
        </c:dLbls>
        <c:gapWidth val="150"/>
        <c:axId val="187774848"/>
        <c:axId val="187776384"/>
      </c:barChart>
      <c:catAx>
        <c:axId val="187774848"/>
        <c:scaling>
          <c:orientation val="minMax"/>
        </c:scaling>
        <c:delete val="0"/>
        <c:axPos val="l"/>
        <c:numFmt formatCode="General" sourceLinked="0"/>
        <c:majorTickMark val="out"/>
        <c:minorTickMark val="none"/>
        <c:tickLblPos val="nextTo"/>
        <c:crossAx val="187776384"/>
        <c:crosses val="autoZero"/>
        <c:auto val="1"/>
        <c:lblAlgn val="ctr"/>
        <c:lblOffset val="100"/>
        <c:noMultiLvlLbl val="0"/>
      </c:catAx>
      <c:valAx>
        <c:axId val="187776384"/>
        <c:scaling>
          <c:orientation val="minMax"/>
        </c:scaling>
        <c:delete val="1"/>
        <c:axPos val="b"/>
        <c:numFmt formatCode="0.0" sourceLinked="1"/>
        <c:majorTickMark val="out"/>
        <c:minorTickMark val="none"/>
        <c:tickLblPos val="none"/>
        <c:crossAx val="187774848"/>
        <c:crosses val="autoZero"/>
        <c:crossBetween val="between"/>
      </c:valAx>
    </c:plotArea>
    <c:legend>
      <c:legendPos val="b"/>
      <c:overlay val="0"/>
    </c:legend>
    <c:plotVisOnly val="1"/>
    <c:dispBlanksAs val="gap"/>
    <c:showDLblsOverMax val="0"/>
  </c:chart>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cdr:x>
      <cdr:y>0</cdr:y>
    </cdr:from>
    <cdr:to>
      <cdr:x>1</cdr:x>
      <cdr:y>1</cdr:y>
    </cdr:to>
    <cdr:sp macro="" textlink="">
      <cdr:nvSpPr>
        <cdr:cNvPr id="2" name="Rectangle 1"/>
        <cdr:cNvSpPr/>
      </cdr:nvSpPr>
      <cdr:spPr>
        <a:xfrm xmlns:a="http://schemas.openxmlformats.org/drawingml/2006/main">
          <a:off x="0" y="0"/>
          <a:ext cx="5619750" cy="2728595"/>
        </a:xfrm>
        <a:prstGeom xmlns:a="http://schemas.openxmlformats.org/drawingml/2006/main" prst="rect">
          <a:avLst/>
        </a:prstGeom>
        <a:noFill xmlns:a="http://schemas.openxmlformats.org/drawingml/2006/main"/>
        <a:ln xmlns:a="http://schemas.openxmlformats.org/drawingml/2006/main">
          <a:solidFill>
            <a:schemeClr val="tx1"/>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D5DD24E-715E-4426-A051-6B95BC6D75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137</Pages>
  <Words>38141</Words>
  <Characters>217405</Characters>
  <Application>Microsoft Office Word</Application>
  <DocSecurity>0</DocSecurity>
  <Lines>1811</Lines>
  <Paragraphs>510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255036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Korisnik</dc:creator>
  <cp:lastModifiedBy>Adisa A.M. Mehic</cp:lastModifiedBy>
  <cp:revision>4</cp:revision>
  <cp:lastPrinted>2016-06-27T13:19:00Z</cp:lastPrinted>
  <dcterms:created xsi:type="dcterms:W3CDTF">2017-01-13T14:07:00Z</dcterms:created>
  <dcterms:modified xsi:type="dcterms:W3CDTF">2017-01-17T07:06:00Z</dcterms:modified>
</cp:coreProperties>
</file>